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153" w:rsidRPr="00DD001D" w:rsidRDefault="00CF1153" w:rsidP="00CF1153">
      <w:pPr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 w:rsidRPr="00DD001D">
        <w:rPr>
          <w:b/>
          <w:bCs/>
          <w:sz w:val="32"/>
          <w:szCs w:val="32"/>
        </w:rPr>
        <w:t>OPIS TECHNICZNY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  <w:rPr>
          <w:b/>
          <w:bCs/>
          <w:sz w:val="28"/>
          <w:szCs w:val="28"/>
        </w:rPr>
      </w:pPr>
      <w:r w:rsidRPr="00DD001D">
        <w:rPr>
          <w:b/>
          <w:bCs/>
          <w:sz w:val="28"/>
          <w:szCs w:val="28"/>
        </w:rPr>
        <w:t>1 Informacje wst</w:t>
      </w:r>
      <w:r w:rsidRPr="00DD001D">
        <w:rPr>
          <w:rFonts w:eastAsia="TimesNewRoman,Bold"/>
          <w:b/>
          <w:bCs/>
          <w:sz w:val="28"/>
          <w:szCs w:val="28"/>
        </w:rPr>
        <w:t>ę</w:t>
      </w:r>
      <w:r w:rsidRPr="00DD001D">
        <w:rPr>
          <w:b/>
          <w:bCs/>
          <w:sz w:val="28"/>
          <w:szCs w:val="28"/>
        </w:rPr>
        <w:t>pne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  <w:rPr>
          <w:b/>
          <w:bCs/>
        </w:rPr>
      </w:pPr>
    </w:p>
    <w:p w:rsidR="00CF1153" w:rsidRPr="00DD001D" w:rsidRDefault="00CF1153" w:rsidP="00CF1153">
      <w:pPr>
        <w:autoSpaceDE w:val="0"/>
        <w:autoSpaceDN w:val="0"/>
        <w:adjustRightInd w:val="0"/>
        <w:jc w:val="left"/>
        <w:rPr>
          <w:b/>
          <w:bCs/>
        </w:rPr>
      </w:pPr>
      <w:r w:rsidRPr="00DD001D">
        <w:rPr>
          <w:b/>
          <w:bCs/>
        </w:rPr>
        <w:t>1.1 Przedmiot projektu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  <w:rPr>
          <w:b/>
          <w:bCs/>
        </w:rPr>
      </w:pP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Przedmiotem niniejszego opracowania jest projekt budowlano-wykonawczy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odbudowy mostu dla zadania „Odbudowa mostu w m. Chmieleń nad potokiem dz.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nr 156” zlokalizowanego na dz. nr 156(</w:t>
      </w:r>
      <w:proofErr w:type="spellStart"/>
      <w:r w:rsidRPr="00DD001D">
        <w:t>wp</w:t>
      </w:r>
      <w:proofErr w:type="spellEnd"/>
      <w:r w:rsidRPr="00DD001D">
        <w:t>), 337(dr), 336(dr), 360/4(dr) obręb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Chmieleń, gmina Lubomierz.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</w:p>
    <w:p w:rsidR="00CF1153" w:rsidRPr="00DD001D" w:rsidRDefault="00CF1153" w:rsidP="00CF1153">
      <w:pPr>
        <w:autoSpaceDE w:val="0"/>
        <w:autoSpaceDN w:val="0"/>
        <w:adjustRightInd w:val="0"/>
        <w:jc w:val="left"/>
        <w:rPr>
          <w:b/>
          <w:bCs/>
        </w:rPr>
      </w:pPr>
      <w:r w:rsidRPr="00DD001D">
        <w:rPr>
          <w:b/>
          <w:bCs/>
        </w:rPr>
        <w:t>1.2 Podstawa opracowania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  <w:rPr>
          <w:b/>
          <w:bCs/>
        </w:rPr>
      </w:pP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Podstawą opracowania jest: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- zlecenie Inwestora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- mapa sytuacyjno-wysokościowa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 xml:space="preserve">- ustawa z 7 lipca 1994r. – Prawo Budowlane </w:t>
      </w:r>
      <w:proofErr w:type="spellStart"/>
      <w:r w:rsidRPr="00DD001D">
        <w:t>Dz.U</w:t>
      </w:r>
      <w:proofErr w:type="spellEnd"/>
      <w:r w:rsidRPr="00DD001D">
        <w:t>. nr 207 z 2003r poz. 2016 z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późniejszymi zmianami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- Rozporządzenie Ministra Infrastruktury z 3.07.2003r. w sprawie szczegółowego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zakresu i formy projektu budowlanego (Dz. U. nr 120 poz. 1133)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- Rozporządzenie Ministra Infrastruktury z 23.06.2003r. w sprawie informacji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dotyczącej bezpieczeństwa i ochrony zdrowia (Dz. U. nr 120 poz. 1126)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- Ustawa z 27 marca 2003r. o planowaniu i zagospodarowaniu przestrzennym (Dz.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U. nr 717 z późniejszymi zmianami)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- Rozporządzenie Ministra Transportu i Gospodarki Morskiej z 02.09.1999r. w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sprawie warunków technicznych jakim powinny odpowiadać drogi publiczne i ich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usytuowanie (Dz. U. nr 43 z 14.05.1999r.)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- Rozporządzenie Ministra Transportu i Gospodarki Morskiej z dnia 30.05.2000r. w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sprawie warunków technicznych jakim powinny odpowiadać drogowe obiekty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inżynierskie i ich usytuowanie. (Dz. U. Nr 63, poz. 735)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</w:p>
    <w:p w:rsidR="00CF1153" w:rsidRPr="00DD001D" w:rsidRDefault="00CF1153" w:rsidP="00CF1153">
      <w:pPr>
        <w:autoSpaceDE w:val="0"/>
        <w:autoSpaceDN w:val="0"/>
        <w:adjustRightInd w:val="0"/>
        <w:jc w:val="left"/>
        <w:rPr>
          <w:b/>
          <w:bCs/>
        </w:rPr>
      </w:pPr>
      <w:r w:rsidRPr="00DD001D">
        <w:rPr>
          <w:b/>
          <w:bCs/>
        </w:rPr>
        <w:t>1.3 Zakres opracowania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  <w:rPr>
          <w:b/>
          <w:bCs/>
        </w:rPr>
      </w:pP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W zakres opracowania wchodzi przebudowa istniejącego obiektu mostowego na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przepust typu VIACON w miejscowości Chmieleń.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</w:p>
    <w:p w:rsidR="00CF1153" w:rsidRPr="00DD001D" w:rsidRDefault="00CF1153" w:rsidP="00CF1153">
      <w:pPr>
        <w:autoSpaceDE w:val="0"/>
        <w:autoSpaceDN w:val="0"/>
        <w:adjustRightInd w:val="0"/>
        <w:jc w:val="left"/>
        <w:rPr>
          <w:b/>
          <w:bCs/>
        </w:rPr>
      </w:pPr>
      <w:r w:rsidRPr="00DD001D">
        <w:rPr>
          <w:b/>
          <w:bCs/>
        </w:rPr>
        <w:t>1.4 Charakterystyka istniej</w:t>
      </w:r>
      <w:r w:rsidRPr="00DD001D">
        <w:rPr>
          <w:rFonts w:eastAsia="TimesNewRoman,Bold"/>
          <w:b/>
          <w:bCs/>
        </w:rPr>
        <w:t>ą</w:t>
      </w:r>
      <w:r w:rsidRPr="00DD001D">
        <w:rPr>
          <w:b/>
          <w:bCs/>
        </w:rPr>
        <w:t>cego obiektu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  <w:rPr>
          <w:b/>
          <w:bCs/>
        </w:rPr>
      </w:pP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Istniejący obiekt mostowy zlokalizowany jest w ciągu drogi gminnej nad ciekiem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Długi Potok w m. Chmieleń, gmina Lubomierz, powiat lwówecki, woj. dolnośląskie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na działkach ewidencji gruntu nr 156(</w:t>
      </w:r>
      <w:proofErr w:type="spellStart"/>
      <w:r w:rsidRPr="00DD001D">
        <w:t>wp</w:t>
      </w:r>
      <w:proofErr w:type="spellEnd"/>
      <w:r w:rsidRPr="00DD001D">
        <w:t>), 337(dr), 336(dr), 360/4(dr) obręb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Chmieleń.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Istniejący obiekt mostowy usytuowany jest pod kątem 64° w stosunku do istniejącej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osi drogi gminnej.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Obiekt posiada światło o wymiarach 3,60m x 1,50m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Elementy konstrukcyjne istniejącego obiektu: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- fundamenty betonowe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- przyczółki betonowe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- płyta pomostowa składa się z pięciu belek stalowych dwuteowych o wysokości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200mm wypełnionych betonem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- nawierzchnia bitumiczna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lastRenderedPageBreak/>
        <w:t>W wyniku deszczy nawalnych z lipca 2013r. zostały uszkodzone i podmyte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fundamenty obiektu oraz została uszkodzona płyta pomostowa obiektu co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doprowadziło do jego awarii i powoduje konieczność jego rozbiórki i odbudowy w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istniejącym miejscu posadowienia.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</w:p>
    <w:p w:rsidR="00CF1153" w:rsidRPr="00DD001D" w:rsidRDefault="00CF1153" w:rsidP="00CF1153">
      <w:pPr>
        <w:autoSpaceDE w:val="0"/>
        <w:autoSpaceDN w:val="0"/>
        <w:adjustRightInd w:val="0"/>
        <w:jc w:val="left"/>
        <w:rPr>
          <w:b/>
          <w:bCs/>
        </w:rPr>
      </w:pPr>
      <w:r w:rsidRPr="00DD001D">
        <w:rPr>
          <w:b/>
          <w:bCs/>
        </w:rPr>
        <w:t>1.5 Kategoria geotechniczna i warunki gruntowe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  <w:rPr>
          <w:b/>
          <w:bCs/>
        </w:rPr>
      </w:pP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Na obszarze objętym opracowaniem stwierdza się występowanie prostych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warunków gruntowych.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Z uwagi na nieskomplikowany charakter przedsięwzięcia projektowany obiekt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budowlany zaliczono do pierwszej kategorii geotechnicznej niewymagającej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opracowania odrębnej dokumentacji geotechnicznej.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Projektowany obiekt mostowy zostanie posadowiony w miejscu lokalizacji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istniejącego mostu.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</w:p>
    <w:p w:rsidR="00CF1153" w:rsidRPr="00DD001D" w:rsidRDefault="00CF1153" w:rsidP="00CF1153">
      <w:pPr>
        <w:autoSpaceDE w:val="0"/>
        <w:autoSpaceDN w:val="0"/>
        <w:adjustRightInd w:val="0"/>
        <w:jc w:val="left"/>
        <w:rPr>
          <w:b/>
          <w:bCs/>
        </w:rPr>
      </w:pPr>
      <w:r w:rsidRPr="00DD001D">
        <w:rPr>
          <w:b/>
          <w:bCs/>
        </w:rPr>
        <w:t>1.6 Istniej</w:t>
      </w:r>
      <w:r w:rsidRPr="00DD001D">
        <w:rPr>
          <w:rFonts w:eastAsia="TimesNewRoman,Bold"/>
          <w:b/>
          <w:bCs/>
        </w:rPr>
        <w:t>ą</w:t>
      </w:r>
      <w:r w:rsidRPr="00DD001D">
        <w:rPr>
          <w:b/>
          <w:bCs/>
        </w:rPr>
        <w:t>ce uzbrojenie terenu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  <w:rPr>
          <w:b/>
          <w:bCs/>
        </w:rPr>
      </w:pP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Na terenie objętym opracowaniem występują sieci uzbrojenia: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- energetyczne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- telekomunikacyjne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Prace budowlane w obrębie projektowanego obiektu mostowego oraz likwidację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kolizji z istniejącym uzbrojeniem należy prowadzić w uzgodnieniu z właściwymi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Zarządcami sieci.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</w:p>
    <w:p w:rsidR="00CF1153" w:rsidRPr="00DD001D" w:rsidRDefault="00CF1153" w:rsidP="00CF1153">
      <w:pPr>
        <w:autoSpaceDE w:val="0"/>
        <w:autoSpaceDN w:val="0"/>
        <w:adjustRightInd w:val="0"/>
        <w:jc w:val="left"/>
        <w:rPr>
          <w:b/>
          <w:bCs/>
          <w:sz w:val="28"/>
          <w:szCs w:val="28"/>
        </w:rPr>
      </w:pPr>
      <w:r w:rsidRPr="00DD001D">
        <w:rPr>
          <w:b/>
          <w:bCs/>
          <w:sz w:val="28"/>
          <w:szCs w:val="28"/>
        </w:rPr>
        <w:t>2 Informacje szczegółowe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  <w:rPr>
          <w:b/>
          <w:bCs/>
        </w:rPr>
      </w:pPr>
    </w:p>
    <w:p w:rsidR="00CF1153" w:rsidRPr="00DD001D" w:rsidRDefault="00CF1153" w:rsidP="00CF1153">
      <w:pPr>
        <w:autoSpaceDE w:val="0"/>
        <w:autoSpaceDN w:val="0"/>
        <w:adjustRightInd w:val="0"/>
        <w:jc w:val="left"/>
        <w:rPr>
          <w:b/>
          <w:bCs/>
        </w:rPr>
      </w:pPr>
      <w:r w:rsidRPr="00DD001D">
        <w:rPr>
          <w:b/>
          <w:bCs/>
        </w:rPr>
        <w:t>2.1 Zało</w:t>
      </w:r>
      <w:r w:rsidRPr="00DD001D">
        <w:rPr>
          <w:rFonts w:eastAsia="TimesNewRoman,Bold"/>
          <w:b/>
          <w:bCs/>
        </w:rPr>
        <w:t>ż</w:t>
      </w:r>
      <w:r w:rsidRPr="00DD001D">
        <w:rPr>
          <w:b/>
          <w:bCs/>
        </w:rPr>
        <w:t>enia do projektowania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  <w:rPr>
          <w:b/>
          <w:bCs/>
        </w:rPr>
      </w:pP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Przyjęto odtworzenie obiektu mostowego o konstrukcji z blachy falistej o klasie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obciążenia A w miejscu jego pierwotnej lokalizacji.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Przyjęto następujące parametry techniczne dla drogi :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- klasę drogi – D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- kategoria ruchu – KR-1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- prędkość projektowa Vp=30km/h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- nawierzchnia bitumiczna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- odwodnienie powierzchniowe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</w:p>
    <w:p w:rsidR="00CF1153" w:rsidRPr="00DD001D" w:rsidRDefault="00CF1153" w:rsidP="00CF1153">
      <w:pPr>
        <w:autoSpaceDE w:val="0"/>
        <w:autoSpaceDN w:val="0"/>
        <w:adjustRightInd w:val="0"/>
        <w:jc w:val="left"/>
        <w:rPr>
          <w:b/>
          <w:bCs/>
        </w:rPr>
      </w:pPr>
      <w:r w:rsidRPr="00DD001D">
        <w:rPr>
          <w:b/>
          <w:bCs/>
        </w:rPr>
        <w:t>2.2 Roboty rozbiórkowe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  <w:rPr>
          <w:b/>
          <w:bCs/>
        </w:rPr>
      </w:pP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W ramach robót rozbiórkowych wykonać należy: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- rozbiórkę istniejącego obiektu mostowego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Kubatura obiektu i murów oporowych do rozbiórki – 23,00 m3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Roboty rozbiórkowe wykonać zgodnie ze Specyfikacją Techniczną – D-01.02.04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</w:p>
    <w:p w:rsidR="00CF1153" w:rsidRPr="00DD001D" w:rsidRDefault="00CF1153" w:rsidP="00CF1153">
      <w:pPr>
        <w:autoSpaceDE w:val="0"/>
        <w:autoSpaceDN w:val="0"/>
        <w:adjustRightInd w:val="0"/>
        <w:jc w:val="left"/>
      </w:pPr>
    </w:p>
    <w:p w:rsidR="00CF1153" w:rsidRPr="00DD001D" w:rsidRDefault="00CF1153" w:rsidP="00CF1153">
      <w:pPr>
        <w:autoSpaceDE w:val="0"/>
        <w:autoSpaceDN w:val="0"/>
        <w:adjustRightInd w:val="0"/>
        <w:jc w:val="left"/>
        <w:rPr>
          <w:b/>
          <w:bCs/>
        </w:rPr>
      </w:pPr>
      <w:r w:rsidRPr="00DD001D">
        <w:rPr>
          <w:b/>
          <w:bCs/>
        </w:rPr>
        <w:t>2.3 Roboty ziemne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  <w:rPr>
          <w:b/>
          <w:bCs/>
        </w:rPr>
      </w:pP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W ramach robót ziemnych przewiduje się wykonanie następujących robót: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- wykonanie wykopów w gruncie kategorii I-IV pod projektowane ławy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fundamentowe stanowiące oparcie dla projektowanego obiektu mostowego i murów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lastRenderedPageBreak/>
        <w:t>oporowych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- wykonanie wykopów w dnie potoku w celu umocnienia dna potoku brukiem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kamiennym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 xml:space="preserve">- wykonanie nasypów z gruntów </w:t>
      </w:r>
      <w:proofErr w:type="spellStart"/>
      <w:r w:rsidRPr="00DD001D">
        <w:t>niewysadzinowych</w:t>
      </w:r>
      <w:proofErr w:type="spellEnd"/>
      <w:r w:rsidRPr="00DD001D">
        <w:t xml:space="preserve"> w celu uzupełnienia terenu w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obrębie projektowanego obiektu mostowego, murów oporowych i skarp (wykonanie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nasypów nie dotyczy wykonania zasypki obiektu mostowego, która została ujęta w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odrębnym punkcie niniejszej dokumentacji)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 xml:space="preserve">- </w:t>
      </w:r>
      <w:proofErr w:type="spellStart"/>
      <w:r w:rsidRPr="00DD001D">
        <w:t>korytowanie</w:t>
      </w:r>
      <w:proofErr w:type="spellEnd"/>
      <w:r w:rsidRPr="00DD001D">
        <w:t xml:space="preserve"> podłoża na głębokość do 20cm pod konstrukcję nawierzchni jezdni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Kubatura wykopów pod ławy fundamentowe – 72,00 m3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Kubatura wykopów w dnie potoku – 36,00 m3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Kubatura nasypów – 25,00 m3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 xml:space="preserve">Powierzchnia </w:t>
      </w:r>
      <w:proofErr w:type="spellStart"/>
      <w:r w:rsidRPr="00DD001D">
        <w:t>korytowania</w:t>
      </w:r>
      <w:proofErr w:type="spellEnd"/>
      <w:r w:rsidRPr="00DD001D">
        <w:t xml:space="preserve"> na głębokość do 20cm - 240,00 m2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Wykopy wykonać zgodnie ze Specyfikacją Techniczną – D-02.01.01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Nasypy wykonać zgodnie ze Specyfikacją Techniczną – D-02.03.01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proofErr w:type="spellStart"/>
      <w:r w:rsidRPr="00DD001D">
        <w:t>Korytowanie</w:t>
      </w:r>
      <w:proofErr w:type="spellEnd"/>
      <w:r w:rsidRPr="00DD001D">
        <w:t xml:space="preserve"> wykonać zgodnie ze Specyfikacją Techniczną D-04.01.01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</w:p>
    <w:p w:rsidR="00CF1153" w:rsidRPr="00DD001D" w:rsidRDefault="00CF1153" w:rsidP="00CF1153">
      <w:pPr>
        <w:autoSpaceDE w:val="0"/>
        <w:autoSpaceDN w:val="0"/>
        <w:adjustRightInd w:val="0"/>
        <w:jc w:val="left"/>
        <w:rPr>
          <w:b/>
          <w:bCs/>
        </w:rPr>
      </w:pPr>
      <w:r w:rsidRPr="00DD001D">
        <w:rPr>
          <w:b/>
          <w:bCs/>
        </w:rPr>
        <w:t>2.4 Obiekt mostowy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  <w:rPr>
          <w:b/>
          <w:bCs/>
        </w:rPr>
      </w:pP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 xml:space="preserve">Zaprojektowano obiekt mostowy z blachy falistej (np. typu </w:t>
      </w:r>
      <w:proofErr w:type="spellStart"/>
      <w:r w:rsidRPr="00DD001D">
        <w:t>ViaCon</w:t>
      </w:r>
      <w:proofErr w:type="spellEnd"/>
      <w:r w:rsidRPr="00DD001D">
        <w:t xml:space="preserve"> SUPERCOR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SC-8B) z pionowym ścięciem wlotów o następujących parametrach: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- szerokości – 4735mm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- wysokości w kluczu – 1960mm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- światło – 8,14m2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- kąt pomiędzy osią obiektu a ścianką czołową obiektu na wlocie – 64°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- kąt pomiędzy osią obiektu a ścianką czołową obiektu na wylocie – 64°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- długość obiektu mierzona dołem wzdłuż osi podłużnej obiektu – 6934mm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 xml:space="preserve">- rzędna dna na wlocie obiektu – 387,10m </w:t>
      </w:r>
      <w:proofErr w:type="spellStart"/>
      <w:r w:rsidRPr="00DD001D">
        <w:t>n.p.m</w:t>
      </w:r>
      <w:proofErr w:type="spellEnd"/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 xml:space="preserve">- rzędna dna na wylocie obiektu – 387,00m </w:t>
      </w:r>
      <w:proofErr w:type="spellStart"/>
      <w:r w:rsidRPr="00DD001D">
        <w:t>n.p.m</w:t>
      </w:r>
      <w:proofErr w:type="spellEnd"/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- konstrukcja składa się z blachy falistej o grubości 7mm łączonych na śruby,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przepust wykonany będzie ze stali powlekanej warstwami ochronnymi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(ocynkowanie)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- konstrukcja zabezpieczona antykorozyjnie farbą epoksydową na całej wewnętrznej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powierzchni.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- konstrukcję przepustu posadowić na ławie fundamentowej żelbetowej o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wymiarach 100x100cm z betonu B30 zbrojonej stalą 18G2.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- ścianki czołowe oraz mury oporowe wykonane z kamienia 120/300 na betonie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B20.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Kubatura betonu do wykonania ław fundamentowych – 35,50 m3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Ciężar stali zbrojeniowej do zbrojenia fundamentów – 1041,46 kg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Aby dodatkowo zabezpieczyć konstrukcję obiektu na działanie wody należy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wykonać ławy ochronne z betonu B30 o wymiarach 30x50cm posadowione na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ławie fundamentowej od strony koryta cieku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Kubatura betonu do wykonania ław ochronnych – 1,80 m3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W celu wzmocnienia i usztywnienia obiektu na krańcach należy wykonać wieńce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żelbetowe z betonu B30 i zbrojone stalą 18G2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Kubatura betonu do wykonania wieńców – 4,80 m3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Ciężar stali zbrojeniowej do zbrojenia wieńców – 226,12 kg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Zaprojektowano wykonanie ścianek czołowych oraz murów oporowych z kamienia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120/300 na zaprawie cementowej M20.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Kubatura ścianek czołowych i murów oporowych z kamienia – 23,00 m3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lastRenderedPageBreak/>
        <w:t>W celu zamontowania bariero-poręczy BPS w obrębie projektowanego obiektu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mostowego należy na ściankach czołowych obiektu, równolegle do krawędzi jezdni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posadowić ławy żelbetowe z betonu B30 zbrojoną stalą 18G2.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Kubatura betonu do wykonania ław żelbetowych – 2,02 m3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Ciężar stali zbrojeniowej do zbrojenia ław żelbetowych – 356,50 kg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Zasypkę obiektu wykonać z kruszywa ziarnistego o frakcjach 0-45mm, o wskaźniku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różnoziarnistości Cu&gt;5,0, wskaźniku krzywizny 1&lt;Cc&lt;3 i wodoprzepuszczalności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k&gt;6m/dobę (żwir, mieszanki żwirowo-piaskowe, pospółkę) nie zawierającego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związków organicznych i zmarzlin. Materiał zasypki układać symetrycznie po obu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 xml:space="preserve">stronach obiektu o grubości warstw 30cm. Wskaźnik zagęszczenia zasypki </w:t>
      </w:r>
      <w:proofErr w:type="spellStart"/>
      <w:r w:rsidRPr="00DD001D">
        <w:t>wg</w:t>
      </w:r>
      <w:proofErr w:type="spellEnd"/>
      <w:r w:rsidRPr="00DD001D">
        <w:t>.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 xml:space="preserve">próby </w:t>
      </w:r>
      <w:proofErr w:type="spellStart"/>
      <w:r w:rsidRPr="00DD001D">
        <w:t>Proctora</w:t>
      </w:r>
      <w:proofErr w:type="spellEnd"/>
      <w:r w:rsidRPr="00DD001D">
        <w:t xml:space="preserve"> powinien wynosić 0,98, a w bezpośrednim sąsiedztwie konstrukcji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obiekty dopuszcza się 0,95.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Kubatura zasypki – 59,00 m3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Na wysokości 10cm od góry projektowanego przepustu należy ułożyć warstwę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proofErr w:type="spellStart"/>
      <w:r w:rsidRPr="00DD001D">
        <w:t>geowłókniny</w:t>
      </w:r>
      <w:proofErr w:type="spellEnd"/>
      <w:r w:rsidRPr="00DD001D">
        <w:t xml:space="preserve"> o gramaturze 250-300g/ m2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 xml:space="preserve">Powierzchnia </w:t>
      </w:r>
      <w:proofErr w:type="spellStart"/>
      <w:r w:rsidRPr="00DD001D">
        <w:t>geowłókniny</w:t>
      </w:r>
      <w:proofErr w:type="spellEnd"/>
      <w:r w:rsidRPr="00DD001D">
        <w:t xml:space="preserve"> do ułożenia – 34,00 m2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W celu zapewnienia prawidłowego odwodnienia konstrukcji należy w ściankach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czołowych i murach oporowych wyprowadzić sączki drenarskie w rozstawie co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2,00m.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Ustawienie konstrukcji przepustu, wykonanie ścianek czołowych oraz zasypki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wykonać zgodnie ze Specyfikacją Techniczną – D-03.01.02 oraz D-03.01.01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Mury oporowe wykonać zgodnie ze Specyfikacją Techniczną – D-10.01.01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Beton konstrukcyjny wykonać zgodnie ze Specyfikacją Techniczną – M-13.01.00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Zbrojenia wykonać zgodnie ze Specyfikacją Techniczną – M-12.01.00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</w:p>
    <w:p w:rsidR="00CF1153" w:rsidRPr="00DD001D" w:rsidRDefault="00CF1153" w:rsidP="00CF1153">
      <w:pPr>
        <w:autoSpaceDE w:val="0"/>
        <w:autoSpaceDN w:val="0"/>
        <w:adjustRightInd w:val="0"/>
        <w:jc w:val="left"/>
        <w:rPr>
          <w:b/>
          <w:bCs/>
        </w:rPr>
      </w:pPr>
      <w:r w:rsidRPr="00DD001D">
        <w:rPr>
          <w:b/>
          <w:bCs/>
        </w:rPr>
        <w:t>2.5 Konstrukcja jezdni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  <w:rPr>
          <w:b/>
          <w:bCs/>
        </w:rPr>
      </w:pP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Po wykonaniu obiektu mostowego należy ułożyć nową konstrukcję jezdni na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obiekcie oraz za i przed obiektem z nawiązaniem się do istniejącej niwelety drogi.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Długość odcinka drogi do odtworzenia – 33,50mb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Zaprojektowano wykonanie odtworzenia nawierzchni drogi o następującej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konstrukcji jezdni: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- 10cm warstwa odsączająca z piasku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- 20cm podbudowy z kruszywa łamanego 0/31,5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- 4cm warstwy wiążącej z masy mineralno-asfaltowej AC16W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- 4cm warstwy ścieralnej z betonu asfaltowego AC11S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Powierzchnia warstwy odsączającej – 240,00 m2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Powierzchnia podbudowy tłuczniowej – 205,00 m2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Powierzchnia warstwy wiążącej – 195,00 m2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Powierzchnia warstwy ścieralnej – 190,00 m2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Warstwy odcinające i odsączające wykonać zgodnie ze Specyfikacją Techniczną –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D-04.02.01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Warstwę podbudowy wykonać zgodnie ze Specyfikacją Techniczną – D-04.04.02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Warstwę wiążącą wykonać zgodnie ze Specyfikacją Techniczną – D-05.03.05b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Warstwę ścieralną wykonać zgodnie ze Specyfikacją Techniczną – D-05.03.05a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</w:p>
    <w:p w:rsidR="00CF1153" w:rsidRPr="00DD001D" w:rsidRDefault="00CF1153" w:rsidP="00CF1153">
      <w:pPr>
        <w:autoSpaceDE w:val="0"/>
        <w:autoSpaceDN w:val="0"/>
        <w:adjustRightInd w:val="0"/>
        <w:jc w:val="left"/>
        <w:rPr>
          <w:b/>
          <w:bCs/>
        </w:rPr>
      </w:pPr>
      <w:r w:rsidRPr="00DD001D">
        <w:rPr>
          <w:b/>
          <w:bCs/>
        </w:rPr>
        <w:t>2.6 Bariery ochronne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  <w:rPr>
          <w:b/>
          <w:bCs/>
        </w:rPr>
      </w:pP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W celu poprawienia bezpieczeństwa ruchu na projektowanym obiekcie mostowym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przewiduje się ustawienie: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lastRenderedPageBreak/>
        <w:t>- bariero-poręczy mostowych BPS na obiekcie w rozstawie co 2,00m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Długość bariero-poręczy BPS do ustawienia – 12,00mb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Ustawienie barier wykonać zgodnie ze Specyfikacją Techniczną – D-07.05.01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</w:p>
    <w:p w:rsidR="00CF1153" w:rsidRPr="00DD001D" w:rsidRDefault="00CF1153" w:rsidP="00CF1153">
      <w:pPr>
        <w:autoSpaceDE w:val="0"/>
        <w:autoSpaceDN w:val="0"/>
        <w:adjustRightInd w:val="0"/>
        <w:jc w:val="left"/>
        <w:rPr>
          <w:b/>
          <w:bCs/>
        </w:rPr>
      </w:pPr>
      <w:r w:rsidRPr="00DD001D">
        <w:rPr>
          <w:b/>
          <w:bCs/>
        </w:rPr>
        <w:t>2.7 Roboty wyko</w:t>
      </w:r>
      <w:r w:rsidRPr="00DD001D">
        <w:rPr>
          <w:rFonts w:eastAsia="TimesNewRoman,Bold"/>
          <w:b/>
          <w:bCs/>
        </w:rPr>
        <w:t>ń</w:t>
      </w:r>
      <w:r w:rsidRPr="00DD001D">
        <w:rPr>
          <w:b/>
          <w:bCs/>
        </w:rPr>
        <w:t>czeniowe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  <w:rPr>
          <w:b/>
          <w:bCs/>
        </w:rPr>
      </w:pP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W ramach robót wykończeniowych przewiduje się wykonanie następujących robót: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 xml:space="preserve">- uzupełnienie poboczy </w:t>
      </w:r>
      <w:proofErr w:type="spellStart"/>
      <w:r w:rsidRPr="00DD001D">
        <w:t>niesortem</w:t>
      </w:r>
      <w:proofErr w:type="spellEnd"/>
      <w:r w:rsidRPr="00DD001D">
        <w:t xml:space="preserve"> kamiennym na grubość 10cm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- umocnienie dna brukiem kamiennym 120/300 na betonie B10 grubości 20cm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- umocnienie skarp brukiem kamiennym 120/300 na betonie B10 grubości 20cm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Powierzchnia poboczy do uzupełnienia – 55,00 m2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Powierzchnia dna do umocnienia brukiem kamiennym – 90,00 m2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Powierzchnia skarp do umocnienia brukiem kamiennym – 38,00 m2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Uzupełnienie poboczy wykonać zgodnie ze Specyfikacją Techniczną – D-06.03.01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Umocnienie dna i skarp brukiem kamiennym wykonać zgodnie ze Specyfikacją</w:t>
      </w:r>
    </w:p>
    <w:p w:rsidR="00CF1153" w:rsidRPr="00DD001D" w:rsidRDefault="00CF1153" w:rsidP="00CF1153">
      <w:pPr>
        <w:autoSpaceDE w:val="0"/>
        <w:autoSpaceDN w:val="0"/>
        <w:adjustRightInd w:val="0"/>
        <w:jc w:val="left"/>
      </w:pPr>
      <w:r w:rsidRPr="00DD001D">
        <w:t>Techniczną – D-06.01.01</w:t>
      </w:r>
    </w:p>
    <w:p w:rsidR="00CF1153" w:rsidRPr="00DD001D" w:rsidRDefault="00CF1153" w:rsidP="00CF1153"/>
    <w:p w:rsidR="00CF1153" w:rsidRPr="00DD001D" w:rsidRDefault="00CF1153" w:rsidP="00CF1153"/>
    <w:p w:rsidR="00CF1153" w:rsidRPr="00DD001D" w:rsidRDefault="00CF1153" w:rsidP="00CF1153"/>
    <w:p w:rsidR="00CF1153" w:rsidRPr="00DD001D" w:rsidRDefault="00CF1153" w:rsidP="00CF1153"/>
    <w:p w:rsidR="00CF1153" w:rsidRPr="00DD001D" w:rsidRDefault="00CF1153" w:rsidP="00CF1153"/>
    <w:p w:rsidR="00CF1153" w:rsidRPr="00DD001D" w:rsidRDefault="00CF1153" w:rsidP="00CF1153"/>
    <w:p w:rsidR="00CF1153" w:rsidRPr="00DD001D" w:rsidRDefault="00CF1153" w:rsidP="00CF1153"/>
    <w:p w:rsidR="00CF1153" w:rsidRPr="00DD001D" w:rsidRDefault="00CF1153" w:rsidP="00CF1153"/>
    <w:p w:rsidR="00CF1153" w:rsidRPr="00DD001D" w:rsidRDefault="00CF1153" w:rsidP="00CF1153"/>
    <w:p w:rsidR="00CF1153" w:rsidRPr="00DD001D" w:rsidRDefault="00CF1153" w:rsidP="00CF1153"/>
    <w:p w:rsidR="00CF1153" w:rsidRPr="00DD001D" w:rsidRDefault="00CF1153" w:rsidP="00CF1153"/>
    <w:p w:rsidR="00CF1153" w:rsidRPr="00DD001D" w:rsidRDefault="00CF1153" w:rsidP="00CF1153"/>
    <w:p w:rsidR="00CF1153" w:rsidRPr="00DD001D" w:rsidRDefault="00CF1153" w:rsidP="00CF1153"/>
    <w:p w:rsidR="00CF1153" w:rsidRPr="00DD001D" w:rsidRDefault="00CF1153" w:rsidP="00CF1153"/>
    <w:sectPr w:rsidR="00CF1153" w:rsidRPr="00DD001D" w:rsidSect="000F4506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3E4A" w:rsidRDefault="00F83E4A" w:rsidP="00DD001D">
      <w:r>
        <w:separator/>
      </w:r>
    </w:p>
  </w:endnote>
  <w:endnote w:type="continuationSeparator" w:id="0">
    <w:p w:rsidR="00F83E4A" w:rsidRDefault="00F83E4A" w:rsidP="00DD00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889063"/>
      <w:docPartObj>
        <w:docPartGallery w:val="Page Numbers (Bottom of Page)"/>
        <w:docPartUnique/>
      </w:docPartObj>
    </w:sdtPr>
    <w:sdtContent>
      <w:p w:rsidR="00DD001D" w:rsidRDefault="00DD001D">
        <w:pPr>
          <w:pStyle w:val="Stopka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DD001D" w:rsidRDefault="00DD001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3E4A" w:rsidRDefault="00F83E4A" w:rsidP="00DD001D">
      <w:r>
        <w:separator/>
      </w:r>
    </w:p>
  </w:footnote>
  <w:footnote w:type="continuationSeparator" w:id="0">
    <w:p w:rsidR="00F83E4A" w:rsidRDefault="00F83E4A" w:rsidP="00DD001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1153"/>
    <w:rsid w:val="000F4506"/>
    <w:rsid w:val="00163CDA"/>
    <w:rsid w:val="00357BB7"/>
    <w:rsid w:val="003A22F2"/>
    <w:rsid w:val="007C11C3"/>
    <w:rsid w:val="0095092C"/>
    <w:rsid w:val="00CF1153"/>
    <w:rsid w:val="00DC390C"/>
    <w:rsid w:val="00DD001D"/>
    <w:rsid w:val="00F83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45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DD00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D001D"/>
  </w:style>
  <w:style w:type="paragraph" w:styleId="Stopka">
    <w:name w:val="footer"/>
    <w:basedOn w:val="Normalny"/>
    <w:link w:val="StopkaZnak"/>
    <w:uiPriority w:val="99"/>
    <w:unhideWhenUsed/>
    <w:rsid w:val="00DD00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00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1433</Words>
  <Characters>8604</Characters>
  <Application>Microsoft Office Word</Application>
  <DocSecurity>0</DocSecurity>
  <Lines>71</Lines>
  <Paragraphs>20</Paragraphs>
  <ScaleCrop>false</ScaleCrop>
  <Company/>
  <LinksUpToDate>false</LinksUpToDate>
  <CharactersWithSpaces>10017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</dc:creator>
  <cp:keywords/>
  <dc:description/>
  <cp:lastModifiedBy>Danuta</cp:lastModifiedBy>
  <cp:revision>2</cp:revision>
  <dcterms:created xsi:type="dcterms:W3CDTF">2013-09-16T12:03:00Z</dcterms:created>
  <dcterms:modified xsi:type="dcterms:W3CDTF">2013-09-16T12:12:00Z</dcterms:modified>
</cp:coreProperties>
</file>