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B2" w:rsidRPr="00BF3FB2" w:rsidRDefault="00BF3FB2" w:rsidP="00A9495B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</w:t>
      </w:r>
      <w:r w:rsidRPr="00BF3FB2">
        <w:rPr>
          <w:b w:val="0"/>
        </w:rPr>
        <w:t>zał. nr 2 do zapytania ofertowego</w:t>
      </w:r>
      <w:r w:rsidR="001B100D">
        <w:rPr>
          <w:b w:val="0"/>
        </w:rPr>
        <w:t xml:space="preserve"> z dnia 09</w:t>
      </w:r>
      <w:r w:rsidR="00AD4CB8">
        <w:rPr>
          <w:b w:val="0"/>
        </w:rPr>
        <w:t>.05</w:t>
      </w:r>
      <w:r>
        <w:rPr>
          <w:b w:val="0"/>
        </w:rPr>
        <w:t>.2019 r.</w:t>
      </w:r>
    </w:p>
    <w:p w:rsidR="00BF3FB2" w:rsidRDefault="00BF3FB2" w:rsidP="00A9495B">
      <w:pPr>
        <w:pStyle w:val="Tytu"/>
      </w:pPr>
    </w:p>
    <w:p w:rsidR="00A9495B" w:rsidRDefault="00A9495B" w:rsidP="00A9495B">
      <w:pPr>
        <w:pStyle w:val="Tytu"/>
      </w:pPr>
      <w:r>
        <w:t xml:space="preserve">UMOWA </w:t>
      </w:r>
    </w:p>
    <w:p w:rsidR="00A9495B" w:rsidRDefault="00E265AA" w:rsidP="00A9495B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A9495B">
        <w:t>32.       .201</w:t>
      </w:r>
      <w:r w:rsidR="00883F6E">
        <w:t>9</w:t>
      </w:r>
    </w:p>
    <w:p w:rsidR="00A9495B" w:rsidRDefault="00A9495B" w:rsidP="00A9495B">
      <w:pPr>
        <w:jc w:val="both"/>
      </w:pP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E265AA">
        <w:t>……</w:t>
      </w:r>
      <w:r>
        <w:rPr>
          <w:b/>
        </w:rPr>
        <w:t>.</w:t>
      </w:r>
      <w:r w:rsidRPr="00A73DBE">
        <w:rPr>
          <w:b/>
        </w:rPr>
        <w:t>201</w:t>
      </w:r>
      <w:r w:rsidR="00883F6E">
        <w:rPr>
          <w:b/>
        </w:rPr>
        <w:t>9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8B4519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both"/>
      </w:pP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2019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3E91" w:rsidRPr="00793E91" w:rsidRDefault="00793E91" w:rsidP="00793E9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</w:t>
      </w:r>
      <w:r w:rsidRPr="00053377">
        <w:rPr>
          <w:b/>
        </w:rPr>
        <w:t xml:space="preserve">oznakowanie cienkowarstwowe </w:t>
      </w:r>
      <w:r>
        <w:rPr>
          <w:b/>
        </w:rPr>
        <w:t xml:space="preserve">jezdni </w:t>
      </w:r>
      <w:r w:rsidR="00972676">
        <w:rPr>
          <w:b/>
        </w:rPr>
        <w:t>w kolorze białym w ilości 2 4</w:t>
      </w:r>
      <w:r w:rsidR="00883F6E">
        <w:rPr>
          <w:b/>
        </w:rPr>
        <w:t>7</w:t>
      </w:r>
      <w:r>
        <w:rPr>
          <w:b/>
        </w:rPr>
        <w:t>0</w:t>
      </w:r>
      <w:r w:rsidRPr="00053377">
        <w:rPr>
          <w:b/>
        </w:rPr>
        <w:t xml:space="preserve"> 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93E91" w:rsidRPr="0038469C" w:rsidRDefault="00793E91" w:rsidP="00793E91">
      <w:pPr>
        <w:tabs>
          <w:tab w:val="left" w:pos="360"/>
        </w:tabs>
        <w:jc w:val="both"/>
        <w:rPr>
          <w:b/>
          <w:vertAlign w:val="superscript"/>
        </w:rPr>
      </w:pPr>
      <w:r>
        <w:rPr>
          <w:b/>
        </w:rPr>
        <w:t xml:space="preserve">- </w:t>
      </w:r>
      <w:r w:rsidRPr="0038469C">
        <w:rPr>
          <w:b/>
        </w:rPr>
        <w:t>oznakowanie cienkowarstwowe</w:t>
      </w:r>
      <w:r>
        <w:rPr>
          <w:b/>
        </w:rPr>
        <w:t xml:space="preserve"> powierzchni stanowisk </w:t>
      </w:r>
      <w:r w:rsidRPr="0038469C">
        <w:rPr>
          <w:b/>
        </w:rPr>
        <w:t>postojowych przeznaczonych dla osób niepełnosprawnych</w:t>
      </w:r>
      <w:r>
        <w:rPr>
          <w:b/>
        </w:rPr>
        <w:t xml:space="preserve"> </w:t>
      </w:r>
      <w:r w:rsidRPr="0038469C">
        <w:rPr>
          <w:b/>
        </w:rPr>
        <w:t>w kolorze ni</w:t>
      </w:r>
      <w:r w:rsidR="00972676">
        <w:rPr>
          <w:b/>
        </w:rPr>
        <w:t>ebieskim w ilości 1</w:t>
      </w:r>
      <w:r w:rsidR="00883F6E">
        <w:rPr>
          <w:b/>
        </w:rPr>
        <w:t>30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  <w:r w:rsidRPr="0038469C">
        <w:rPr>
          <w:b/>
        </w:rPr>
        <w:t>.</w:t>
      </w:r>
    </w:p>
    <w:p w:rsidR="00793E91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 xml:space="preserve">przy sprzyjających warunkach atmosferycznych (temperatura powietrza </w:t>
      </w:r>
      <w:r>
        <w:br/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592981" w:rsidRDefault="00A9495B" w:rsidP="00793E91">
      <w:pPr>
        <w:jc w:val="both"/>
        <w:rPr>
          <w:bCs/>
          <w:sz w:val="22"/>
          <w:szCs w:val="22"/>
        </w:rPr>
      </w:pP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 xml:space="preserve">……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31.05.2019</w:t>
      </w:r>
      <w:r w:rsidRPr="008B4519">
        <w:rPr>
          <w:rFonts w:eastAsia="SimSun"/>
          <w:b/>
        </w:rPr>
        <w:t xml:space="preserve"> r.</w:t>
      </w:r>
    </w:p>
    <w:p w:rsidR="00793E91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w Urzędzie Miejskim w Leżajsku  (pok. 2</w:t>
      </w:r>
      <w:r w:rsidR="00883F6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BF3FB2" w:rsidRDefault="00BF3FB2" w:rsidP="00BF3FB2"/>
    <w:p w:rsidR="00BF3FB2" w:rsidRPr="00BF3FB2" w:rsidRDefault="00BF3FB2" w:rsidP="00BF3FB2"/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lastRenderedPageBreak/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BF3FB2" w:rsidRDefault="005A32B2" w:rsidP="00BF3FB2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A9495B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Default="00A9495B" w:rsidP="00A9495B"/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BF3FB2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BF3FB2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Pr="00560572" w:rsidRDefault="00A9495B" w:rsidP="00BF3FB2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BF3FB2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4C325D" w:rsidRPr="00793E91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</w:t>
      </w:r>
      <w:bookmarkStart w:id="0" w:name="_GoBack"/>
      <w:bookmarkEnd w:id="0"/>
      <w:r>
        <w:rPr>
          <w:b/>
          <w:sz w:val="26"/>
        </w:rPr>
        <w:t>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793E91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D7" w:rsidRDefault="009F48D7" w:rsidP="00C815A3">
      <w:r>
        <w:separator/>
      </w:r>
    </w:p>
  </w:endnote>
  <w:endnote w:type="continuationSeparator" w:id="0">
    <w:p w:rsidR="009F48D7" w:rsidRDefault="009F48D7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.2019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1B100D">
      <w:rPr>
        <w:i/>
        <w:noProof/>
      </w:rPr>
      <w:t>2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1B100D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D7" w:rsidRDefault="009F48D7" w:rsidP="00C815A3">
      <w:r>
        <w:separator/>
      </w:r>
    </w:p>
  </w:footnote>
  <w:footnote w:type="continuationSeparator" w:id="0">
    <w:p w:rsidR="009F48D7" w:rsidRDefault="009F48D7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100D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738F"/>
    <w:rsid w:val="007A08D1"/>
    <w:rsid w:val="007A1ED5"/>
    <w:rsid w:val="007A3DEC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48D7"/>
    <w:rsid w:val="009F4D1D"/>
    <w:rsid w:val="009F63FE"/>
    <w:rsid w:val="00A0416C"/>
    <w:rsid w:val="00A06CE9"/>
    <w:rsid w:val="00A13B44"/>
    <w:rsid w:val="00A167E6"/>
    <w:rsid w:val="00A16D32"/>
    <w:rsid w:val="00A16E7C"/>
    <w:rsid w:val="00A21720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4CB8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0EDC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0E35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ABE"/>
    <w:rsid w:val="00BA46A3"/>
    <w:rsid w:val="00BA46AF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3FB2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7F9"/>
    <w:rsid w:val="00EA7B46"/>
    <w:rsid w:val="00EB219C"/>
    <w:rsid w:val="00EB29BD"/>
    <w:rsid w:val="00EC08D4"/>
    <w:rsid w:val="00EC1650"/>
    <w:rsid w:val="00EC165B"/>
    <w:rsid w:val="00EC1A12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2017-05-12T12:27:00Z</cp:lastPrinted>
  <dcterms:created xsi:type="dcterms:W3CDTF">2018-04-20T07:52:00Z</dcterms:created>
  <dcterms:modified xsi:type="dcterms:W3CDTF">2019-05-09T06:13:00Z</dcterms:modified>
</cp:coreProperties>
</file>