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D875" w14:textId="77777777" w:rsidR="00676194" w:rsidRDefault="00676194" w:rsidP="00D30FCC">
      <w:pPr>
        <w:pStyle w:val="Tytu"/>
        <w:widowControl w:val="0"/>
        <w:jc w:val="left"/>
        <w:rPr>
          <w:szCs w:val="24"/>
        </w:rPr>
      </w:pPr>
    </w:p>
    <w:p w14:paraId="1083FD1D" w14:textId="3D0DFDF2" w:rsidR="00676194" w:rsidRPr="005D4943" w:rsidRDefault="00676194" w:rsidP="00021B5C">
      <w:pPr>
        <w:pStyle w:val="Tytu"/>
        <w:widowControl w:val="0"/>
        <w:rPr>
          <w:szCs w:val="24"/>
        </w:rPr>
      </w:pPr>
      <w:r>
        <w:rPr>
          <w:szCs w:val="24"/>
        </w:rPr>
        <w:t>Umowa  Nr IGKm.272.</w:t>
      </w:r>
      <w:r w:rsidR="00E452BE">
        <w:rPr>
          <w:szCs w:val="24"/>
        </w:rPr>
        <w:t xml:space="preserve">    </w:t>
      </w:r>
      <w:r>
        <w:rPr>
          <w:szCs w:val="24"/>
        </w:rPr>
        <w:t>.20</w:t>
      </w:r>
      <w:r w:rsidR="00B27E14">
        <w:rPr>
          <w:szCs w:val="24"/>
        </w:rPr>
        <w:t>20</w:t>
      </w:r>
      <w:r>
        <w:rPr>
          <w:szCs w:val="24"/>
        </w:rPr>
        <w:t>.mk</w:t>
      </w:r>
    </w:p>
    <w:p w14:paraId="3291F7A2" w14:textId="77777777"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5E13D" w14:textId="77384FA9" w:rsidR="00676194" w:rsidRDefault="00676194" w:rsidP="0005141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</w:pPr>
      <w:r w:rsidRPr="00A00FDA">
        <w:rPr>
          <w:color w:val="auto"/>
        </w:rPr>
        <w:t xml:space="preserve">zawarta </w:t>
      </w:r>
      <w:r>
        <w:t>w</w:t>
      </w:r>
      <w:r w:rsidRPr="005D4943">
        <w:t xml:space="preserve">  dniu  </w:t>
      </w:r>
      <w:r w:rsidR="00E452BE">
        <w:t xml:space="preserve">      </w:t>
      </w:r>
      <w:r>
        <w:t>20</w:t>
      </w:r>
      <w:r w:rsidR="00B27E14">
        <w:t>20</w:t>
      </w:r>
      <w:r>
        <w:t xml:space="preserve"> </w:t>
      </w:r>
      <w:r w:rsidRPr="005D4943">
        <w:t xml:space="preserve">roku w </w:t>
      </w:r>
      <w:r>
        <w:t>Kowalach Oleckich</w:t>
      </w:r>
      <w:r w:rsidRPr="005D4943">
        <w:t xml:space="preserve"> pomiędzy</w:t>
      </w:r>
      <w:r>
        <w:t>:</w:t>
      </w:r>
    </w:p>
    <w:p w14:paraId="3C2E9D67" w14:textId="77777777" w:rsidR="00676194" w:rsidRPr="00B26271" w:rsidRDefault="00676194" w:rsidP="0005141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auto"/>
        </w:rPr>
      </w:pPr>
      <w:r w:rsidRPr="00D30FCC">
        <w:rPr>
          <w:b/>
          <w:bCs/>
        </w:rPr>
        <w:t>Gminą Kowale Oleckie</w:t>
      </w:r>
      <w:r>
        <w:t xml:space="preserve"> z siedzibą przy ul. Kościuszki 44, 19-420 Kowale </w:t>
      </w:r>
      <w:r w:rsidRPr="00A00FDA">
        <w:rPr>
          <w:color w:val="auto"/>
        </w:rPr>
        <w:t xml:space="preserve">Oleckie </w:t>
      </w:r>
      <w:r>
        <w:t xml:space="preserve">reprezentowaną przez </w:t>
      </w:r>
      <w:r w:rsidRPr="00B26271">
        <w:rPr>
          <w:color w:val="auto"/>
        </w:rPr>
        <w:t>reprezentowaną przez :</w:t>
      </w:r>
    </w:p>
    <w:p w14:paraId="635953C1" w14:textId="77777777" w:rsidR="00676194" w:rsidRDefault="00676194" w:rsidP="00E452B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auto"/>
        </w:rPr>
      </w:pPr>
      <w:r w:rsidRPr="00B26271">
        <w:rPr>
          <w:color w:val="auto"/>
        </w:rPr>
        <w:t xml:space="preserve">Krzysztofa Locmana – </w:t>
      </w:r>
      <w:r w:rsidRPr="00D1062F">
        <w:rPr>
          <w:color w:val="auto"/>
        </w:rPr>
        <w:t>W</w:t>
      </w:r>
      <w:r w:rsidRPr="00B26271">
        <w:rPr>
          <w:color w:val="auto"/>
          <w:lang w:val="es-ES_tradnl"/>
        </w:rPr>
        <w:t>ó</w:t>
      </w:r>
      <w:proofErr w:type="spellStart"/>
      <w:r w:rsidRPr="00B26271">
        <w:rPr>
          <w:color w:val="auto"/>
        </w:rPr>
        <w:t>jta</w:t>
      </w:r>
      <w:proofErr w:type="spellEnd"/>
      <w:r w:rsidRPr="00B26271">
        <w:rPr>
          <w:color w:val="auto"/>
        </w:rPr>
        <w:t xml:space="preserve"> Gminy Kowale Oleckie przy kontrasygnacie Skarbnika Gminy </w:t>
      </w:r>
      <w:r>
        <w:rPr>
          <w:color w:val="auto"/>
        </w:rPr>
        <w:t>Doroty Zaniewskiej</w:t>
      </w:r>
      <w:r w:rsidRPr="00B26271">
        <w:rPr>
          <w:color w:val="auto"/>
        </w:rPr>
        <w:t xml:space="preserve">, </w:t>
      </w:r>
    </w:p>
    <w:p w14:paraId="74EEFD0F" w14:textId="77777777" w:rsidR="00676194" w:rsidRPr="00344AEE" w:rsidRDefault="00676194" w:rsidP="00E452B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color w:val="auto"/>
        </w:rPr>
      </w:pPr>
      <w:r w:rsidRPr="00B26271">
        <w:rPr>
          <w:color w:val="auto"/>
        </w:rPr>
        <w:t xml:space="preserve">zwaną w dalszej części umowy </w:t>
      </w:r>
      <w:r w:rsidRPr="00344AEE">
        <w:rPr>
          <w:b/>
          <w:color w:val="auto"/>
        </w:rPr>
        <w:t>„Zamawiającym”</w:t>
      </w:r>
    </w:p>
    <w:p w14:paraId="0F6F2283" w14:textId="77777777" w:rsidR="00676194" w:rsidRDefault="00676194" w:rsidP="00E452B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 xml:space="preserve">a </w:t>
      </w:r>
    </w:p>
    <w:p w14:paraId="6CBA4EB0" w14:textId="77777777" w:rsidR="00E452BE" w:rsidRDefault="00E452BE" w:rsidP="00E452BE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8BAB05" w14:textId="47DC6277" w:rsidR="00676194" w:rsidRDefault="0002458B" w:rsidP="00E452B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reprezentowana przez</w:t>
      </w:r>
    </w:p>
    <w:p w14:paraId="4A2CB7D5" w14:textId="77777777" w:rsidR="00676194" w:rsidRPr="00147950" w:rsidRDefault="00676194" w:rsidP="00E452BE">
      <w:pPr>
        <w:widowControl w:val="0"/>
        <w:spacing w:after="0" w:line="36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D4943">
        <w:rPr>
          <w:rFonts w:ascii="Times New Roman" w:hAnsi="Times New Roman"/>
          <w:sz w:val="24"/>
          <w:szCs w:val="24"/>
        </w:rPr>
        <w:t>wan</w:t>
      </w:r>
      <w:r>
        <w:rPr>
          <w:rFonts w:ascii="Times New Roman" w:hAnsi="Times New Roman"/>
          <w:sz w:val="24"/>
          <w:szCs w:val="24"/>
        </w:rPr>
        <w:t>ym w dalszej części umowy</w:t>
      </w:r>
      <w:r w:rsidRPr="005D4943">
        <w:rPr>
          <w:rFonts w:ascii="Times New Roman" w:hAnsi="Times New Roman"/>
          <w:sz w:val="24"/>
          <w:szCs w:val="24"/>
        </w:rPr>
        <w:t xml:space="preserve"> </w:t>
      </w:r>
      <w:r w:rsidRPr="005D4943">
        <w:rPr>
          <w:rFonts w:ascii="Times New Roman" w:hAnsi="Times New Roman"/>
          <w:b/>
          <w:sz w:val="24"/>
          <w:szCs w:val="24"/>
        </w:rPr>
        <w:t xml:space="preserve">„Wykonawcą” </w:t>
      </w:r>
    </w:p>
    <w:p w14:paraId="30953820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703FB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</w:t>
      </w:r>
    </w:p>
    <w:p w14:paraId="2780A4A7" w14:textId="55C92795" w:rsidR="00676194" w:rsidRPr="00147950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Na podstawie przeprowadzonego w dni</w:t>
      </w:r>
      <w:r w:rsidR="0002458B">
        <w:rPr>
          <w:rFonts w:ascii="Times New Roman" w:hAnsi="Times New Roman"/>
          <w:sz w:val="24"/>
          <w:szCs w:val="24"/>
        </w:rPr>
        <w:t>ach</w:t>
      </w:r>
      <w:r w:rsidR="00E452BE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02458B">
        <w:rPr>
          <w:rFonts w:ascii="Times New Roman" w:hAnsi="Times New Roman"/>
          <w:bCs/>
          <w:sz w:val="24"/>
          <w:szCs w:val="24"/>
        </w:rPr>
        <w:t>.2020 r.</w:t>
      </w:r>
      <w:r w:rsidRPr="005D4943">
        <w:rPr>
          <w:rFonts w:ascii="Times New Roman" w:hAnsi="Times New Roman"/>
          <w:sz w:val="24"/>
          <w:szCs w:val="24"/>
        </w:rPr>
        <w:t xml:space="preserve">  postępowania o udzielenie zamówienia publicznego o wartości poniżej </w:t>
      </w:r>
      <w:r>
        <w:rPr>
          <w:rFonts w:ascii="Times New Roman" w:hAnsi="Times New Roman"/>
          <w:sz w:val="24"/>
          <w:szCs w:val="24"/>
        </w:rPr>
        <w:t>30</w:t>
      </w:r>
      <w:r w:rsidRPr="005D4943">
        <w:rPr>
          <w:rFonts w:ascii="Times New Roman" w:hAnsi="Times New Roman"/>
          <w:sz w:val="24"/>
          <w:szCs w:val="24"/>
        </w:rPr>
        <w:t xml:space="preserve">000 </w:t>
      </w:r>
      <w:r w:rsidRPr="00147950">
        <w:rPr>
          <w:rFonts w:ascii="Times New Roman" w:hAnsi="Times New Roman"/>
          <w:sz w:val="24"/>
          <w:szCs w:val="24"/>
        </w:rPr>
        <w:t>euro „Zamawiający” zleca, a „Wykonawca” przyjmuje do wykonania opracowywanie projektów decyzji o warunkach zabudowy, projektów decyzji o ustaleniu lokalizacji inwestycji celu publicznego oraz zmian tych decyzji dla terenów zlokalizowanych na obszarze gminy Kowale Oleckie w 20</w:t>
      </w:r>
      <w:r w:rsidR="00B27E14">
        <w:rPr>
          <w:rFonts w:ascii="Times New Roman" w:hAnsi="Times New Roman"/>
          <w:sz w:val="24"/>
          <w:szCs w:val="24"/>
        </w:rPr>
        <w:t>2</w:t>
      </w:r>
      <w:r w:rsidR="00E452BE">
        <w:rPr>
          <w:rFonts w:ascii="Times New Roman" w:hAnsi="Times New Roman"/>
          <w:sz w:val="24"/>
          <w:szCs w:val="24"/>
        </w:rPr>
        <w:t>1</w:t>
      </w:r>
      <w:r w:rsidR="00B27E14">
        <w:rPr>
          <w:rFonts w:ascii="Times New Roman" w:hAnsi="Times New Roman"/>
          <w:sz w:val="24"/>
          <w:szCs w:val="24"/>
        </w:rPr>
        <w:t xml:space="preserve"> </w:t>
      </w:r>
      <w:r w:rsidRPr="00147950">
        <w:rPr>
          <w:rFonts w:ascii="Times New Roman" w:hAnsi="Times New Roman"/>
          <w:sz w:val="24"/>
          <w:szCs w:val="24"/>
        </w:rPr>
        <w:t>roku.</w:t>
      </w:r>
    </w:p>
    <w:p w14:paraId="0D3966CC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96890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2</w:t>
      </w:r>
    </w:p>
    <w:p w14:paraId="459D4EF4" w14:textId="77777777" w:rsidR="00676194" w:rsidRPr="00147950" w:rsidRDefault="00676194" w:rsidP="00A00F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 xml:space="preserve">W ramach przedmiotu </w:t>
      </w:r>
      <w:r w:rsidRPr="00147950">
        <w:rPr>
          <w:rFonts w:ascii="Times New Roman" w:hAnsi="Times New Roman"/>
          <w:sz w:val="24"/>
          <w:szCs w:val="24"/>
        </w:rPr>
        <w:t>umowy „Wykonawca” zobowiązany jest do:</w:t>
      </w:r>
    </w:p>
    <w:p w14:paraId="3EEABD2F" w14:textId="20880DF4" w:rsidR="00676194" w:rsidRPr="009E2D56" w:rsidRDefault="00676194" w:rsidP="009E2D56">
      <w:pPr>
        <w:widowControl w:val="0"/>
        <w:numPr>
          <w:ilvl w:val="0"/>
          <w:numId w:val="12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sporządzanie projektów decyzji o warunkach zabudowy</w:t>
      </w:r>
      <w:r w:rsidRPr="005D4943">
        <w:rPr>
          <w:rFonts w:ascii="Times New Roman" w:hAnsi="Times New Roman"/>
          <w:sz w:val="24"/>
          <w:szCs w:val="24"/>
        </w:rPr>
        <w:t xml:space="preserve">, decyzji o ustaleniu lokalizacji inwestycji celu publicznego oraz </w:t>
      </w:r>
      <w:r w:rsidRPr="009E2D56">
        <w:rPr>
          <w:rFonts w:ascii="Times New Roman" w:hAnsi="Times New Roman"/>
          <w:sz w:val="24"/>
          <w:szCs w:val="24"/>
        </w:rPr>
        <w:t>zmian tych decyzji dla terenów zlokalizowanych na obszarze gminy Kowale Oleckie. Projekty ww. decyzji należy opracowywać zgodnie z wymaganiami ustawy z dnia 27 marca 2003 r. o planowaniu i zagospodarowaniu przestrzennym (t. j. Dz. U. z 20</w:t>
      </w:r>
      <w:r w:rsidR="00E452BE">
        <w:rPr>
          <w:rFonts w:ascii="Times New Roman" w:hAnsi="Times New Roman"/>
          <w:sz w:val="24"/>
          <w:szCs w:val="24"/>
        </w:rPr>
        <w:t>20</w:t>
      </w:r>
      <w:r w:rsidRPr="009E2D56">
        <w:rPr>
          <w:rFonts w:ascii="Times New Roman" w:hAnsi="Times New Roman"/>
          <w:sz w:val="24"/>
          <w:szCs w:val="24"/>
        </w:rPr>
        <w:t xml:space="preserve"> r., poz. </w:t>
      </w:r>
      <w:r w:rsidR="00E452BE">
        <w:rPr>
          <w:rFonts w:ascii="Times New Roman" w:hAnsi="Times New Roman"/>
          <w:sz w:val="24"/>
          <w:szCs w:val="24"/>
        </w:rPr>
        <w:t>293</w:t>
      </w:r>
      <w:r w:rsidR="00B27E1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27E14">
        <w:rPr>
          <w:rFonts w:ascii="Times New Roman" w:hAnsi="Times New Roman"/>
          <w:sz w:val="24"/>
          <w:szCs w:val="24"/>
        </w:rPr>
        <w:t>późn</w:t>
      </w:r>
      <w:proofErr w:type="spellEnd"/>
      <w:r w:rsidR="00B27E14">
        <w:rPr>
          <w:rFonts w:ascii="Times New Roman" w:hAnsi="Times New Roman"/>
          <w:sz w:val="24"/>
          <w:szCs w:val="24"/>
        </w:rPr>
        <w:t>. zm.</w:t>
      </w:r>
      <w:r w:rsidRPr="009E2D56">
        <w:rPr>
          <w:rFonts w:ascii="Times New Roman" w:hAnsi="Times New Roman"/>
          <w:sz w:val="24"/>
          <w:szCs w:val="24"/>
        </w:rPr>
        <w:t>) oraz przepisami wykonawczymi do ustawy</w:t>
      </w:r>
      <w:r>
        <w:rPr>
          <w:rFonts w:ascii="Times New Roman" w:hAnsi="Times New Roman"/>
          <w:sz w:val="24"/>
          <w:szCs w:val="24"/>
        </w:rPr>
        <w:t>;</w:t>
      </w:r>
    </w:p>
    <w:p w14:paraId="4E68860C" w14:textId="77777777" w:rsidR="00676194" w:rsidRPr="005D4943" w:rsidRDefault="00676194" w:rsidP="00021B5C">
      <w:pPr>
        <w:widowControl w:val="0"/>
        <w:numPr>
          <w:ilvl w:val="0"/>
          <w:numId w:val="12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9E2D56">
        <w:rPr>
          <w:rFonts w:ascii="Times New Roman" w:hAnsi="Times New Roman"/>
          <w:sz w:val="24"/>
          <w:szCs w:val="24"/>
        </w:rPr>
        <w:t>aktywnego uczestnictwa w procedurze administracyjnej związanej z wydawaniem ww. decyzji, w tym: opracowywania korekt decyzji w oparciu</w:t>
      </w:r>
      <w:r w:rsidRPr="005D4943">
        <w:rPr>
          <w:rFonts w:ascii="Times New Roman" w:hAnsi="Times New Roman"/>
          <w:sz w:val="24"/>
          <w:szCs w:val="24"/>
        </w:rPr>
        <w:t xml:space="preserve"> o uzyskane uzgodnienia</w:t>
      </w:r>
      <w:r>
        <w:rPr>
          <w:rFonts w:ascii="Times New Roman" w:hAnsi="Times New Roman"/>
          <w:sz w:val="24"/>
          <w:szCs w:val="24"/>
        </w:rPr>
        <w:t>;</w:t>
      </w:r>
    </w:p>
    <w:p w14:paraId="1AEB4943" w14:textId="77777777" w:rsidR="00676194" w:rsidRPr="005D4943" w:rsidRDefault="00676194" w:rsidP="00021B5C">
      <w:pPr>
        <w:widowControl w:val="0"/>
        <w:numPr>
          <w:ilvl w:val="0"/>
          <w:numId w:val="12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nieodpłatnego sporządzania projektów decyzji, które będą opracowywane w wyniku uchylenia lub unieważnienia przez organy wyższego stopnia decyzji opracowanych przez tego Wykonawcę, a uchylonych lub unieważnionych w wyniku błędów merytorycznych popełnionych przez Wykonawcę oraz formułowania pism, uzasadnień i ustosunkowania się do wniesionych zarzutów na etapach odwoławczych.</w:t>
      </w:r>
    </w:p>
    <w:p w14:paraId="4F664D15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7EBE2" w14:textId="1C69DF11" w:rsidR="00676194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3</w:t>
      </w:r>
    </w:p>
    <w:p w14:paraId="249F5948" w14:textId="40F52630" w:rsidR="00E452BE" w:rsidRPr="005D4943" w:rsidRDefault="00E452BE" w:rsidP="00E452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Wymagane jest przez Wykonawcę osobiste odebranie wniosku o wydanie odpowiedniej    decyzji wraz  załącznikami i pokwitowanie odbioru wraz z podaniem daty na wniosku</w:t>
      </w:r>
    </w:p>
    <w:p w14:paraId="1F10FAFF" w14:textId="230A99EF" w:rsidR="00676194" w:rsidRPr="00147950" w:rsidRDefault="00E452BE" w:rsidP="00E452BE">
      <w:pPr>
        <w:pStyle w:val="Akapitzlist"/>
        <w:widowControl w:val="0"/>
        <w:ind w:left="0"/>
        <w:jc w:val="both"/>
      </w:pPr>
      <w:r>
        <w:t xml:space="preserve">2. </w:t>
      </w:r>
      <w:r w:rsidR="00676194" w:rsidRPr="00147950">
        <w:t xml:space="preserve">„Wykonawca” </w:t>
      </w:r>
      <w:r w:rsidR="00676194" w:rsidRPr="00A00FDA">
        <w:t>z</w:t>
      </w:r>
      <w:r w:rsidR="00676194" w:rsidRPr="00147950">
        <w:t xml:space="preserve">realizuje przedmiot zamówienia po otrzymaniu </w:t>
      </w:r>
      <w:r w:rsidR="00676194" w:rsidRPr="00A00FDA">
        <w:t>od Zamawiającego</w:t>
      </w:r>
      <w:r w:rsidR="00676194" w:rsidRPr="00A7526B">
        <w:rPr>
          <w:color w:val="FF0000"/>
        </w:rPr>
        <w:t xml:space="preserve"> </w:t>
      </w:r>
      <w:r w:rsidR="00676194" w:rsidRPr="00147950">
        <w:t>materiałów w nieprzekraczalnych terminach:</w:t>
      </w:r>
    </w:p>
    <w:p w14:paraId="6979BD75" w14:textId="77777777" w:rsidR="00676194" w:rsidRPr="00147950" w:rsidRDefault="00676194" w:rsidP="00206DD4">
      <w:pPr>
        <w:pStyle w:val="Akapitzlist"/>
        <w:widowControl w:val="0"/>
        <w:numPr>
          <w:ilvl w:val="0"/>
          <w:numId w:val="17"/>
        </w:numPr>
        <w:ind w:left="641" w:hanging="357"/>
        <w:jc w:val="both"/>
      </w:pPr>
      <w:r w:rsidRPr="00147950">
        <w:t>14 dni dla projektów decyzji o warunkach zabudowy oraz projektów decyzji o ustaleniu lokalizacji celu publicznego,</w:t>
      </w:r>
    </w:p>
    <w:p w14:paraId="7E6633E0" w14:textId="77777777" w:rsidR="00676194" w:rsidRPr="00147950" w:rsidRDefault="00676194" w:rsidP="00206DD4">
      <w:pPr>
        <w:pStyle w:val="Akapitzlist"/>
        <w:widowControl w:val="0"/>
        <w:numPr>
          <w:ilvl w:val="0"/>
          <w:numId w:val="17"/>
        </w:numPr>
        <w:ind w:left="641" w:hanging="357"/>
        <w:jc w:val="both"/>
      </w:pPr>
      <w:r w:rsidRPr="00147950">
        <w:t xml:space="preserve">7 dni dla projektów zmian decyzji o warunkach zabudowy i decyzji o ustaleniu </w:t>
      </w:r>
      <w:r w:rsidRPr="00147950">
        <w:lastRenderedPageBreak/>
        <w:t>lokalizacji inwestycji celu publicznego.</w:t>
      </w:r>
    </w:p>
    <w:p w14:paraId="31E11AAD" w14:textId="3F4266F0" w:rsidR="00676194" w:rsidRPr="00147950" w:rsidRDefault="00E452BE" w:rsidP="00E452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76194" w:rsidRPr="00147950">
        <w:rPr>
          <w:rFonts w:ascii="Times New Roman" w:hAnsi="Times New Roman"/>
          <w:sz w:val="24"/>
          <w:szCs w:val="24"/>
        </w:rPr>
        <w:t>W przypadku wadliwego przygotowania projektu decyzji, „Wykonawca” będzie zobowiązany poprawić projekt decyzji bez dodatkowych kosztów w ciągu 5 dni.</w:t>
      </w:r>
    </w:p>
    <w:p w14:paraId="23C933E5" w14:textId="7EEE0E95" w:rsidR="00676194" w:rsidRPr="00147950" w:rsidRDefault="00E452BE" w:rsidP="00E452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76194" w:rsidRPr="00147950">
        <w:rPr>
          <w:rFonts w:ascii="Times New Roman" w:hAnsi="Times New Roman"/>
          <w:sz w:val="24"/>
          <w:szCs w:val="24"/>
        </w:rPr>
        <w:t>Koszty związane z przygotowaniem i dostarczeniem dokumentów do „Wykonawcy” poniesie „Zamawiający”.</w:t>
      </w:r>
    </w:p>
    <w:p w14:paraId="78D891E2" w14:textId="17445864" w:rsidR="00676194" w:rsidRPr="00147950" w:rsidRDefault="00E452BE" w:rsidP="00E452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76194" w:rsidRPr="00147950">
        <w:rPr>
          <w:rFonts w:ascii="Times New Roman" w:hAnsi="Times New Roman"/>
          <w:sz w:val="24"/>
          <w:szCs w:val="24"/>
        </w:rPr>
        <w:t>Koszty związane z przygotowaniem projektów decyzji i dostarczeniem do „Zamawiającego” poniesie „Wykonawca”.</w:t>
      </w:r>
    </w:p>
    <w:p w14:paraId="27618610" w14:textId="1C9BECD9" w:rsidR="00676194" w:rsidRPr="00147950" w:rsidRDefault="00E452BE" w:rsidP="00E452BE">
      <w:pPr>
        <w:pStyle w:val="Akapitzlist"/>
        <w:widowControl w:val="0"/>
        <w:ind w:left="0"/>
        <w:jc w:val="both"/>
      </w:pPr>
      <w:r>
        <w:t xml:space="preserve">6. </w:t>
      </w:r>
      <w:r w:rsidR="00676194" w:rsidRPr="00147950">
        <w:t>Opracowane projekty powinny by</w:t>
      </w:r>
      <w:r w:rsidR="00676194" w:rsidRPr="00147950">
        <w:rPr>
          <w:rFonts w:eastAsia="TimesNewRoman"/>
        </w:rPr>
        <w:t xml:space="preserve">ć </w:t>
      </w:r>
      <w:r w:rsidR="00676194" w:rsidRPr="00147950">
        <w:t>przygotowane w wersji elektronicznej i w wersji papierowej (wydrukowane i podpisane przez osob</w:t>
      </w:r>
      <w:r w:rsidR="00676194" w:rsidRPr="00147950">
        <w:rPr>
          <w:rFonts w:eastAsia="TimesNewRoman"/>
        </w:rPr>
        <w:t xml:space="preserve">ę </w:t>
      </w:r>
      <w:r w:rsidR="00676194" w:rsidRPr="00147950">
        <w:t>wpisan</w:t>
      </w:r>
      <w:r w:rsidR="00676194" w:rsidRPr="00147950">
        <w:rPr>
          <w:rFonts w:eastAsia="TimesNewRoman"/>
        </w:rPr>
        <w:t xml:space="preserve">ą </w:t>
      </w:r>
      <w:r w:rsidR="00676194" w:rsidRPr="00147950">
        <w:t>na list</w:t>
      </w:r>
      <w:r w:rsidR="00676194" w:rsidRPr="00147950">
        <w:rPr>
          <w:rFonts w:eastAsia="TimesNewRoman"/>
        </w:rPr>
        <w:t xml:space="preserve">ę </w:t>
      </w:r>
      <w:r w:rsidR="00676194" w:rsidRPr="00147950">
        <w:t>izby samorz</w:t>
      </w:r>
      <w:r w:rsidR="00676194" w:rsidRPr="00147950">
        <w:rPr>
          <w:rFonts w:eastAsia="TimesNewRoman"/>
        </w:rPr>
        <w:t>ą</w:t>
      </w:r>
      <w:r w:rsidR="00676194" w:rsidRPr="00147950">
        <w:t>du zawodowego urbanistów lub architektów). Projekty decyzji powinny zawiera</w:t>
      </w:r>
      <w:r w:rsidR="00676194" w:rsidRPr="00147950">
        <w:rPr>
          <w:rFonts w:eastAsia="TimesNewRoman"/>
        </w:rPr>
        <w:t xml:space="preserve">ć </w:t>
      </w:r>
      <w:r w:rsidR="00676194" w:rsidRPr="00147950">
        <w:t>wymagane zał</w:t>
      </w:r>
      <w:r w:rsidR="00676194" w:rsidRPr="00147950">
        <w:rPr>
          <w:rFonts w:eastAsia="TimesNewRoman"/>
        </w:rPr>
        <w:t>ą</w:t>
      </w:r>
      <w:r w:rsidR="00676194" w:rsidRPr="00147950">
        <w:t>czniki:</w:t>
      </w:r>
    </w:p>
    <w:p w14:paraId="6360CA22" w14:textId="77777777" w:rsidR="00676194" w:rsidRDefault="00676194" w:rsidP="00C3102D">
      <w:pPr>
        <w:pStyle w:val="Akapitzlist"/>
        <w:widowControl w:val="0"/>
        <w:numPr>
          <w:ilvl w:val="0"/>
          <w:numId w:val="18"/>
        </w:numPr>
        <w:ind w:left="641" w:hanging="357"/>
        <w:rPr>
          <w:u w:val="single"/>
        </w:rPr>
      </w:pPr>
      <w:r w:rsidRPr="000E5246">
        <w:rPr>
          <w:u w:val="single"/>
        </w:rPr>
        <w:t>decyzja o warunkach zabudowy:</w:t>
      </w:r>
    </w:p>
    <w:p w14:paraId="13376EA5" w14:textId="77777777" w:rsidR="00676194" w:rsidRDefault="00676194" w:rsidP="00B76754">
      <w:pPr>
        <w:pStyle w:val="Akapitzlist"/>
        <w:widowControl w:val="0"/>
        <w:ind w:left="641"/>
      </w:pPr>
      <w:r>
        <w:t xml:space="preserve">a) </w:t>
      </w:r>
      <w:r w:rsidRPr="000E5246">
        <w:t>zał</w:t>
      </w:r>
      <w:r w:rsidRPr="00C3102D">
        <w:rPr>
          <w:rFonts w:eastAsia="TimesNewRoman"/>
        </w:rPr>
        <w:t>ą</w:t>
      </w:r>
      <w:r w:rsidRPr="000E5246">
        <w:t>cznik graficzny do decyzji,</w:t>
      </w:r>
    </w:p>
    <w:p w14:paraId="509C5FD2" w14:textId="77777777" w:rsidR="00676194" w:rsidRDefault="00676194" w:rsidP="00B76754">
      <w:pPr>
        <w:pStyle w:val="Akapitzlist"/>
        <w:widowControl w:val="0"/>
        <w:ind w:left="641"/>
      </w:pPr>
      <w:r>
        <w:t xml:space="preserve">b) </w:t>
      </w:r>
      <w:r w:rsidRPr="000E5246">
        <w:t>wyniki analizy funkcji oraz cech zabudowy i zagospodarowania terenu</w:t>
      </w:r>
      <w:r>
        <w:t>,</w:t>
      </w:r>
    </w:p>
    <w:p w14:paraId="1A14D7C1" w14:textId="77777777" w:rsidR="00676194" w:rsidRDefault="00676194" w:rsidP="00B76754">
      <w:pPr>
        <w:pStyle w:val="Akapitzlist"/>
        <w:widowControl w:val="0"/>
        <w:ind w:left="641"/>
      </w:pPr>
      <w:r>
        <w:t xml:space="preserve">c) </w:t>
      </w:r>
      <w:r w:rsidRPr="000E5246">
        <w:t>zał</w:t>
      </w:r>
      <w:r w:rsidRPr="00B76754">
        <w:rPr>
          <w:rFonts w:eastAsia="TimesNewRoman"/>
        </w:rPr>
        <w:t>ą</w:t>
      </w:r>
      <w:r w:rsidRPr="000E5246">
        <w:t>cznik graficzny do wyników analizy funkcji oraz cech zabudowy</w:t>
      </w:r>
      <w:r>
        <w:t xml:space="preserve"> i z</w:t>
      </w:r>
      <w:r w:rsidRPr="000E5246">
        <w:t>agospodarowania terenu</w:t>
      </w:r>
      <w:r>
        <w:t>,</w:t>
      </w:r>
    </w:p>
    <w:p w14:paraId="2CA5C023" w14:textId="77777777" w:rsidR="00676194" w:rsidRDefault="00676194" w:rsidP="00B76754">
      <w:pPr>
        <w:pStyle w:val="Akapitzlist"/>
        <w:widowControl w:val="0"/>
        <w:ind w:left="641"/>
      </w:pPr>
      <w:r>
        <w:t xml:space="preserve">d) </w:t>
      </w:r>
      <w:r w:rsidRPr="000E5246">
        <w:t>analiz</w:t>
      </w:r>
      <w:r w:rsidRPr="00B76754">
        <w:rPr>
          <w:rFonts w:eastAsia="TimesNewRoman"/>
        </w:rPr>
        <w:t xml:space="preserve">ę </w:t>
      </w:r>
      <w:r w:rsidRPr="000E5246">
        <w:t>funkcji oraz cech zabudowy i zagospodarowania terenu</w:t>
      </w:r>
      <w:r>
        <w:t>,</w:t>
      </w:r>
    </w:p>
    <w:p w14:paraId="6DC8BAF4" w14:textId="77777777" w:rsidR="00676194" w:rsidRDefault="00676194" w:rsidP="00B76754">
      <w:pPr>
        <w:pStyle w:val="Akapitzlist"/>
        <w:widowControl w:val="0"/>
        <w:ind w:left="641"/>
      </w:pPr>
      <w:r>
        <w:t xml:space="preserve">e) </w:t>
      </w:r>
      <w:r w:rsidRPr="000E5246">
        <w:t>zał</w:t>
      </w:r>
      <w:r w:rsidRPr="00B76754">
        <w:rPr>
          <w:rFonts w:eastAsia="TimesNewRoman"/>
        </w:rPr>
        <w:t>ą</w:t>
      </w:r>
      <w:r w:rsidRPr="000E5246">
        <w:t>cznik graficzny do ww. analizy</w:t>
      </w:r>
      <w:r>
        <w:t>,</w:t>
      </w:r>
    </w:p>
    <w:p w14:paraId="48B92457" w14:textId="77777777" w:rsidR="00676194" w:rsidRPr="00B76754" w:rsidRDefault="00676194" w:rsidP="00B76754">
      <w:pPr>
        <w:pStyle w:val="Akapitzlist"/>
        <w:widowControl w:val="0"/>
        <w:ind w:left="641"/>
        <w:rPr>
          <w:u w:val="single"/>
        </w:rPr>
      </w:pPr>
      <w:r>
        <w:t xml:space="preserve">f) </w:t>
      </w:r>
      <w:r w:rsidRPr="00EE079A">
        <w:t>tabelaryczne zestawienie parametrów działek i budynków obj</w:t>
      </w:r>
      <w:r w:rsidRPr="00B76754">
        <w:rPr>
          <w:rFonts w:eastAsia="TimesNewRoman"/>
        </w:rPr>
        <w:t>ę</w:t>
      </w:r>
      <w:r w:rsidRPr="00EE079A">
        <w:t>tych analiz</w:t>
      </w:r>
      <w:r w:rsidRPr="00B76754">
        <w:rPr>
          <w:rFonts w:eastAsia="TimesNewRoman"/>
        </w:rPr>
        <w:t>ą</w:t>
      </w:r>
    </w:p>
    <w:p w14:paraId="01B407A2" w14:textId="77777777" w:rsidR="00676194" w:rsidRDefault="00676194" w:rsidP="00B76754">
      <w:pPr>
        <w:pStyle w:val="Akapitzlist"/>
        <w:widowControl w:val="0"/>
        <w:numPr>
          <w:ilvl w:val="0"/>
          <w:numId w:val="18"/>
        </w:numPr>
        <w:ind w:left="641" w:hanging="357"/>
        <w:rPr>
          <w:u w:val="single"/>
        </w:rPr>
      </w:pPr>
      <w:r w:rsidRPr="000E5246">
        <w:rPr>
          <w:u w:val="single"/>
        </w:rPr>
        <w:t>decyzja o ustalenie lokalizacji celu publicznego:</w:t>
      </w:r>
    </w:p>
    <w:p w14:paraId="72958626" w14:textId="77777777" w:rsidR="00676194" w:rsidRDefault="00676194" w:rsidP="00B76754">
      <w:pPr>
        <w:pStyle w:val="Akapitzlist"/>
        <w:widowControl w:val="0"/>
        <w:ind w:left="641"/>
      </w:pPr>
      <w:r>
        <w:t xml:space="preserve">a) </w:t>
      </w:r>
      <w:r w:rsidRPr="000E5246">
        <w:t>zał</w:t>
      </w:r>
      <w:r w:rsidRPr="00B76754">
        <w:rPr>
          <w:rFonts w:eastAsia="TimesNewRoman"/>
        </w:rPr>
        <w:t>ą</w:t>
      </w:r>
      <w:r w:rsidRPr="000E5246">
        <w:t>cznik graficzny do decyzji,</w:t>
      </w:r>
    </w:p>
    <w:p w14:paraId="6D4857C4" w14:textId="77777777" w:rsidR="00676194" w:rsidRPr="00147950" w:rsidRDefault="00676194" w:rsidP="00B76754">
      <w:pPr>
        <w:pStyle w:val="Akapitzlist"/>
        <w:widowControl w:val="0"/>
        <w:ind w:left="641"/>
        <w:rPr>
          <w:u w:val="single"/>
        </w:rPr>
      </w:pPr>
      <w:r>
        <w:t xml:space="preserve">b) </w:t>
      </w:r>
      <w:r w:rsidRPr="00147950">
        <w:t>analiz</w:t>
      </w:r>
      <w:r w:rsidRPr="00147950">
        <w:rPr>
          <w:rFonts w:eastAsia="TimesNewRoman"/>
        </w:rPr>
        <w:t xml:space="preserve">ę </w:t>
      </w:r>
      <w:r w:rsidRPr="00147950">
        <w:t>funkcji oraz cech zabudowy i zagospodarowania terenu z zał</w:t>
      </w:r>
      <w:r w:rsidRPr="00147950">
        <w:rPr>
          <w:rFonts w:eastAsia="TimesNewRoman"/>
        </w:rPr>
        <w:t>ą</w:t>
      </w:r>
      <w:r w:rsidRPr="00147950">
        <w:t>cznikiem graficznym</w:t>
      </w:r>
    </w:p>
    <w:p w14:paraId="0B5BE3A1" w14:textId="35CE1951" w:rsidR="00676194" w:rsidRPr="00147950" w:rsidRDefault="00E452BE" w:rsidP="00E452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76194" w:rsidRPr="00147950">
        <w:rPr>
          <w:rFonts w:ascii="Times New Roman" w:hAnsi="Times New Roman"/>
          <w:sz w:val="24"/>
          <w:szCs w:val="24"/>
        </w:rPr>
        <w:t xml:space="preserve"> „Zamawiający” zastrzega, że w przypadku odwołania się którejkolwiek ze stron od decyzji, „Wykonawca” jest zobowiązany w ramach niniejszej umowy do przygotowania uzasadnienia co do zasadności odwołania w terminie 3 dni od jego doręczenia „Wykonawcy”, a w przypadku konieczności wydania nowej decyzji, do przygotowania projektu tej decyzji, za co nie przysługuje dodatkowe wynagrodzenie. </w:t>
      </w:r>
    </w:p>
    <w:p w14:paraId="5F3860D7" w14:textId="3C3AB7A5" w:rsidR="00676194" w:rsidRPr="00147950" w:rsidRDefault="00E452BE" w:rsidP="00E452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76194" w:rsidRPr="00147950">
        <w:rPr>
          <w:rFonts w:ascii="Times New Roman" w:hAnsi="Times New Roman"/>
          <w:sz w:val="24"/>
          <w:szCs w:val="24"/>
        </w:rPr>
        <w:t>W ramach niniejszej umowy „Wykonawca” zobowiązany jest do reprezentowania „Zamawiającego” przed organami odwoławczymi, w przypadku wystąpienia takiej konieczności, o czym „Zamawiający” poinformuje „Wykonawcę”.</w:t>
      </w:r>
    </w:p>
    <w:p w14:paraId="10E811A4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98BE2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4</w:t>
      </w:r>
    </w:p>
    <w:p w14:paraId="4D7825A2" w14:textId="1150182A" w:rsidR="00676194" w:rsidRDefault="00676194" w:rsidP="00A00F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7950">
        <w:rPr>
          <w:rFonts w:ascii="Times New Roman" w:hAnsi="Times New Roman"/>
          <w:sz w:val="24"/>
          <w:szCs w:val="24"/>
        </w:rPr>
        <w:t xml:space="preserve">Strony ustalają, że przedmiot umowy realizowany będzie w okresie od </w:t>
      </w:r>
      <w:r w:rsidR="00E452BE">
        <w:rPr>
          <w:rFonts w:ascii="Times New Roman" w:hAnsi="Times New Roman"/>
          <w:sz w:val="24"/>
          <w:szCs w:val="24"/>
        </w:rPr>
        <w:t>02</w:t>
      </w:r>
      <w:r w:rsidRPr="00147950">
        <w:rPr>
          <w:rFonts w:ascii="Times New Roman" w:hAnsi="Times New Roman"/>
          <w:sz w:val="24"/>
          <w:szCs w:val="24"/>
        </w:rPr>
        <w:t>.01.20</w:t>
      </w:r>
      <w:r w:rsidR="00B27E14">
        <w:rPr>
          <w:rFonts w:ascii="Times New Roman" w:hAnsi="Times New Roman"/>
          <w:sz w:val="24"/>
          <w:szCs w:val="24"/>
        </w:rPr>
        <w:t>2</w:t>
      </w:r>
      <w:r w:rsidR="00E452BE">
        <w:rPr>
          <w:rFonts w:ascii="Times New Roman" w:hAnsi="Times New Roman"/>
          <w:sz w:val="24"/>
          <w:szCs w:val="24"/>
        </w:rPr>
        <w:t>1</w:t>
      </w:r>
      <w:r w:rsidRPr="00147950">
        <w:rPr>
          <w:rFonts w:ascii="Times New Roman" w:hAnsi="Times New Roman"/>
          <w:sz w:val="24"/>
          <w:szCs w:val="24"/>
        </w:rPr>
        <w:t xml:space="preserve"> r. do 31.12.20</w:t>
      </w:r>
      <w:r w:rsidR="00B27E14">
        <w:rPr>
          <w:rFonts w:ascii="Times New Roman" w:hAnsi="Times New Roman"/>
          <w:sz w:val="24"/>
          <w:szCs w:val="24"/>
        </w:rPr>
        <w:t>2</w:t>
      </w:r>
      <w:r w:rsidR="00E452BE">
        <w:rPr>
          <w:rFonts w:ascii="Times New Roman" w:hAnsi="Times New Roman"/>
          <w:sz w:val="24"/>
          <w:szCs w:val="24"/>
        </w:rPr>
        <w:t>1</w:t>
      </w:r>
      <w:r w:rsidRPr="00147950">
        <w:rPr>
          <w:rFonts w:ascii="Times New Roman" w:hAnsi="Times New Roman"/>
          <w:sz w:val="24"/>
          <w:szCs w:val="24"/>
        </w:rPr>
        <w:t xml:space="preserve"> r.</w:t>
      </w:r>
    </w:p>
    <w:p w14:paraId="15488B1A" w14:textId="77777777" w:rsidR="00676194" w:rsidRPr="00147950" w:rsidRDefault="00676194" w:rsidP="00A00F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F2209">
        <w:rPr>
          <w:rFonts w:ascii="Times New Roman" w:hAnsi="Times New Roman"/>
          <w:sz w:val="24"/>
          <w:szCs w:val="24"/>
        </w:rPr>
        <w:t>Wykonawca będzie zobowiązany do sporządzenia projektu dec</w:t>
      </w:r>
      <w:r>
        <w:rPr>
          <w:rFonts w:ascii="Times New Roman" w:hAnsi="Times New Roman"/>
          <w:sz w:val="24"/>
          <w:szCs w:val="24"/>
        </w:rPr>
        <w:t>yzji, której wniosek wpłynie w</w:t>
      </w:r>
      <w:r w:rsidRPr="00CF2209">
        <w:rPr>
          <w:rFonts w:ascii="Times New Roman" w:hAnsi="Times New Roman"/>
          <w:sz w:val="24"/>
          <w:szCs w:val="24"/>
        </w:rPr>
        <w:t xml:space="preserve"> terminie</w:t>
      </w:r>
      <w:r>
        <w:rPr>
          <w:rFonts w:ascii="Times New Roman" w:hAnsi="Times New Roman"/>
          <w:sz w:val="24"/>
          <w:szCs w:val="24"/>
        </w:rPr>
        <w:t xml:space="preserve"> określonym w ust.1.</w:t>
      </w:r>
    </w:p>
    <w:p w14:paraId="1B0D105B" w14:textId="77777777" w:rsidR="00676194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393777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5</w:t>
      </w:r>
    </w:p>
    <w:p w14:paraId="3111CA37" w14:textId="77777777" w:rsidR="00676194" w:rsidRPr="00147950" w:rsidRDefault="00676194" w:rsidP="00021B5C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„Wykonawca” oświadcza, że posiada odpowiednią wiedzę, doświadczenie i kwalifikacje do należytego wykonania zobowiązań przyjętych na podstawie niniejszej umowy oraz dysponuje stosownym potencjałem technicznym do wykonania przedmiotu umowy.</w:t>
      </w:r>
    </w:p>
    <w:p w14:paraId="12876EBC" w14:textId="77777777" w:rsidR="00676194" w:rsidRPr="00147950" w:rsidRDefault="00676194" w:rsidP="00021B5C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„Wykonawca” oświadcza, że przedmiot umowy zostanie zrealizowany z zachowaniem należytej staranności, zgodnie z obowiązującymi przepisami oraz postanowieniami umowy.</w:t>
      </w:r>
    </w:p>
    <w:p w14:paraId="70AFD219" w14:textId="77777777" w:rsidR="00676194" w:rsidRPr="005D4943" w:rsidRDefault="00676194" w:rsidP="00021B5C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„Wykonawca” ponosi</w:t>
      </w:r>
      <w:r w:rsidRPr="005D4943">
        <w:rPr>
          <w:rFonts w:ascii="Times New Roman" w:hAnsi="Times New Roman"/>
          <w:sz w:val="24"/>
          <w:szCs w:val="24"/>
        </w:rPr>
        <w:t xml:space="preserve"> pełną odpowiedzialność za treść projektu decyzji.</w:t>
      </w:r>
    </w:p>
    <w:p w14:paraId="241C04F1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64EC4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6</w:t>
      </w:r>
    </w:p>
    <w:p w14:paraId="41389E67" w14:textId="77777777" w:rsidR="00676194" w:rsidRPr="00147950" w:rsidRDefault="00676194" w:rsidP="00021B5C">
      <w:pPr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Wynagrodzenie za przedmiot umowy, zgodnie z ofertą Wykonawcy wynosi:</w:t>
      </w:r>
    </w:p>
    <w:p w14:paraId="3421B028" w14:textId="77777777" w:rsidR="00676194" w:rsidRPr="00147950" w:rsidRDefault="00676194" w:rsidP="00021B5C">
      <w:pPr>
        <w:pStyle w:val="Akapitzlist"/>
        <w:widowControl w:val="0"/>
        <w:numPr>
          <w:ilvl w:val="0"/>
          <w:numId w:val="14"/>
        </w:numPr>
        <w:ind w:left="924" w:hanging="357"/>
        <w:jc w:val="both"/>
      </w:pPr>
      <w:bookmarkStart w:id="0" w:name="_Hlk29987624"/>
      <w:r w:rsidRPr="00147950">
        <w:t>opracowanie 1 projektu decyzji o warunkach zabudowy:</w:t>
      </w:r>
    </w:p>
    <w:p w14:paraId="0B6FC71A" w14:textId="1A91B0E2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 xml:space="preserve">cena netto </w:t>
      </w:r>
      <w:r w:rsidR="00E452BE">
        <w:t>…..</w:t>
      </w:r>
      <w:r w:rsidRPr="00147950">
        <w:t xml:space="preserve"> zł</w:t>
      </w:r>
    </w:p>
    <w:p w14:paraId="5A35D861" w14:textId="623B7ECE" w:rsidR="00676194" w:rsidRPr="00147950" w:rsidRDefault="00676194" w:rsidP="00021B5C">
      <w:pPr>
        <w:pStyle w:val="Akapitzlist"/>
        <w:widowControl w:val="0"/>
        <w:ind w:left="1287"/>
        <w:jc w:val="both"/>
      </w:pPr>
      <w:r w:rsidRPr="00147950">
        <w:lastRenderedPageBreak/>
        <w:t xml:space="preserve">słownie </w:t>
      </w:r>
    </w:p>
    <w:p w14:paraId="5EBAFA52" w14:textId="1F7C813A" w:rsidR="00676194" w:rsidRPr="00147950" w:rsidRDefault="00676194" w:rsidP="00BB4BAA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>podatek VAT</w:t>
      </w:r>
      <w:r w:rsidR="00BB4BAA">
        <w:t xml:space="preserve"> - </w:t>
      </w:r>
    </w:p>
    <w:p w14:paraId="46220A02" w14:textId="06764020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 xml:space="preserve">cena brutto  </w:t>
      </w:r>
    </w:p>
    <w:p w14:paraId="22E6CFFC" w14:textId="0186CBFE" w:rsidR="00676194" w:rsidRPr="00147950" w:rsidRDefault="00676194" w:rsidP="00021B5C">
      <w:pPr>
        <w:pStyle w:val="Akapitzlist"/>
        <w:widowControl w:val="0"/>
        <w:ind w:left="1287"/>
        <w:jc w:val="both"/>
      </w:pPr>
      <w:r w:rsidRPr="00147950">
        <w:t>słownie</w:t>
      </w:r>
      <w:r w:rsidR="00BB4BAA">
        <w:t>:</w:t>
      </w:r>
      <w:r w:rsidRPr="00147950">
        <w:t xml:space="preserve"> </w:t>
      </w:r>
    </w:p>
    <w:p w14:paraId="0BC5C78C" w14:textId="77777777" w:rsidR="00676194" w:rsidRPr="00147950" w:rsidRDefault="00676194" w:rsidP="00021B5C">
      <w:pPr>
        <w:pStyle w:val="Akapitzlist"/>
        <w:widowControl w:val="0"/>
        <w:numPr>
          <w:ilvl w:val="0"/>
          <w:numId w:val="14"/>
        </w:numPr>
        <w:ind w:left="924" w:hanging="357"/>
        <w:jc w:val="both"/>
      </w:pPr>
      <w:r w:rsidRPr="00147950">
        <w:t>opracowanie 1 projektu decyzji o ustaleniu lokalizacji inwestycji celu publicznego:</w:t>
      </w:r>
    </w:p>
    <w:p w14:paraId="3D8506E6" w14:textId="2B4C83E0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>cena netto</w:t>
      </w:r>
      <w:r w:rsidR="00BB4BAA">
        <w:t xml:space="preserve"> </w:t>
      </w:r>
    </w:p>
    <w:p w14:paraId="33667282" w14:textId="316BEF7C" w:rsidR="00676194" w:rsidRPr="00147950" w:rsidRDefault="00676194" w:rsidP="00021B5C">
      <w:pPr>
        <w:pStyle w:val="Akapitzlist"/>
        <w:widowControl w:val="0"/>
        <w:ind w:left="1287"/>
        <w:jc w:val="both"/>
      </w:pPr>
      <w:r w:rsidRPr="00147950">
        <w:t>słownie</w:t>
      </w:r>
      <w:r w:rsidR="00BB4BAA">
        <w:t xml:space="preserve">: </w:t>
      </w:r>
    </w:p>
    <w:p w14:paraId="7C43AD9B" w14:textId="14CF357D" w:rsidR="00676194" w:rsidRPr="00147950" w:rsidRDefault="00676194" w:rsidP="00BB4BAA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>podatek VAT</w:t>
      </w:r>
      <w:r w:rsidR="00BB4BAA">
        <w:t xml:space="preserve"> - </w:t>
      </w:r>
    </w:p>
    <w:p w14:paraId="4B67FEFB" w14:textId="6C43B88A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 xml:space="preserve">cena brutto </w:t>
      </w:r>
    </w:p>
    <w:p w14:paraId="6FADBDC5" w14:textId="7D0B6A32" w:rsidR="00676194" w:rsidRPr="00147950" w:rsidRDefault="00676194" w:rsidP="00021B5C">
      <w:pPr>
        <w:pStyle w:val="Akapitzlist"/>
        <w:widowControl w:val="0"/>
        <w:ind w:left="1287"/>
        <w:jc w:val="both"/>
      </w:pPr>
      <w:r w:rsidRPr="00147950">
        <w:t>słownie</w:t>
      </w:r>
      <w:r w:rsidR="00BB4BAA">
        <w:t xml:space="preserve">: </w:t>
      </w:r>
    </w:p>
    <w:p w14:paraId="77561F8E" w14:textId="77777777" w:rsidR="00676194" w:rsidRPr="00147950" w:rsidRDefault="00676194" w:rsidP="00021B5C">
      <w:pPr>
        <w:pStyle w:val="Akapitzlist"/>
        <w:widowControl w:val="0"/>
        <w:numPr>
          <w:ilvl w:val="0"/>
          <w:numId w:val="14"/>
        </w:numPr>
        <w:ind w:left="924" w:hanging="357"/>
        <w:jc w:val="both"/>
      </w:pPr>
      <w:r w:rsidRPr="00147950">
        <w:t>opracowanie 1 projektu zmiany ww. decyzji:</w:t>
      </w:r>
      <w:r w:rsidRPr="00147950">
        <w:tab/>
      </w:r>
    </w:p>
    <w:p w14:paraId="3E05877E" w14:textId="39F60384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 xml:space="preserve">cena netto </w:t>
      </w:r>
    </w:p>
    <w:p w14:paraId="752BBED1" w14:textId="2DF1A277" w:rsidR="00676194" w:rsidRPr="00147950" w:rsidRDefault="00676194" w:rsidP="00021B5C">
      <w:pPr>
        <w:pStyle w:val="Akapitzlist"/>
        <w:widowControl w:val="0"/>
        <w:ind w:left="1287"/>
        <w:jc w:val="both"/>
      </w:pPr>
      <w:r w:rsidRPr="00147950">
        <w:t>słownie</w:t>
      </w:r>
      <w:r w:rsidR="00BB4BAA">
        <w:t xml:space="preserve">: </w:t>
      </w:r>
    </w:p>
    <w:p w14:paraId="2A445429" w14:textId="29F27BF5" w:rsidR="00BB4BAA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>podatek VAT</w:t>
      </w:r>
      <w:r w:rsidR="00BB4BAA">
        <w:t xml:space="preserve"> - </w:t>
      </w:r>
    </w:p>
    <w:p w14:paraId="1A5D62AB" w14:textId="568A3FD8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 xml:space="preserve">cena brutto </w:t>
      </w:r>
    </w:p>
    <w:p w14:paraId="0B9EEF53" w14:textId="10C01325" w:rsidR="00676194" w:rsidRPr="00147950" w:rsidRDefault="00676194" w:rsidP="00021B5C">
      <w:pPr>
        <w:pStyle w:val="Akapitzlist"/>
        <w:widowControl w:val="0"/>
        <w:ind w:left="1287"/>
        <w:jc w:val="both"/>
      </w:pPr>
      <w:r w:rsidRPr="00147950">
        <w:t>słownie</w:t>
      </w:r>
      <w:r w:rsidR="00BB4BAA">
        <w:t xml:space="preserve">: </w:t>
      </w:r>
    </w:p>
    <w:bookmarkEnd w:id="0"/>
    <w:p w14:paraId="6B4FF547" w14:textId="77777777" w:rsidR="00676194" w:rsidRPr="00147950" w:rsidRDefault="00676194" w:rsidP="00021B5C">
      <w:pPr>
        <w:widowControl w:val="0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Szacunkowe wynagrodzenie za wykonany przedmiot umowy (30 projektów decyz</w:t>
      </w:r>
      <w:r w:rsidR="00BB4BAA">
        <w:rPr>
          <w:rFonts w:ascii="Times New Roman" w:hAnsi="Times New Roman"/>
          <w:sz w:val="24"/>
          <w:szCs w:val="24"/>
        </w:rPr>
        <w:t>j</w:t>
      </w:r>
      <w:r w:rsidRPr="00147950">
        <w:rPr>
          <w:rFonts w:ascii="Times New Roman" w:hAnsi="Times New Roman"/>
          <w:sz w:val="24"/>
          <w:szCs w:val="24"/>
        </w:rPr>
        <w:t>i o ustaleniu warunków zabudowy + 5 sztuk projektów decyzji o ustaleniu lokalizacji inwestycji celu publicznego + 5 sztuk zmian ww. decyzji).</w:t>
      </w:r>
    </w:p>
    <w:p w14:paraId="7581927C" w14:textId="33AB2578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 xml:space="preserve">Cena netto </w:t>
      </w:r>
    </w:p>
    <w:p w14:paraId="06DD9C42" w14:textId="47C93AD2" w:rsidR="00676194" w:rsidRPr="00147950" w:rsidRDefault="00BB4BAA" w:rsidP="00021B5C">
      <w:pPr>
        <w:pStyle w:val="Akapitzlist"/>
        <w:widowControl w:val="0"/>
        <w:ind w:left="1287"/>
        <w:jc w:val="both"/>
      </w:pPr>
      <w:r>
        <w:t>s</w:t>
      </w:r>
      <w:r w:rsidR="00676194" w:rsidRPr="00147950">
        <w:t>łownie</w:t>
      </w:r>
      <w:r>
        <w:t xml:space="preserve">: </w:t>
      </w:r>
    </w:p>
    <w:p w14:paraId="7EC0312B" w14:textId="0DE2560C" w:rsidR="00676194" w:rsidRPr="00147950" w:rsidRDefault="00676194" w:rsidP="00BB4BAA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>podatek VAT</w:t>
      </w:r>
      <w:r w:rsidR="00BB4BAA">
        <w:t xml:space="preserve"> - </w:t>
      </w:r>
    </w:p>
    <w:p w14:paraId="2E2B2A5F" w14:textId="3F0BAFF9" w:rsidR="00676194" w:rsidRPr="00147950" w:rsidRDefault="00676194" w:rsidP="00021B5C">
      <w:pPr>
        <w:pStyle w:val="Akapitzlist"/>
        <w:widowControl w:val="0"/>
        <w:numPr>
          <w:ilvl w:val="0"/>
          <w:numId w:val="2"/>
        </w:numPr>
        <w:jc w:val="both"/>
      </w:pPr>
      <w:r w:rsidRPr="00147950">
        <w:t xml:space="preserve">cena brutto </w:t>
      </w:r>
    </w:p>
    <w:p w14:paraId="490539C8" w14:textId="3E6AC457" w:rsidR="00676194" w:rsidRPr="00147950" w:rsidRDefault="00676194" w:rsidP="00BB4BAA">
      <w:pPr>
        <w:pStyle w:val="Akapitzlist"/>
        <w:widowControl w:val="0"/>
        <w:ind w:left="1287"/>
        <w:jc w:val="both"/>
      </w:pPr>
      <w:r w:rsidRPr="00147950">
        <w:t>słownie</w:t>
      </w:r>
      <w:r w:rsidR="00BB4BAA">
        <w:t xml:space="preserve">: </w:t>
      </w:r>
    </w:p>
    <w:p w14:paraId="68867B21" w14:textId="77777777" w:rsidR="00676194" w:rsidRPr="00147950" w:rsidRDefault="00676194" w:rsidP="00021B5C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 xml:space="preserve">Wynagrodzenie końcowe zostanie ustalone jako suma iloczynów cen jednostkowych i faktycznie sporządzonych projektów decyzji o warunkach zabudowy, decyzji o ustaleniu lokalizacji inwestycji celu publicznego oraz zmian tych decyzji.    </w:t>
      </w:r>
    </w:p>
    <w:p w14:paraId="0A2E9A27" w14:textId="77777777" w:rsidR="00676194" w:rsidRPr="005D4943" w:rsidRDefault="00676194" w:rsidP="00021B5C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Wynagrodzenie obejmuje wszystkie koszty niezbędne</w:t>
      </w:r>
      <w:r w:rsidRPr="005D4943">
        <w:rPr>
          <w:rFonts w:ascii="Times New Roman" w:hAnsi="Times New Roman"/>
          <w:sz w:val="24"/>
          <w:szCs w:val="24"/>
        </w:rPr>
        <w:t xml:space="preserve"> do prawidłowego wykonania przedmiotu umowy.</w:t>
      </w:r>
    </w:p>
    <w:p w14:paraId="38DC72A1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26679F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7</w:t>
      </w:r>
    </w:p>
    <w:p w14:paraId="6862367F" w14:textId="2FDEF108" w:rsidR="00676194" w:rsidRDefault="00676194" w:rsidP="00E452BE">
      <w:pPr>
        <w:widowControl w:val="0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 xml:space="preserve">Wynagrodzenie płatne jest przelewem </w:t>
      </w:r>
      <w:r w:rsidRPr="00147950">
        <w:rPr>
          <w:rFonts w:ascii="Times New Roman" w:hAnsi="Times New Roman"/>
          <w:sz w:val="24"/>
          <w:szCs w:val="24"/>
        </w:rPr>
        <w:t>na wskazany przez „Wykonawcę” rachunek bankowy</w:t>
      </w:r>
      <w:r w:rsidR="00D30FCC">
        <w:rPr>
          <w:rFonts w:ascii="Times New Roman" w:hAnsi="Times New Roman"/>
          <w:sz w:val="24"/>
          <w:szCs w:val="24"/>
        </w:rPr>
        <w:t xml:space="preserve">: </w:t>
      </w:r>
      <w:r w:rsidR="00E452BE">
        <w:rPr>
          <w:rFonts w:ascii="Times New Roman" w:hAnsi="Times New Roman"/>
          <w:sz w:val="24"/>
          <w:szCs w:val="24"/>
        </w:rPr>
        <w:t xml:space="preserve">              </w:t>
      </w:r>
      <w:r w:rsidR="00D30FCC">
        <w:rPr>
          <w:rFonts w:ascii="Times New Roman" w:hAnsi="Times New Roman"/>
          <w:sz w:val="24"/>
          <w:szCs w:val="24"/>
        </w:rPr>
        <w:t xml:space="preserve"> </w:t>
      </w:r>
      <w:r w:rsidRPr="00147950">
        <w:rPr>
          <w:rFonts w:ascii="Times New Roman" w:hAnsi="Times New Roman"/>
          <w:sz w:val="24"/>
          <w:szCs w:val="24"/>
        </w:rPr>
        <w:t>w terminie 30 dni od daty złożenia przez „Wykonawcę” „Zamawiającemu” faktury.</w:t>
      </w:r>
    </w:p>
    <w:p w14:paraId="60387509" w14:textId="79E3D078" w:rsidR="00E452BE" w:rsidRPr="00E452BE" w:rsidRDefault="00E452BE" w:rsidP="00E452B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0"/>
        <w:jc w:val="both"/>
        <w:rPr>
          <w:rFonts w:ascii="Calibri" w:eastAsia="Arial Unicode MS" w:hAnsi="Calibri" w:cs="Calibri"/>
          <w:color w:val="000000"/>
          <w:lang w:eastAsia="zh-CN"/>
        </w:rPr>
      </w:pPr>
      <w:r>
        <w:rPr>
          <w:color w:val="000000"/>
          <w:lang w:eastAsia="zh-CN"/>
        </w:rPr>
        <w:t xml:space="preserve">2. </w:t>
      </w:r>
      <w:r w:rsidRPr="00E452BE">
        <w:rPr>
          <w:color w:val="000000"/>
          <w:lang w:eastAsia="zh-CN"/>
        </w:rPr>
        <w:t xml:space="preserve">Numer rachunku, na który zostanie dokonana zapłata wynagrodzenia musi się znajdować w wykazie, o którym mowa w art. 96b ustawy  z dnia 11 marca 2004 r. o podatku od towarów i usług (t. j. Dz. U. z 2020 r., poz. 106 z </w:t>
      </w:r>
      <w:proofErr w:type="spellStart"/>
      <w:r w:rsidRPr="00E452BE">
        <w:rPr>
          <w:color w:val="000000"/>
          <w:lang w:eastAsia="zh-CN"/>
        </w:rPr>
        <w:t>późn</w:t>
      </w:r>
      <w:proofErr w:type="spellEnd"/>
      <w:r w:rsidRPr="00E452BE">
        <w:rPr>
          <w:color w:val="000000"/>
          <w:lang w:eastAsia="zh-CN"/>
        </w:rPr>
        <w:t>. zm.). W przypadku, gdy numer rachunku nie znajduje się w powyższym wykazie termin płatności wynagrodzenia rozpoczyna swój bieg od dnia jego umieszczenia w wykazie. W przypadku dokonania płatności na rachunek nie ujęty w wykazie wykonawca jest odpowiedzialny za wynikającą stąd szkodę.</w:t>
      </w:r>
      <w:r w:rsidRPr="00E452BE">
        <w:rPr>
          <w:rFonts w:ascii="Calibri" w:hAnsi="Calibri"/>
          <w:color w:val="000000"/>
          <w:lang w:eastAsia="zh-CN"/>
        </w:rPr>
        <w:t xml:space="preserve"> </w:t>
      </w:r>
    </w:p>
    <w:p w14:paraId="1AD18A2B" w14:textId="747A6A08" w:rsidR="00676194" w:rsidRDefault="00E452BE" w:rsidP="00E452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76194" w:rsidRPr="005D4943">
        <w:rPr>
          <w:rFonts w:ascii="Times New Roman" w:hAnsi="Times New Roman"/>
          <w:sz w:val="24"/>
          <w:szCs w:val="24"/>
        </w:rPr>
        <w:t xml:space="preserve">Podstawą wystawienia faktury </w:t>
      </w:r>
      <w:r w:rsidR="00676194">
        <w:rPr>
          <w:rFonts w:ascii="Times New Roman" w:hAnsi="Times New Roman"/>
          <w:sz w:val="24"/>
          <w:szCs w:val="24"/>
        </w:rPr>
        <w:t xml:space="preserve">będzie kwartalny </w:t>
      </w:r>
      <w:r w:rsidR="00676194" w:rsidRPr="005D4943">
        <w:rPr>
          <w:rFonts w:ascii="Times New Roman" w:hAnsi="Times New Roman"/>
          <w:sz w:val="24"/>
          <w:szCs w:val="24"/>
        </w:rPr>
        <w:t>wykaz opracowanych projektów decyzji</w:t>
      </w:r>
      <w:r w:rsidR="00676194">
        <w:rPr>
          <w:rFonts w:ascii="Times New Roman" w:hAnsi="Times New Roman"/>
          <w:sz w:val="24"/>
          <w:szCs w:val="24"/>
        </w:rPr>
        <w:t>.</w:t>
      </w:r>
    </w:p>
    <w:p w14:paraId="2CB85D5E" w14:textId="77777777" w:rsidR="00E452BE" w:rsidRDefault="00E452BE" w:rsidP="00E452BE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73AE59E7" w14:textId="77777777" w:rsidR="00D30FCC" w:rsidRPr="00B27E14" w:rsidRDefault="00D30FCC" w:rsidP="00D30FCC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2BBDB4C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8</w:t>
      </w:r>
    </w:p>
    <w:p w14:paraId="7BD8A721" w14:textId="77777777" w:rsidR="00676194" w:rsidRPr="00147950" w:rsidRDefault="00676194" w:rsidP="00021B5C">
      <w:pPr>
        <w:pStyle w:val="Akapitzlist"/>
        <w:widowControl w:val="0"/>
        <w:numPr>
          <w:ilvl w:val="3"/>
          <w:numId w:val="7"/>
        </w:numPr>
        <w:ind w:left="357" w:hanging="357"/>
        <w:jc w:val="both"/>
      </w:pPr>
      <w:r w:rsidRPr="00147950">
        <w:t>Za niewykonanie albo nienależyte wykonanie zobowiązań wynikających z niniejszej umowy Strony ustalają kary umowne.</w:t>
      </w:r>
    </w:p>
    <w:p w14:paraId="4190A9DB" w14:textId="77777777" w:rsidR="00676194" w:rsidRPr="00147950" w:rsidRDefault="00676194" w:rsidP="00B76754">
      <w:pPr>
        <w:pStyle w:val="Akapitzlist"/>
        <w:widowControl w:val="0"/>
        <w:numPr>
          <w:ilvl w:val="3"/>
          <w:numId w:val="7"/>
        </w:numPr>
        <w:ind w:left="357" w:hanging="357"/>
        <w:jc w:val="both"/>
      </w:pPr>
      <w:r w:rsidRPr="00147950">
        <w:t>„Wykonawca” zapłaci „Zamawiającemu” kary umowne za:</w:t>
      </w:r>
    </w:p>
    <w:p w14:paraId="65D113B1" w14:textId="77777777" w:rsidR="00676194" w:rsidRPr="00147950" w:rsidRDefault="00676194" w:rsidP="0014795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00FDA">
        <w:rPr>
          <w:rFonts w:ascii="Times New Roman" w:hAnsi="Times New Roman"/>
          <w:sz w:val="24"/>
          <w:szCs w:val="24"/>
        </w:rPr>
        <w:t>1)</w:t>
      </w:r>
      <w:r w:rsidRPr="001479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950">
        <w:rPr>
          <w:rFonts w:ascii="Times New Roman" w:hAnsi="Times New Roman"/>
          <w:sz w:val="24"/>
          <w:szCs w:val="24"/>
        </w:rPr>
        <w:t xml:space="preserve">odstąpienie od umowy przez „Zamawiającego” lub „Wykonawcę” z przyczyn, za które odpowiada „Wykonawca” w wysokości 10% wynagrodzenia brutto za przedmiot umowy, określonego w § 6 ust. </w:t>
      </w:r>
      <w:r w:rsidRPr="00A00FDA">
        <w:rPr>
          <w:rFonts w:ascii="Times New Roman" w:hAnsi="Times New Roman"/>
          <w:sz w:val="24"/>
          <w:szCs w:val="24"/>
        </w:rPr>
        <w:t>2)</w:t>
      </w:r>
      <w:r w:rsidRPr="00147950">
        <w:rPr>
          <w:rFonts w:ascii="Times New Roman" w:hAnsi="Times New Roman"/>
          <w:sz w:val="24"/>
          <w:szCs w:val="24"/>
        </w:rPr>
        <w:t xml:space="preserve"> zwłokę w oddaniu przedmiotu umowy w wysokości </w:t>
      </w:r>
      <w:r>
        <w:rPr>
          <w:rFonts w:ascii="Times New Roman" w:hAnsi="Times New Roman"/>
          <w:sz w:val="24"/>
          <w:szCs w:val="24"/>
        </w:rPr>
        <w:t>20</w:t>
      </w:r>
      <w:r w:rsidRPr="00147950">
        <w:rPr>
          <w:rFonts w:ascii="Times New Roman" w:hAnsi="Times New Roman"/>
          <w:sz w:val="24"/>
          <w:szCs w:val="24"/>
        </w:rPr>
        <w:t xml:space="preserve">% ceny </w:t>
      </w:r>
      <w:r w:rsidRPr="00147950">
        <w:rPr>
          <w:rFonts w:ascii="Times New Roman" w:hAnsi="Times New Roman"/>
          <w:sz w:val="24"/>
          <w:szCs w:val="24"/>
        </w:rPr>
        <w:lastRenderedPageBreak/>
        <w:t>jednostkowej brutto sporządzenia projektu decyzji, określonej w § 6 ust. 1 umowy, za każdy dzień zwłoki liczonej od dnia wyznaczonego na wykonanie przedmiotu umowy do dnia faktycznego odbioru</w:t>
      </w:r>
      <w:r>
        <w:rPr>
          <w:rFonts w:ascii="Times New Roman" w:hAnsi="Times New Roman"/>
          <w:sz w:val="24"/>
          <w:szCs w:val="24"/>
        </w:rPr>
        <w:t>.</w:t>
      </w:r>
    </w:p>
    <w:p w14:paraId="20ED650A" w14:textId="77777777" w:rsidR="00676194" w:rsidRPr="00147950" w:rsidRDefault="00676194" w:rsidP="00021B5C">
      <w:pPr>
        <w:widowControl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3.</w:t>
      </w:r>
      <w:r w:rsidRPr="00147950">
        <w:rPr>
          <w:rFonts w:ascii="Times New Roman" w:hAnsi="Times New Roman"/>
          <w:sz w:val="24"/>
          <w:szCs w:val="24"/>
        </w:rPr>
        <w:tab/>
        <w:t xml:space="preserve">„Zamawiający” zapłaci „Wykonawcy” karę umowną za odstąpienie od umowy przez „Wykonawcę” lub „Zamawiającego” z przyczyn, za które odpowiada „Zamawiający” w wysokości 10% wynagrodzenia brutto za przedmiot umowy. </w:t>
      </w:r>
    </w:p>
    <w:p w14:paraId="4E49EE26" w14:textId="77777777" w:rsidR="00676194" w:rsidRPr="005D4943" w:rsidRDefault="00676194" w:rsidP="00021B5C">
      <w:pPr>
        <w:widowControl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 xml:space="preserve">4. </w:t>
      </w:r>
      <w:r w:rsidRPr="00147950">
        <w:rPr>
          <w:rFonts w:ascii="Times New Roman" w:hAnsi="Times New Roman"/>
          <w:sz w:val="24"/>
          <w:szCs w:val="24"/>
        </w:rPr>
        <w:tab/>
        <w:t>Strony zastrzegają sobie prawo dochodz</w:t>
      </w:r>
      <w:r w:rsidRPr="005D4943">
        <w:rPr>
          <w:rFonts w:ascii="Times New Roman" w:hAnsi="Times New Roman"/>
          <w:sz w:val="24"/>
          <w:szCs w:val="24"/>
        </w:rPr>
        <w:t>enia odszkodowania uzupełniającego do wysokości rzeczywiście poniesionej szkody.</w:t>
      </w:r>
    </w:p>
    <w:p w14:paraId="05420685" w14:textId="77777777"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0C035" w14:textId="77777777" w:rsidR="00D30FCC" w:rsidRDefault="00D30FCC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A8B52" w14:textId="77777777" w:rsidR="00BB4BAA" w:rsidRPr="005D4943" w:rsidRDefault="00BB4BAA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F8900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9</w:t>
      </w:r>
    </w:p>
    <w:p w14:paraId="27D7B864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b/>
          <w:sz w:val="24"/>
          <w:szCs w:val="24"/>
        </w:rPr>
        <w:t xml:space="preserve">„Wykonawca” </w:t>
      </w:r>
      <w:r w:rsidRPr="005D4943">
        <w:rPr>
          <w:rFonts w:ascii="Times New Roman" w:hAnsi="Times New Roman"/>
          <w:sz w:val="24"/>
          <w:szCs w:val="24"/>
        </w:rPr>
        <w:t>nie może wykonywać powierzyć wykonywania przedmiotu umowy osobom trzecim.</w:t>
      </w:r>
    </w:p>
    <w:p w14:paraId="19C9A3AE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90B65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10</w:t>
      </w:r>
    </w:p>
    <w:p w14:paraId="755722F1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Wszelkie zmiany i uzupełnienia treści umowy mogą być dokonywane wyłącznie w formie pisemnej akceptowanej przez obie strony pod rygorem nieważności.</w:t>
      </w:r>
    </w:p>
    <w:p w14:paraId="2AE45E0E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90526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11</w:t>
      </w:r>
    </w:p>
    <w:p w14:paraId="0D472FEA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W sprawach nieuregulowanych niniejszą umową mają zas</w:t>
      </w:r>
      <w:r>
        <w:rPr>
          <w:rFonts w:ascii="Times New Roman" w:hAnsi="Times New Roman"/>
          <w:sz w:val="24"/>
          <w:szCs w:val="24"/>
        </w:rPr>
        <w:t>tosowanie odpowiednie przepisy Kodeksu C</w:t>
      </w:r>
      <w:r w:rsidRPr="005D4943">
        <w:rPr>
          <w:rFonts w:ascii="Times New Roman" w:hAnsi="Times New Roman"/>
          <w:sz w:val="24"/>
          <w:szCs w:val="24"/>
        </w:rPr>
        <w:t>ywilnego.</w:t>
      </w:r>
    </w:p>
    <w:p w14:paraId="7F05E4D1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82AB3" w14:textId="77777777"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12</w:t>
      </w:r>
    </w:p>
    <w:p w14:paraId="3FFAE9C6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Umowę sporządzono w 3-ch jednobrzmiących egzemplarzach 2 (dwa) egzemplarze dla „Zamawiającego” 1 (jeden) egzemplarz dla „Wykonawcy”.</w:t>
      </w:r>
    </w:p>
    <w:p w14:paraId="17E7151E" w14:textId="77777777"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21DE9E" w14:textId="77777777"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660827" w14:textId="77777777"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536EDA" w14:textId="77777777"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676194" w:rsidRPr="00A3620B" w14:paraId="161258D9" w14:textId="77777777" w:rsidTr="00A3620B">
        <w:tc>
          <w:tcPr>
            <w:tcW w:w="4531" w:type="dxa"/>
          </w:tcPr>
          <w:p w14:paraId="5DD05AE3" w14:textId="77777777" w:rsidR="00676194" w:rsidRPr="00A3620B" w:rsidRDefault="00676194" w:rsidP="00A3620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20B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4531" w:type="dxa"/>
          </w:tcPr>
          <w:p w14:paraId="1D3BB16D" w14:textId="77777777" w:rsidR="00676194" w:rsidRPr="00A3620B" w:rsidRDefault="00676194" w:rsidP="00A3620B">
            <w:pPr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620B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</w:tc>
      </w:tr>
    </w:tbl>
    <w:p w14:paraId="58E743CA" w14:textId="77777777" w:rsidR="00676194" w:rsidRDefault="00676194"/>
    <w:sectPr w:rsidR="00676194" w:rsidSect="001A6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BA5D0" w14:textId="77777777" w:rsidR="00676194" w:rsidRDefault="00676194">
      <w:r>
        <w:separator/>
      </w:r>
    </w:p>
  </w:endnote>
  <w:endnote w:type="continuationSeparator" w:id="0">
    <w:p w14:paraId="073B24E6" w14:textId="77777777" w:rsidR="00676194" w:rsidRDefault="006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076BF" w14:textId="77777777" w:rsidR="00676194" w:rsidRDefault="00676194">
      <w:r>
        <w:separator/>
      </w:r>
    </w:p>
  </w:footnote>
  <w:footnote w:type="continuationSeparator" w:id="0">
    <w:p w14:paraId="0F0D59DE" w14:textId="77777777" w:rsidR="00676194" w:rsidRDefault="0067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07EDC" w14:textId="77777777" w:rsidR="00676194" w:rsidRDefault="00676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18D"/>
    <w:multiLevelType w:val="hybridMultilevel"/>
    <w:tmpl w:val="7A965792"/>
    <w:lvl w:ilvl="0" w:tplc="1FA6658E">
      <w:start w:val="2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350C4"/>
    <w:multiLevelType w:val="hybridMultilevel"/>
    <w:tmpl w:val="36FE2684"/>
    <w:lvl w:ilvl="0" w:tplc="0F4AE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E02E2E"/>
    <w:multiLevelType w:val="hybridMultilevel"/>
    <w:tmpl w:val="99723CEE"/>
    <w:lvl w:ilvl="0" w:tplc="E70EAD2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4C3C"/>
    <w:multiLevelType w:val="hybridMultilevel"/>
    <w:tmpl w:val="68C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06DB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FC78FC"/>
    <w:multiLevelType w:val="hybridMultilevel"/>
    <w:tmpl w:val="8F4258D4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7D4702E">
      <w:start w:val="1"/>
      <w:numFmt w:val="decimal"/>
      <w:lvlText w:val="%2."/>
      <w:lvlJc w:val="left"/>
      <w:pPr>
        <w:tabs>
          <w:tab w:val="num" w:pos="-6480"/>
        </w:tabs>
        <w:ind w:left="-648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760"/>
        </w:tabs>
        <w:ind w:left="-57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5040"/>
        </w:tabs>
        <w:ind w:left="-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4320"/>
        </w:tabs>
        <w:ind w:left="-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3600"/>
        </w:tabs>
        <w:ind w:left="-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</w:abstractNum>
  <w:abstractNum w:abstractNumId="5" w15:restartNumberingAfterBreak="0">
    <w:nsid w:val="333C380D"/>
    <w:multiLevelType w:val="hybridMultilevel"/>
    <w:tmpl w:val="373EB8DA"/>
    <w:lvl w:ilvl="0" w:tplc="66C28A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297C63"/>
    <w:multiLevelType w:val="hybridMultilevel"/>
    <w:tmpl w:val="60D6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F105C2"/>
    <w:multiLevelType w:val="hybridMultilevel"/>
    <w:tmpl w:val="F4FAB906"/>
    <w:lvl w:ilvl="0" w:tplc="A202A29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37002D"/>
    <w:multiLevelType w:val="hybridMultilevel"/>
    <w:tmpl w:val="B7BAFC14"/>
    <w:lvl w:ilvl="0" w:tplc="130AD97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009C"/>
    <w:multiLevelType w:val="hybridMultilevel"/>
    <w:tmpl w:val="8280D670"/>
    <w:lvl w:ilvl="0" w:tplc="2B4674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F5329E"/>
    <w:multiLevelType w:val="hybridMultilevel"/>
    <w:tmpl w:val="0DBE8886"/>
    <w:lvl w:ilvl="0" w:tplc="D3AA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917908"/>
    <w:multiLevelType w:val="hybridMultilevel"/>
    <w:tmpl w:val="C5F0069A"/>
    <w:lvl w:ilvl="0" w:tplc="BB9012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066F"/>
    <w:multiLevelType w:val="hybridMultilevel"/>
    <w:tmpl w:val="B71EB07A"/>
    <w:lvl w:ilvl="0" w:tplc="B4F839C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6BF445AC"/>
    <w:multiLevelType w:val="hybridMultilevel"/>
    <w:tmpl w:val="3BCC52BE"/>
    <w:lvl w:ilvl="0" w:tplc="A1E2E44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2B0F30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82090"/>
    <w:multiLevelType w:val="multilevel"/>
    <w:tmpl w:val="31E6A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7" w15:restartNumberingAfterBreak="0">
    <w:nsid w:val="6F695A97"/>
    <w:multiLevelType w:val="hybridMultilevel"/>
    <w:tmpl w:val="BE5EA556"/>
    <w:lvl w:ilvl="0" w:tplc="6DBAE0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847291"/>
    <w:multiLevelType w:val="hybridMultilevel"/>
    <w:tmpl w:val="EDEE5368"/>
    <w:lvl w:ilvl="0" w:tplc="6D526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6"/>
  </w:num>
  <w:num w:numId="5">
    <w:abstractNumId w:val="18"/>
  </w:num>
  <w:num w:numId="6">
    <w:abstractNumId w:val="1"/>
  </w:num>
  <w:num w:numId="7">
    <w:abstractNumId w:val="3"/>
  </w:num>
  <w:num w:numId="8">
    <w:abstractNumId w:val="10"/>
  </w:num>
  <w:num w:numId="9">
    <w:abstractNumId w:val="17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15"/>
  </w:num>
  <w:num w:numId="15">
    <w:abstractNumId w:val="14"/>
  </w:num>
  <w:num w:numId="16">
    <w:abstractNumId w:val="5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5C"/>
    <w:rsid w:val="00021B5C"/>
    <w:rsid w:val="0002458B"/>
    <w:rsid w:val="00051414"/>
    <w:rsid w:val="000E5246"/>
    <w:rsid w:val="00147950"/>
    <w:rsid w:val="001676B8"/>
    <w:rsid w:val="001A54D6"/>
    <w:rsid w:val="001A63F3"/>
    <w:rsid w:val="001C52FC"/>
    <w:rsid w:val="00206DD4"/>
    <w:rsid w:val="00267EBE"/>
    <w:rsid w:val="002D6164"/>
    <w:rsid w:val="00305821"/>
    <w:rsid w:val="00344AEE"/>
    <w:rsid w:val="00491A6A"/>
    <w:rsid w:val="004E3120"/>
    <w:rsid w:val="0051397F"/>
    <w:rsid w:val="00545313"/>
    <w:rsid w:val="005D4943"/>
    <w:rsid w:val="006433A6"/>
    <w:rsid w:val="00676194"/>
    <w:rsid w:val="008240D5"/>
    <w:rsid w:val="008D0518"/>
    <w:rsid w:val="00941D57"/>
    <w:rsid w:val="009E0430"/>
    <w:rsid w:val="009E2D56"/>
    <w:rsid w:val="00A00FDA"/>
    <w:rsid w:val="00A3620B"/>
    <w:rsid w:val="00A7526B"/>
    <w:rsid w:val="00AE3D42"/>
    <w:rsid w:val="00B26271"/>
    <w:rsid w:val="00B27E14"/>
    <w:rsid w:val="00B76754"/>
    <w:rsid w:val="00BB4BAA"/>
    <w:rsid w:val="00C3102D"/>
    <w:rsid w:val="00C9239D"/>
    <w:rsid w:val="00C978D4"/>
    <w:rsid w:val="00CF2209"/>
    <w:rsid w:val="00D1062F"/>
    <w:rsid w:val="00D23FFF"/>
    <w:rsid w:val="00D30FCC"/>
    <w:rsid w:val="00D7497F"/>
    <w:rsid w:val="00DF6A38"/>
    <w:rsid w:val="00E0426E"/>
    <w:rsid w:val="00E452BE"/>
    <w:rsid w:val="00E55B38"/>
    <w:rsid w:val="00EE079A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120D6"/>
  <w15:docId w15:val="{940BFF5E-BE9C-44E3-909C-CB52277C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B5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2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21B5C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21B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21B5C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021B5C"/>
    <w:rPr>
      <w:rFonts w:ascii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21B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uiPriority w:val="99"/>
    <w:rsid w:val="000514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D749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74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7497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4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7497F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7497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497F"/>
    <w:rPr>
      <w:rFonts w:ascii="Times New Roman" w:hAnsi="Times New Roman" w:cs="Times New Roman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167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C88"/>
    <w:rPr>
      <w:lang w:eastAsia="en-US"/>
    </w:rPr>
  </w:style>
  <w:style w:type="paragraph" w:styleId="Stopka">
    <w:name w:val="footer"/>
    <w:basedOn w:val="Normalny"/>
    <w:link w:val="StopkaZnak"/>
    <w:uiPriority w:val="99"/>
    <w:rsid w:val="00167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C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1128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IGKm</vt:lpstr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IGKm</dc:title>
  <dc:subject/>
  <dc:creator>TT</dc:creator>
  <cp:keywords/>
  <dc:description/>
  <cp:lastModifiedBy>Kozłowski</cp:lastModifiedBy>
  <cp:revision>4</cp:revision>
  <cp:lastPrinted>2020-01-15T12:17:00Z</cp:lastPrinted>
  <dcterms:created xsi:type="dcterms:W3CDTF">2020-01-10T07:18:00Z</dcterms:created>
  <dcterms:modified xsi:type="dcterms:W3CDTF">2020-12-15T12:22:00Z</dcterms:modified>
</cp:coreProperties>
</file>