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załącznik Nr 4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do zarządzenia Nr Or.0050. 69.2019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Wójta Gminy </w:t>
      </w:r>
      <w:r>
        <w:rPr>
          <w:rFonts w:ascii="Times New Roman" w:hAnsi="Times New Roman"/>
          <w:color w:val="111111"/>
          <w:sz w:val="24"/>
          <w:szCs w:val="24"/>
        </w:rPr>
        <w:t>Kowale Oleckie</w:t>
      </w:r>
    </w:p>
    <w:p>
      <w:pPr>
        <w:pStyle w:val="Normal"/>
        <w:spacing w:before="0" w:after="0"/>
        <w:jc w:val="right"/>
        <w:rPr>
          <w:color w:val="111111"/>
        </w:rPr>
      </w:pPr>
      <w:r>
        <w:rPr>
          <w:rFonts w:ascii="Times New Roman" w:hAnsi="Times New Roman"/>
          <w:color w:val="111111"/>
          <w:sz w:val="24"/>
          <w:szCs w:val="24"/>
        </w:rPr>
        <w:t>z dnia 7.08.2019r.</w:t>
      </w:r>
    </w:p>
    <w:p>
      <w:pPr>
        <w:pStyle w:val="Normal"/>
        <w:tabs>
          <w:tab w:val="clear" w:pos="708"/>
          <w:tab w:val="left" w:pos="6521" w:leader="none"/>
          <w:tab w:val="left" w:pos="6663" w:leader="none"/>
        </w:tabs>
        <w:spacing w:before="0" w:after="0"/>
        <w:jc w:val="center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O  KSZTAŁTOWANIU  SIĘ  WIELOLETNIEJ  PROGNOZY FINANSOWEJ, W TYM  O PRZEBIEGU REALIZACJI PRZEDSIĘWZIĘĆ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ZA I  PÓŁROCZE 2019 ROKU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 Wieloletniej Prognozy Finansowej i jej zmiany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Wieloletnia Prognoza Finansowa Gminy Kowale Oleckie została przyjęta Uchwałą </w:t>
        <w:br/>
        <w:t>Nr RG.0007.11.2018 Rady Gminy Kowale Oleckie z dnia 28 grudnia 2018 roku, w sprawie uchwalenia Wieloletniej Prognozy Finansowej Gminy Kowale Oleckie  na lata  2019 - 2024.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analizowanym okresie, w związku z wystąpieniem zadań koniecznych do realizacji,</w:t>
        <w:br/>
        <w:t xml:space="preserve"> a także zmian w realizowanych przedsięwzięciach w Wieloletniej Prognozie Finansowej Gminy  wprowadzono szereg zmian. 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Zmiany w Wieloletniej Prognozie Finansowej na lata 2019-2024 za pierwsze półrocze 2019 roku zostały dokonane na podstawie podjętych  uchwał Rady Gminy takich jak:  </w:t>
      </w:r>
    </w:p>
    <w:p>
      <w:pPr>
        <w:pStyle w:val="Normal"/>
        <w:suppressAutoHyphens w:val="true"/>
        <w:spacing w:before="0" w:after="0"/>
        <w:ind w:left="360" w:hanging="0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Uchwały Rady Gminy 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Uchwała Nr RG.0007.25.2019 Rady Gminy Kowale Oleckie z dnia 30.01.2019r.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Uchwała Nr  RG.0007.38.2019 Rady Gminy Kowale Oleckie z dnia 27.03.2019r.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Uchwała Nr RG.0007.47.2019  Rady Gminy Kowale Oleckie z dnia 17.05.2019r.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Uchwała Nr  RG.0007.56.2019 Rady Gminy Kowale Oleckie z dnia 17.06.2019r.</w:t>
      </w:r>
    </w:p>
    <w:p>
      <w:pPr>
        <w:pStyle w:val="ListParagraph"/>
        <w:spacing w:before="0" w:after="0"/>
        <w:ind w:left="144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Realizacja Wieloletniej Prognozy Finansowej na lata 2019 – 2024  uwidoczniono</w:t>
        <w:br/>
        <w:t>w załączniku tabelarycznym. Natomiast  szczegółowo realizacja budżetu została omówiona</w:t>
        <w:br/>
        <w:t xml:space="preserve"> w informacji z wykonania budżetu gminy za I półrocze 2019 roku.  </w:t>
        <w:br/>
        <w:t xml:space="preserve">Informacja dotycząca realizacji poszczególnych zadań  została również przedstawiona </w:t>
        <w:br/>
        <w:t>w informacji z wykonania budżetu.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W efekcie plan Wieloletniej Prognozy Finansowej na dzień 30 czerwca 2019 roku zakłada:</w:t>
      </w:r>
    </w:p>
    <w:tbl>
      <w:tblPr>
        <w:tblW w:w="9342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113"/>
        <w:gridCol w:w="1911"/>
        <w:gridCol w:w="2012"/>
        <w:gridCol w:w="1747"/>
        <w:gridCol w:w="1559"/>
      </w:tblGrid>
      <w:tr>
        <w:trPr>
          <w:trHeight w:val="573" w:hRule="atLeast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Struktura wykonania</w:t>
            </w:r>
          </w:p>
        </w:tc>
      </w:tr>
      <w:tr>
        <w:trPr/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DOCHODY OGÓŁEM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24 944 155,04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13 472 050,47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dochody bieżące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23 850 287,68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12 816 835,36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95,61</w:t>
            </w:r>
          </w:p>
        </w:tc>
      </w:tr>
      <w:tr>
        <w:trPr/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dochody majątkowe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1 093 867,36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655 215,11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4,39</w:t>
            </w:r>
          </w:p>
        </w:tc>
      </w:tr>
    </w:tbl>
    <w:p>
      <w:pPr>
        <w:pStyle w:val="Normal"/>
        <w:ind w:left="72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720" w:hanging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Struktura wykonania  wydatków wg rodzajów przedstawia się następująco:</w:t>
      </w:r>
    </w:p>
    <w:tbl>
      <w:tblPr>
        <w:tblW w:w="9484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55"/>
        <w:gridCol w:w="1769"/>
        <w:gridCol w:w="1774"/>
        <w:gridCol w:w="1985"/>
        <w:gridCol w:w="1701"/>
      </w:tblGrid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Struktura wykonania</w:t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25 113 389,82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12 418 244,94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wydatki  bieżące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22 762 728,91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11 577 357,47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90,64</w:t>
            </w:r>
          </w:p>
        </w:tc>
      </w:tr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wydatki majątkowe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2 350 660,91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840 887,47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9,36</w:t>
            </w:r>
          </w:p>
        </w:tc>
      </w:tr>
    </w:tbl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Kształtowanie się wieloletniej prognozy finansowej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Plan dochodów, zgodnie z uchwałami WPF  ogółem 25 944 155,04 zł, wykonanie 13 472 050,47 zł, tj. 54,01 %, w tym dochody bieżące plan -  </w:t>
      </w:r>
      <w:r>
        <w:rPr>
          <w:rFonts w:ascii="Times New Roman" w:hAnsi="Times New Roman"/>
          <w:bCs/>
          <w:sz w:val="24"/>
          <w:szCs w:val="24"/>
        </w:rPr>
        <w:t xml:space="preserve">23 850 287,68 </w:t>
      </w:r>
      <w:r>
        <w:rPr>
          <w:rFonts w:ascii="Times New Roman" w:hAnsi="Times New Roman"/>
          <w:sz w:val="24"/>
          <w:szCs w:val="24"/>
        </w:rPr>
        <w:t xml:space="preserve">zł, wykonanie </w:t>
      </w:r>
      <w:r>
        <w:rPr>
          <w:rFonts w:ascii="Times New Roman" w:hAnsi="Times New Roman"/>
          <w:bCs/>
          <w:sz w:val="24"/>
          <w:szCs w:val="24"/>
        </w:rPr>
        <w:t xml:space="preserve">12 816 835,36 </w:t>
      </w:r>
      <w:r>
        <w:rPr>
          <w:rFonts w:ascii="Times New Roman" w:hAnsi="Times New Roman"/>
          <w:sz w:val="24"/>
          <w:szCs w:val="24"/>
        </w:rPr>
        <w:t>zł, tj. 53,74 %, w tym: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dochody z tytułu udziału we wpływach z podatku dochodowego od osób fizycznych: plan -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2 023 761,00 zł, wykonanie -  946 909,00 zł, tj. 46,8 %,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dochody z tytułu udziału we wpływach z podatku dochodowego od osób prawnych: plan -</w:t>
        <w:br/>
        <w:t>30 000,00 zł, wykonanie - 18 959,73 zł, tj. 63,2 %,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podatki i opłaty: plan-  5 078 221,38 zł, wykonanie – 1 852 276,83 zł, tj. 36,5 %, w tym: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z podatku od nieruchomości:  plan - 1 605 192,00 zł, wykonanie – 854 180,17 zł, tj. 53,2%.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z subwencji ogólnej: plan - 8 620 724,00 zł, wykonanie -  4 793 812,00 zł, tj. 55,6 %,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z tytułu dotacji i środków przeznaczonych na cele bieżące: plan – 8 097 581,30 zł, wykonanie- 4 350 247,63 zł, tj. 53,7 %.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Dochody majątkowe: plan - </w:t>
      </w:r>
      <w:r>
        <w:rPr>
          <w:rFonts w:ascii="Times New Roman" w:hAnsi="Times New Roman"/>
          <w:bCs/>
          <w:sz w:val="24"/>
          <w:szCs w:val="24"/>
        </w:rPr>
        <w:t xml:space="preserve">1 093 867,36 </w:t>
      </w:r>
      <w:r>
        <w:rPr>
          <w:rFonts w:ascii="Times New Roman" w:hAnsi="Times New Roman"/>
          <w:sz w:val="24"/>
          <w:szCs w:val="24"/>
        </w:rPr>
        <w:t>zł, wykonanie – 655 215,11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zł, tj. 59,9 %,</w:t>
        <w:br/>
        <w:t xml:space="preserve"> w tym: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ze sprzedaży majątku: plan  - 104 375,00 zł, wykonanie – 68 764,24 zł, tj. 65,9 %,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z tytułu dotacji  przeznaczonych na inwestycje i  zakupy inwestycje: plan – 989 492,36 zł,  wykonanie  - 586 450,87 zł, co stanowi 59,3 %.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 Wydatki zgodnie z uchwałami  WPF:  plan </w:t>
      </w:r>
      <w:r>
        <w:rPr>
          <w:rFonts w:ascii="Times New Roman" w:hAnsi="Times New Roman"/>
          <w:bCs/>
          <w:sz w:val="24"/>
          <w:szCs w:val="24"/>
        </w:rPr>
        <w:t xml:space="preserve">25 113 389,82 </w:t>
      </w:r>
      <w:r>
        <w:rPr>
          <w:rFonts w:ascii="Times New Roman" w:hAnsi="Times New Roman"/>
          <w:sz w:val="24"/>
          <w:szCs w:val="24"/>
        </w:rPr>
        <w:t>zł,  wykonanie -</w:t>
      </w:r>
      <w:r>
        <w:rPr>
          <w:rFonts w:ascii="Times New Roman" w:hAnsi="Times New Roman"/>
          <w:bCs/>
          <w:sz w:val="24"/>
          <w:szCs w:val="24"/>
        </w:rPr>
        <w:t xml:space="preserve">12 418 244,94 </w:t>
      </w:r>
      <w:r>
        <w:rPr>
          <w:rFonts w:ascii="Times New Roman" w:hAnsi="Times New Roman"/>
          <w:sz w:val="24"/>
          <w:szCs w:val="24"/>
        </w:rPr>
        <w:t xml:space="preserve">zł, co stanowi 49,45 %, w tym wydatki bieżące:  plan - </w:t>
      </w:r>
      <w:r>
        <w:rPr>
          <w:rFonts w:ascii="Times New Roman" w:hAnsi="Times New Roman"/>
          <w:bCs/>
          <w:sz w:val="24"/>
          <w:szCs w:val="24"/>
        </w:rPr>
        <w:t xml:space="preserve">22 762 728,91 </w:t>
      </w:r>
      <w:r>
        <w:rPr>
          <w:rFonts w:ascii="Times New Roman" w:hAnsi="Times New Roman"/>
          <w:sz w:val="24"/>
          <w:szCs w:val="24"/>
        </w:rPr>
        <w:t xml:space="preserve">zł, wykonanie – </w:t>
        <w:br/>
      </w:r>
      <w:r>
        <w:rPr>
          <w:rFonts w:ascii="Times New Roman" w:hAnsi="Times New Roman"/>
          <w:bCs/>
          <w:sz w:val="24"/>
          <w:szCs w:val="24"/>
        </w:rPr>
        <w:t xml:space="preserve">11 577 357,47 </w:t>
      </w:r>
      <w:r>
        <w:rPr>
          <w:rFonts w:ascii="Times New Roman" w:hAnsi="Times New Roman"/>
          <w:sz w:val="24"/>
          <w:szCs w:val="24"/>
        </w:rPr>
        <w:t xml:space="preserve">zł, stanowiące  50,86 %, w tym: wydatki na obsługę długu: plan – 120 000,00 zł, wykonanie – 47 465,76 zł, tj. 39,6 %, wydatki majątkowe: plan – 2 350 660,91zł, wykonanie </w:t>
        <w:br/>
        <w:t>840 887,47 zł, tj. 35,8 %.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Budżet  gminy zamknął się nadwyżką w wysokości 1</w:t>
      </w:r>
      <w:r>
        <w:rPr>
          <w:rFonts w:ascii="Times New Roman" w:hAnsi="Times New Roman"/>
          <w:color w:val="111111"/>
          <w:sz w:val="24"/>
          <w:szCs w:val="24"/>
        </w:rPr>
        <w:t> 239 477,89 zł.</w:t>
      </w:r>
    </w:p>
    <w:p>
      <w:pPr>
        <w:pStyle w:val="ListParagraph"/>
        <w:spacing w:before="0" w:after="0"/>
        <w:ind w:left="0" w:hanging="0"/>
        <w:contextualSpacing/>
        <w:jc w:val="both"/>
        <w:rPr>
          <w:color w:val="111111"/>
        </w:rPr>
      </w:pPr>
      <w:r>
        <w:rPr>
          <w:rFonts w:ascii="Times New Roman" w:hAnsi="Times New Roman"/>
          <w:color w:val="111111"/>
          <w:sz w:val="24"/>
          <w:szCs w:val="24"/>
        </w:rPr>
        <w:t>Kwota długu na dzień 30.06.2019 rok wynosi  2 971 503,00zł.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Spłata kredytów i pożyczek w roku 2019 wynosi 223 500,00 zł.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Wieloletnia </w:t>
      </w:r>
      <w:r>
        <w:rPr>
          <w:rFonts w:ascii="Times New Roman" w:hAnsi="Times New Roman"/>
          <w:color w:val="1C1C1C"/>
          <w:sz w:val="24"/>
          <w:szCs w:val="24"/>
        </w:rPr>
        <w:t xml:space="preserve">Prognoza Finansowa w roku 2019 wskazuje dopuszczalny wskaźnik spłaty, który kształtuje się na poziomie 5,76 %. Wskaźnik planowanej łącznej kwoty spłaty zobowiązań, </w:t>
        <w:br/>
        <w:t>o której mowa w art.243 ust.1 ustawy o finansach publicznych, do dochodów to 3,83 %.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1C1C1C"/>
          <w:sz w:val="24"/>
          <w:szCs w:val="24"/>
        </w:rPr>
        <w:t>Gmina spełnia relacje, o której mowa w art. 243 ust.1 w/w ust</w:t>
      </w:r>
      <w:r>
        <w:rPr>
          <w:rFonts w:ascii="Times New Roman" w:hAnsi="Times New Roman"/>
          <w:color w:val="000000" w:themeColor="text1"/>
          <w:sz w:val="24"/>
          <w:szCs w:val="24"/>
        </w:rPr>
        <w:t>awy.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sz w:val="24"/>
          <w:b/>
          <w:szCs w:val="24"/>
          <w:rFonts w:ascii="Times New Roman" w:hAnsi="Times New Roman"/>
        </w:rPr>
        <w:instrText> PAGE </w:instrText>
      </w:r>
      <w:r>
        <w:rPr>
          <w:sz w:val="24"/>
          <w:b/>
          <w:szCs w:val="24"/>
          <w:rFonts w:ascii="Times New Roman" w:hAnsi="Times New Roman"/>
        </w:rPr>
        <w:fldChar w:fldCharType="separate"/>
      </w:r>
      <w:r>
        <w:rPr>
          <w:sz w:val="24"/>
          <w:b/>
          <w:szCs w:val="24"/>
          <w:rFonts w:ascii="Times New Roman" w:hAnsi="Times New Roman"/>
        </w:rPr>
        <w:t>3</w:t>
      </w:r>
      <w:r>
        <w:rPr>
          <w:sz w:val="24"/>
          <w:b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Realizacja przedsięwzięć wieloletnich </w:t>
      </w:r>
    </w:p>
    <w:p>
      <w:pPr>
        <w:pStyle w:val="ListParagraph"/>
        <w:spacing w:before="0" w:after="0"/>
        <w:ind w:left="567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Plan limitu wydatków  na rok 2019 to kwota 2 496 749,62 zł, wykonanie –1 084 360,3</w:t>
      </w:r>
      <w:r>
        <w:rPr>
          <w:rFonts w:ascii="Times New Roman" w:hAnsi="Times New Roman"/>
          <w:color w:val="111111"/>
          <w:sz w:val="24"/>
          <w:szCs w:val="24"/>
        </w:rPr>
        <w:t>8 zł.</w:t>
      </w:r>
      <w:r>
        <w:rPr>
          <w:rFonts w:ascii="Times New Roman" w:hAnsi="Times New Roman"/>
          <w:color w:val="CE18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Łączne nakłady finansowe na realizację przedsięwzięć na dzień 30.06.2019r. to kwota  </w:t>
        <w:br/>
        <w:t>11 453 120,58 zł. W Wieloletniej Prognozie Finansowej Gminy na lata 2019-2024 przyjęto do realizacji następujące przedsięwzięcia:</w:t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left"/>
        <w:rPr/>
      </w:pPr>
      <w:r>
        <w:rPr>
          <w:rFonts w:ascii="Times New Roman" w:hAnsi="Times New Roman"/>
          <w:iCs/>
          <w:color w:val="000000"/>
          <w:sz w:val="24"/>
          <w:szCs w:val="24"/>
        </w:rPr>
        <w:t>Kreatywnie, innowacyjnie, zespołowo – projekt dla Szkół Podstawowych z gm. Kowale Oleckie. Realizacja w latach 2018-2020. Wartość projektu – 542 660,39 zł. W roku 2018 – wykonanie 6 387,50 zł, w roku 2019 planuje się wykonanie na kwotę 518 523,78 zł.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left"/>
        <w:rPr/>
      </w:pPr>
      <w:r>
        <w:rPr>
          <w:rFonts w:ascii="Times New Roman" w:hAnsi="Times New Roman"/>
          <w:iCs/>
          <w:color w:val="000000"/>
          <w:sz w:val="24"/>
          <w:szCs w:val="24"/>
        </w:rPr>
        <w:t>Ja w internecie. Program szkoleniowy w zakresie rozwoju kompetencji cyfrowych. Realizacja w latach 2018-2019. Ogółem wartość projektu 100 800,00 zł. W roku 2019 wykonanie 68 347,95 zł. Projekt został już zakończony.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left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Cyfrowa Gmina – rozwój e-usług w gminie Kowale Oleckie. Okres realizacji 2017-2019. W roku 2017 zostało wykonane studium wykonalności na kwotę 9 840,00 z</w:t>
      </w:r>
      <w:r>
        <w:rPr>
          <w:rFonts w:ascii="Times New Roman" w:hAnsi="Times New Roman"/>
          <w:color w:val="111111"/>
          <w:sz w:val="24"/>
          <w:szCs w:val="24"/>
        </w:rPr>
        <w:t xml:space="preserve">ł. W maju 2019r zostało  wydatkowano na kwotę 616 857,30 zł. 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/>
      </w:pPr>
      <w:r>
        <w:rPr>
          <w:rFonts w:ascii="Times New Roman" w:hAnsi="Times New Roman"/>
          <w:color w:val="111111"/>
          <w:sz w:val="24"/>
          <w:szCs w:val="24"/>
        </w:rPr>
        <w:t xml:space="preserve">Miejscowy Plan Zagospodarowania Przestrzennego w obrębie geodezyjnym Sokółki. Okres realizacji 2018-2019. Wykonanie </w:t>
      </w:r>
      <w:r>
        <w:rPr>
          <w:rFonts w:ascii="Times New Roman" w:hAnsi="Times New Roman"/>
          <w:color w:val="111111"/>
          <w:sz w:val="24"/>
          <w:szCs w:val="24"/>
        </w:rPr>
        <w:t>w II półroczu 2019r</w:t>
      </w:r>
      <w:r>
        <w:rPr>
          <w:rFonts w:ascii="Times New Roman" w:hAnsi="Times New Roman"/>
          <w:color w:val="111111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>
          <w:color w:val="111111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Miejscowy Plan Zagospodarowania Przestrzennego w obrębie geodezyjnym Szwałk. Okres realizacji 2018-2019. W miesiącu sierpniu 2019r zostanie podjęta uchwała </w:t>
        <w:br/>
        <w:t>o przystąpieniu do sporządzenia mpzp.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Modernizacja budynku strażnicy Ochotniczej Straży Pożarnej w Kowalach Oleckich. Okres realizacji 2018-2019. W roku 2018 został wykonany I etap na kwotę 45 000,00 zł. </w:t>
      </w:r>
      <w:r>
        <w:rPr>
          <w:rFonts w:ascii="Times New Roman" w:hAnsi="Times New Roman"/>
          <w:color w:val="111111"/>
          <w:sz w:val="24"/>
          <w:szCs w:val="24"/>
        </w:rPr>
        <w:t>Kolejny ma być wykonany do 31.07.2019r.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Przebudowa ze zmianą sposobu użytkowania budynku Szkoły Podstawowej w Kowalach Oleckich na Przedszkole i Środowiskowy Dom Samopomocy. W rok 2018 została wykonana dokumentacja na kwotę 43 000,00 zł.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Przebudowa drogi gminnej Nr 137082 N w m. Stożne od km 0+000 do km 0+157. </w:t>
        <w:br/>
        <w:t>W roku 2017 została wykonana dokumentacja na kwotę 5 000,00 zł. Zakończenie inwestycji planuje się do końca lipca 2019r.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Remont drogi gminnej Nr 138039N ul. Ogrodowa w miejscowości Kowale Oleckie. Dokumentacja wykonana w roku 2017 na kwotę 30 000,00zł. Planowane zakończenie </w:t>
        <w:br/>
        <w:t>w terminie do 31 sierpnia 2019r.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425"/>
        <w:contextualSpacing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Przebudowa odcinka drogi gminnej Nr 138045N (ul. Usługowa) w Kowalach Oleckich od km 0+000 do km 0+547 długości 0,547km. Ogółem wartość zadania na kwotę </w:t>
        <w:br/>
        <w:t xml:space="preserve">1 552 218,00 zł. W styczniu 2019 roku  41 376,00 zł  zapłacono z tytułu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 w:themeColor="text1"/>
          <w:sz w:val="24"/>
          <w:szCs w:val="24"/>
          <w:u w:val="none"/>
          <w:em w:val="none"/>
        </w:rPr>
        <w:t>odszkodowań za nieruchomości przejęte na inwestycję.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283"/>
        <w:contextualSpacing/>
        <w:jc w:val="both"/>
        <w:rPr/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Plan i wykonanie wydatków (bieżące i majątkowe) roku 2019 Planu Gospodarki Niskoemisyjnej – nie realizuje się. Przedsięwzięcia będą realizowane w latach następnych.</w:t>
      </w:r>
    </w:p>
    <w:sectPr>
      <w:footerReference w:type="default" r:id="rId2"/>
      <w:type w:val="nextPage"/>
      <w:pgSz w:w="11906" w:h="16838"/>
      <w:pgMar w:left="1417" w:right="1133" w:header="0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21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Footer"/>
    <w:uiPriority w:val="99"/>
    <w:qFormat/>
    <w:rsid w:val="00bd721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37654"/>
    <w:pPr>
      <w:spacing w:before="0" w:after="140"/>
    </w:pPr>
    <w:rPr/>
  </w:style>
  <w:style w:type="paragraph" w:styleId="Lista">
    <w:name w:val="List"/>
    <w:basedOn w:val="Tretekstu"/>
    <w:rsid w:val="00c37654"/>
    <w:pPr/>
    <w:rPr>
      <w:rFonts w:cs="Arial"/>
    </w:rPr>
  </w:style>
  <w:style w:type="paragraph" w:styleId="Podpis" w:customStyle="1">
    <w:name w:val="Caption"/>
    <w:basedOn w:val="Normal"/>
    <w:qFormat/>
    <w:rsid w:val="00c37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37654"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rsid w:val="00c3765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d7212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"/>
    <w:uiPriority w:val="99"/>
    <w:rsid w:val="00bd7212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LibreOffice/6.1.3.2$Windows_x86 LibreOffice_project/86daf60bf00efa86ad547e59e09d6bb77c699acb</Application>
  <Pages>3</Pages>
  <Words>1071</Words>
  <Characters>5826</Characters>
  <CharactersWithSpaces>6874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2018-07-30T12:26:00Z</dcterms:created>
  <dc:creator>urzad</dc:creator>
  <dc:description/>
  <dc:language>pl-PL</dc:language>
  <cp:lastModifiedBy/>
  <cp:lastPrinted>2019-08-08T09:03:20Z</cp:lastPrinted>
  <dcterms:modified xsi:type="dcterms:W3CDTF">2019-08-08T09:04:16Z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