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1.7 (Apache licensed) using REFERENCE JAXB in Oracle Java 11.0.5 on Linux -->
    <w:p>
      <w:pPr>
        <w:pStyle w:val="TitleStyle"/>
      </w:pPr>
      <w:r>
        <w:t>Uchwalenie statutu sołectwa Czerwony Dwór.</w:t>
      </w:r>
    </w:p>
    <w:p>
      <w:pPr>
        <w:pStyle w:val="NormalStyle"/>
      </w:pPr>
      <w:r>
        <w:t>Warmi.2007.170.2216 z dnia 2007.11.12</w:t>
      </w:r>
    </w:p>
    <w:p>
      <w:pPr>
        <w:pStyle w:val="NormalStyle"/>
      </w:pPr>
      <w:r>
        <w:t xml:space="preserve">Status: Akt obowiązujący </w:t>
      </w:r>
    </w:p>
    <w:p>
      <w:pPr>
        <w:pStyle w:val="NormalStyle"/>
      </w:pPr>
      <w:r>
        <w:t xml:space="preserve">Wersja od: 2 lutego 2019r. 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Wejście w życie: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27 listopada 2007 r.</w:t>
      </w:r>
    </w:p>
    <w:p>
      <w:pPr>
        <w:numPr>
          <w:ilvl w:val="0"/>
          <w:numId w:val="1"/>
        </w:numPr>
        <w:spacing w:after="0"/>
        <w:ind w:left="0"/>
        <w:jc w:val="left"/>
        <w:textAlignment w:val="auto"/>
      </w:pP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Uwagi: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Uchyla: uchwała Nr VII/47/91 Rady Gminy Kowale Oleckie z 26.04.1991 r.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Uwagi:</w:t>
      </w:r>
    </w:p>
    <w:p>
      <w:pPr>
        <w:spacing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Uchyla: uchwała Nr VII/47/91 Rady Gminy Kowale Oleckie z 26.04.1991 r.</w:t>
      </w:r>
    </w:p>
    <w:p>
      <w:pPr>
        <w:spacing w:after="0"/>
        <w:ind w:left="0"/>
        <w:jc w:val="left"/>
        <w:textAlignment w:val="auto"/>
      </w:pPr>
      <w:r>
        <w:br/>
      </w: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UCHWAŁA Nr X/58/07</w:t>
      </w:r>
    </w:p>
    <w:p>
      <w:pPr>
        <w:spacing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Rady Gminy Kowale Oleckie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z dnia 27 września 2007 r.</w:t>
      </w: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w sprawie uchwalenia statutu sołectwa CZERWONY DWÓR.</w:t>
      </w:r>
    </w:p>
    <w:p>
      <w:pPr>
        <w:spacing w:before="80" w:after="240"/>
        <w:ind w:left="0"/>
        <w:jc w:val="center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>Na podstawie art. 35 ust. 1 ustawy z dnia 8 marca 1990 r. o samorządzie gminnym (tekst jednolity Dz. U. z 2001 r. Nr 142, poz. 1591, zm. z 2002 r. Nr 23, poz. 220, Nr 62, poz. 558, Nr 113, poz. 984, Nr 153, poz. 1271 i Nr 124, poz. 1806 z 2003 r. Nr 80, poz. 717, Nr 162, poz. 1568 z 2004 r. Nr 102, poz. 1055, Nr 116, poz. 1203 z 2005 r. Nr 172, poz. 1441, Nr 175, poz. 1457 z 2006 r. Nr 17, poz. 128, Nr 181, poz. 1337 oraz z 2007 r. Nr 48, poz. 327) - Rada Gminy uchwala, co następuje: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 przeprowadzeniu konsultacji z mieszkańcami uchwala się statut SOŁECTWA CZERWONY DWÓR, stanowiący załącznik Nr 1 do niniejszej uchwały.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Traci moc uchwała Nr VII/47/91 Rady Gminy Kowale Oleckie z dnia 26 kwietnia 1991 r. w sprawie organizacji i zakresu działania sołectw na terenie Gminy Kowale Oleckie.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Wykonanie uchwały powierza się Wójtowi Gminy.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Uchwała wchodzi w życie po upływie 14 dni od dnia opublikowania w Dzienniku Urzędowym Województwa Warmińsko-Mazurskiego.</w:t>
      </w:r>
    </w:p>
    <w:p>
      <w:pPr>
        <w:spacing w:after="0"/>
        <w:ind w:left="0"/>
        <w:jc w:val="left"/>
        <w:textAlignment w:val="auto"/>
      </w:pPr>
    </w:p>
    <w:p>
      <w:pPr>
        <w:spacing w:before="80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ZAŁĄCZNIK Nr  1  </w:t>
      </w:r>
      <w:r>
        <w:rPr>
          <w:rFonts w:ascii="Times New Roman"/>
          <w:b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/>
          <w:i w:val="false"/>
          <w:color w:val="000000"/>
          <w:sz w:val="24"/>
          <w:lang w:val="pl-PL"/>
        </w:rPr>
        <w:t xml:space="preserve">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Statut Sołectwa CZERWONY DWÓR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1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Nazwa i teren działania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Ogół mieszkańców sołectwa CZERWONY DWÓR stanowi Samorząd Mieszkańców Wsi.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Nazwa Samorządu mieszkańców brzmi: Sołectwo CZERWONY DWÓR.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Sołectwo CZERWONY DWÓR jest jednostką pomocniczą, której mieszkańcy wspólnie z innymi sołectwami tworzą wspólnotę samorządową Gminy Kowale Oleckie.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Samorząd Mieszkańców sołectwa CZERWONY DWÓR działa na podstawie prawa, a w szczególności: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ustawy z dnia 8 marca 1990 r. o samorządzie gminnym (Dz. U. z 2001 r. Nr 142, poz. 1591 z późn, zm.),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statutu Gminy Kowale Oleckie,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niniejszego statutu.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Sołectwo nie posiada osobowości prawnej.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Teren działania sołectwa obejmuje miejscowości: Borki, Czerwony Dwór, Główka, Koniszki, Leśny Zakątek, Rogojny, Wierzbianki w ich granicach administracyjnych.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Organizacja i zakres działania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Organami sołectwa są: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Kadencja sołtysa oraz rady sołeckiej wygasa z upływem 5 miesięcy od dnia wyboru nowej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Organy sołectwa wybrane w trakcie kadencji, działają do zakończenia kadencji.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5.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jest organem uchwałodawczym w sołectwie.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jest organem wykonawczym.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Działalność sołtysa wspomaga Rada Sołecka.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6.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zadań Samorządu Mieszkańców sołectwa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udział w rozpatrywaniu spraw socjalno-bytowych, opieki zdrowotnej, kultury, sportu, wypoczynku i innych związanych z miejscem zamieszkania,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kształtowanie zasad współżycia społecznego,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organizowanie wspólnych prac na rzecz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tworzenie pomocy sąsiedzkiej,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sprawowanie kontroli społecznej nad działalnością jednostek organizacyjnych związanych z warunkami życia na wsi.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Samorządowi Mieszkańców sołectwa może być powierzone do zarządzania i korzystania mienie komunalne stanowiące własność Gminy Kowale Oleckie, którego składniki zostaną określone odrębną uchwałą Rady Gminy Kowale Oleckie na podstawie odrębnych umów zawartych z Samorządem Wsi a Wójtem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Organy Samorządu mieszkańców sołectwa rozporządzają dochodami ze źródła, o których mowa w ust. 2 i ponoszą koszty jego utrzymania.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7.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kompetencji zebrania wiejskiego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podejmowanie uchwał w sprawach sołectwa w ramach przyznanych kompetencji,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opiniowanie, w części dotyczącej sołectwa, przedstawianych do konsultacji przez Radę Gminy projektów uchwał w sprawach: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a)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planu zagospodarowania przestrzennego,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b)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projektu budżetu na dany rok,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c)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przepisów prawa miejscowego,</w:t>
      </w:r>
    </w:p>
    <w:p>
      <w:pPr>
        <w:spacing w:after="0"/>
        <w:ind w:left="746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innych projektów uchwał o podstawowym znaczeniu dla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występowanie do Rady Gminy z wnioskami o rozpatrzenie spraw, których załatwianie wykracza poza możliwości mieszkańców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współpraca z radnymi z terenu sołectwa w zakresie organizacji spotkań z wyborcami, dyżurów oraz kierowanie do nich wniosków dotyczących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ustalenie zadań dla sołtysa do realizacji między zebraniami wiejskimi.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Uchwały i opinie zebrania wiejskiego sołtys przekazuje Wójtowi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Wójt, w zależności od charakteru sprawy, załatwia je we własnym zakresie lub przekazuje do rozpatrzenia na sesji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 sposobie załatwienia sprawy informuje się Zebranie Wiejskie za pośrednictwem sołtysa.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III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Sołtys i Rada Sołecka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9.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celu rozwijania aktywności społecznej i gospodarczej w sołectwie oraz zapewnienia łączności pomiędzy sołectwem a Radą Gminy i Wójtem Gminy mieszkańcy sołectwa wybierają ze swego grona sołtysa i Radę Sołecką. Wybór na nową kadencję odbywa się na zebraniu wiejskim zwołanym przez Wójta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Pełnienie funkcji sołtysa ma charakter społeczny.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10.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obowiązków sołtysa należy w szczególności: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zwoływanie zebrań wiejskich,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zwoływanie posiedzeń Rady Sołeckiej,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reprezentowanie sołectwa na zewnątrz,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kierowanie realizacją uchwał organów Gminy i zebrania wiejskiego w odniesieniu do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prowadzenie administracji, zarządu i gospodarki składnikami mienia komunalnego przekazanego sołectwu do korzystania,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wykonywanie powierzonych mu przepisami prawa zadań z zakresu administracji publicznej,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7)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sporządzanie rozliczeń z gospodarczej i finansowej działalności sołectwa.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zebraniach wiejskich sołtys przedkłada informację ze swej działalności.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nie będący radnym bierze udział w sesjach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sesjach Rady Gminy sołtysowi przysługuje prawo występowania z głosem doradczym oraz zgłaszania wniosków w imieniu zebrania mieszkańców.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 wykonywaniu swoich zadań sołtys współdziała z Radą Sołecką.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 składa się z 3 osób.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może powierzyć pełnienie obowiązków przewodniczenia Radzie Sołeckiej osobie innej niż sołtys.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 ma charakter opiniodawczy i doradczy.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Posiedzenia Rady Sołeckiej odbywają się w miarę potrzeby, nie rzadziej jednak niż raz na pół roku. Posiedzenia zwołuje i przewodniczy jej przewodniczący.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kompetencji Rady Sołeckiej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przygotowanie zebrań wiejskich i sporządzanie projektów uchwał tych zebrań,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zbieranie wniosków i innych wystąpień mieszkańców w sprawach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podejmowanie uchwał Rady w sprawie przeznaczenia środków finansowych będących w dyspozycji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sporządzanie projektów wystąpień w sprawach wykraczających poza możliwości ich realizacji w ramach sołectwa,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inicjowanie i organizowanie działań społecznie użytecznych dla sołectwa i jego mieszkańców,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6)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opracowanie programu działania samorządu.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zebraniach wiejskich przewodniczący Rady Sołeckiej składa informację o jej działalności.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15.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Zebranie wiejskie może odwołać sołtysa przed upływem kadencji, jeżeli utracił zaufanie mieszkańców sołectwa. Do odwołania sołtysa w tym trybie niezbędną jest obecność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2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uprawnionych do udziału w zebraniu. Odwołanie następuje w głosowaniu tajnym zwykłą większością głosów.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IV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Zasady i tryb zwoływania zebrań wiejskich oraz warunki ważności podejmowania uchwał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16.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Prawo do udziału w zebraniu wiejskim mają wszyscy mieszkańcy sołectwa, posiadający czynne prawo wyborcze do Rady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17.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zwołuje sołtys: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 własnej inicjatywy,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na żądanie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uprawnionych do udziału w zebraniu,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 polecenie Rady Gminy lub Wójta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odbywa się w miarę potrzeb, jednak nie rzadziej niż raz w roku.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Termin i miejsce zebrania wiejskiego, sołtys podaje do publicznej wiadomości, w sposób przyjęty w sołectwie.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19.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jest ważne, jeżeli mieszkańcy sołectwa zostali o nim prawidłowo zawiadomieni, zgodnie z wymogami statutu.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Porządek obrad ustala zebranie wiejskie na podstawie projektu przedłożonego przez sołtysa.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zapewnia referentów spraw rozpatrywanych na zebraniu.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otwiera sołtys i przewodniczy jego obradom. Zebranie wiejskie może wyznaczyć inną osobę na przewodniczącego zebrania.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20.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celu udzielania sołtysowi stałej pomocy w przygotowywaniu materiałów i w organizacji zebrań, Wójt Gminy może wyznaczyć pracowników Urzędu Gminy do kontaktów z sołectwem.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Uchwały zebrania zapadają zwykłą większością głosów w głosowaniu jawnym, chyba że ustawa o samorządzie gminnym stanowi inaczej.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Obrady zebrania są protokołowane. Uchwały podpisuje sołtys i ogłasza je w sposób zwyczajowo przyjęty.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V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Tryb wyboru sołtysa i Rady Sołeckiej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22.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 na którym ma być dokonany wybór sołtysa i członków Rady Sołeckiej zwołuje Wójt Gminy określając miejsce, dzień i godzinę zebrania wiejskiego oraz wyznacza przewodniczącego zebrania. Przy akceptacji przewodniczącego Rady Gminy, Wójt może powierzyć przewodniczenie takiemu zebraniu radnemu.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Zarządzenie Wójta Gminy o zwołaniu zebrania wiejskiego dla wyboru sołtysa podaje się do wiadomości mieszkańców sołectwa co najmniej na 7 dni przed wyznaczoną datą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23.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Dla dokonania ważnego wyboru sołtysa i Rady Sołeckiej na zebraniu wiejskim wymagana jest osobista obecność co najmniej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mieszkańców sołectwa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 ile w wyznaczony terminie nie uzyskano obecności wymaganej liczby mieszkańców, wybory w nowym terminie mogą być przeprowadzone bez względu na liczbę obecnych na zebraniu.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wiejskie, na którym przeprowadza się wybory może postanowić o obowiązku podpisywania listy obecności przez uczestników zebrania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24.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Wybory przeprowadza komisja w składzie 3 osób wybranych spośród uprawnionych uczestników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Członkiem komisji nie może być osoba kandydująca na sołtysa lub członka Rady Sołeckiej.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Do zadań komisji należy: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przyjęcie zgłoszeń kandydatów,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przeprowadzenie głosowania,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ustalenie wyników wyborów,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ogłoszenie wyników wyborów,</w:t>
      </w:r>
    </w:p>
    <w:p>
      <w:pPr>
        <w:spacing w:before="26" w:after="0"/>
        <w:ind w:left="373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5)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sporządzenie protokołu o wynikach wyborów.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Protokół podpisują członkowie komisji oraz przewodniczący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25.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Wybory odbywają się przy nieograniczonej liczbie kandydatów zgłoszonych bezpośrednio przez uprawnionych uczestników zebrania.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pierwszej kolejności należy przeprowadzić zgłaszanie kandydatów i głosowanie dla wyboru sołtysa, a następnie członków Rady Sołeckiej.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26.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oraz członkowie Rady Sołeckiej wybierani są w głosowaniu tajnym, bezpośrednim, spośród nieograniczonej liczby kandydatów zgłoszonych przez mieszkańców sołectwa uprawnionych do głosowania.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Za wybranych uważa się kandydatów, którzy otrzymali największa liczbę głosów.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3. 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Zebranie wiejskie może postanowić, że przewodniczącym Rady Sołeckiej jest z urzędu sołtys,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4. 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Rada Sołecka, jeżeli nie skorzysta z możliwości określonej w ust. 3, może wybrać ze swego grona przewodniczącego oraz inne osoby funkcyjne.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27.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i członkowie Rady Sołeckiej są bezpośrednio odpowiedzialni przed zebraniem wiejskim i mogą być przez Zebranie Wiejskie odwołani przed upływem kadencji, jeżeli nie wykonują swoich obowiązków, naruszają postanowienia statutu i uchwał zebrania lub dopuścili się czynu dyskwalifikującego w opinii środowiska.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Odwołanie z zajmowanych funkcji winno być podjęte po wysłuchaniu zainteresowanego.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28.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Zebranie wiejskie, na wniosek </w:t>
      </w: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/</w:t>
      </w:r>
      <w:r>
        <w:rPr>
          <w:rFonts w:ascii="Times New Roman"/>
          <w:b w:val="false"/>
          <w:i w:val="false"/>
          <w:color w:val="000000"/>
          <w:sz w:val="24"/>
          <w:vertAlign w:val="subscript"/>
          <w:lang w:val="pl-PL"/>
        </w:rPr>
        <w:t xml:space="preserve">5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wyborców sołectwa, może odwołać sołtysa i członków Rady Sołeckiej przed upływem kadencji z przyczyn określonych w § 27 ust. 1. Z wnioskiem o odwołanie sołtysa lub członków Rady Sołeckiej może zwrócić się do mieszkańców sołectwa Rada Gminy i Wójt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Sołtys oraz członkowie Rady Sołeckiej mogą złożyć rezygnację z pełnienia funkcji. Rezygnacja winna zostać złożona, pod rygorem nieważności, na piśmie.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29.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przypadku odwołania lub ustąpienia Sołtysa lub członków Rady Sołeckiej, Wójt Gminy zwołuje zebranie wiejskie dla ich wyboru, w terminie 1 miesiąca od daty odwołania lub ustąpienia. Wybory przeprowadza się w trybie określonym w § 26.</w:t>
      </w:r>
    </w:p>
    <w:p>
      <w:pPr>
        <w:spacing w:after="0"/>
        <w:ind w:left="0"/>
        <w:jc w:val="left"/>
        <w:textAlignment w:val="auto"/>
      </w:pPr>
    </w:p>
    <w:p>
      <w:pPr>
        <w:spacing w:before="146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Rozdział  VI </w:t>
      </w:r>
    </w:p>
    <w:p>
      <w:pPr>
        <w:spacing w:before="25" w:after="0"/>
        <w:ind w:left="0"/>
        <w:jc w:val="center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>Postanowienia końcowe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30.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Sposób postępowania w zakresie administrowania środkami finansowymi dla realizacji zadań administracji publicznej powierzonych sołectwu przez Radę Gminy, interpretuje Skarbnik Gminy, który prowadzi kontrolę prawidłowości ich wydatkowania.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31.  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1. 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Nadzór nad działalnością organów sołectwa sprawuje Wójt Gminy.</w:t>
      </w:r>
    </w:p>
    <w:p>
      <w:pPr>
        <w:spacing w:before="26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lang w:val="pl-PL"/>
        </w:rPr>
        <w:t xml:space="preserve">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W przypadkach spornych postanowienia statutu interpretuje wiążąco Rada Gminy.</w:t>
      </w:r>
    </w:p>
    <w:p>
      <w:pPr>
        <w:spacing w:before="26" w:after="240"/>
        <w:ind w:left="0"/>
        <w:jc w:val="left"/>
        <w:textAlignment w:val="auto"/>
      </w:pPr>
      <w:r>
        <w:rPr>
          <w:rFonts w:ascii="Times New Roman"/>
          <w:b/>
          <w:i w:val="false"/>
          <w:color w:val="000000"/>
          <w:sz w:val="24"/>
          <w:lang w:val="pl-PL"/>
        </w:rPr>
        <w:t xml:space="preserve">§  32.  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Zmiany statutu dokonywane są w trybie przewidzianym dla jego uchwalenia.</w:t>
      </w:r>
    </w:p>
    <w:p>
      <w:pPr>
        <w:spacing w:before="250" w:after="0"/>
        <w:ind w:left="0"/>
        <w:jc w:val="left"/>
        <w:textAlignment w:val="auto"/>
      </w:pPr>
      <w:r>
        <w:rPr>
          <w:rFonts w:ascii="Times New Roman"/>
          <w:b w:val="false"/>
          <w:i w:val="false"/>
          <w:color w:val="000000"/>
          <w:sz w:val="24"/>
          <w:vertAlign w:val="superscript"/>
          <w:lang w:val="pl-PL"/>
        </w:rPr>
        <w:t>1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 Załącznik nr 1: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- zmieniony przez § 1 uchwały nr RG.0007.143.2016 z dnia 29 listopada 2016 r. (Warmi.16.4944) zmieniającej nin. uchwałę z dniem 1 stycznia 2017 r.</w:t>
      </w:r>
      <w:r>
        <w:rPr>
          <w:rFonts w:ascii="Times New Roman"/>
          <w:b w:val="false"/>
          <w:i w:val="false"/>
          <w:color w:val="000000"/>
          <w:sz w:val="24"/>
          <w:lang w:val="pl-PL"/>
        </w:rPr>
        <w:t>- zmieniony przez § 4 uchwały nr RG.0007.14.2018 z dnia 28 grudnia 2018 r. (Warmi.19.472) zmieniającej nin. uchwałę z dniem 2 lutego 2019 r.</w:t>
      </w:r>
    </w:p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none"/>
      <w:lvlText w:val=""/>
      <w:lvlJc w:val="left"/>
      <w:pPr>
        <w:ind w:left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="Times New Roman" w:hAnsi="Times New Roman" w:eastAsia="Times New Roman" w:cs="Times New Roman" w:asciiTheme="minorHAnsi" w:hAnsiTheme="minorHAnsi" w:eastAsiaTheme="minorHAnsi" w:cstheme="minorBidi"/>
        <w:sz w:val="24"/>
        <w:szCs w:val="22"/>
        <w:lang w:val="pl-PL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rPr>
      <w:rFonts w:ascii="Times New Roman" w:hAnsi="Times New Roman" w:eastAsia="Times New Roman" w:cs="Times New Roman"/>
      <w:sz w:val="24"/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Style">
    <w:name w:val="Head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Style">
    <w:name w:val="TitleStyle"/>
    <w:pPr>
      <w:spacing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TitleCenterStyle">
    <w:name w:val="TitleCenterStyle"/>
    <w:pPr>
      <w:spacing w:line="240" w:lineRule="auto"/>
      <w:jc w:val="center"/>
    </w:pPr>
    <w:rPr>
      <w:rFonts w:ascii="Times New Roman" w:hAnsi="Times New Roman" w:eastAsia="Times New Roman" w:cs="Times New Roman"/>
      <w:b/>
      <w:color w:val="000000" w:themeColor="text1"/>
      <w:sz w:val="24"/>
    </w:rPr>
  </w:style>
  <w:style w:type="paragraph" w:styleId="NormalStyle">
    <w:name w:val="NormalStyle"/>
    <w:pPr>
      <w:spacing w:after="0"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NormalSpacingStyle">
    <w:name w:val="NormalSpacingStyle"/>
    <w:pPr>
      <w:spacing w:line="240" w:lineRule="auto"/>
      <w:jc w:val="left"/>
    </w:pPr>
    <w:rPr>
      <w:rFonts w:ascii="Times New Roman" w:hAnsi="Times New Roman" w:eastAsia="Times New Roman" w:cs="Times New Roman"/>
      <w:color w:val="000000" w:themeColor="text1"/>
      <w:sz w:val="24"/>
    </w:rPr>
  </w:style>
  <w:style w:type="paragraph" w:styleId="BoldStyle">
    <w:name w:val="BoldStyle"/>
    <w:pPr>
      <w:spacing w:after="0" w:line="240" w:lineRule="auto"/>
      <w:jc w:val="left"/>
    </w:pPr>
    <w:rPr>
      <w:rFonts w:ascii="Times New Roman" w:hAnsi="Times New Roman" w:eastAsia="Times New Roman" w:cs="Times New Roman"/>
      <w:b/>
      <w:color w:val="000000" w:themeColor="text1"/>
      <w:sz w:val="24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