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EF" w:rsidRDefault="00FF6D79" w:rsidP="004661EF">
      <w:pPr>
        <w:widowControl/>
        <w:suppressAutoHyphens w:val="0"/>
        <w:spacing w:before="100" w:beforeAutospacing="1" w:after="240"/>
        <w:jc w:val="both"/>
        <w:rPr>
          <w:rFonts w:eastAsia="Times New Roman" w:cs="Times New Roman"/>
          <w:b/>
          <w:bCs/>
          <w:color w:val="auto"/>
          <w:lang w:eastAsia="pl-PL" w:bidi="ar-SA"/>
        </w:rPr>
      </w:pPr>
      <w:proofErr w:type="spellStart"/>
      <w:r>
        <w:rPr>
          <w:rFonts w:eastAsia="Times New Roman" w:cs="Times New Roman"/>
          <w:b/>
          <w:bCs/>
          <w:color w:val="auto"/>
          <w:lang w:eastAsia="pl-PL" w:bidi="ar-SA"/>
        </w:rPr>
        <w:t>Nr</w:t>
      </w:r>
      <w:proofErr w:type="spellEnd"/>
      <w:r>
        <w:rPr>
          <w:rFonts w:eastAsia="Times New Roman" w:cs="Times New Roman"/>
          <w:b/>
          <w:bCs/>
          <w:color w:val="auto"/>
          <w:lang w:eastAsia="pl-PL" w:bidi="ar-SA"/>
        </w:rPr>
        <w:t>. BI.271.1</w:t>
      </w:r>
      <w:r w:rsidR="004661EF">
        <w:rPr>
          <w:rFonts w:eastAsia="Times New Roman" w:cs="Times New Roman"/>
          <w:b/>
          <w:bCs/>
          <w:color w:val="auto"/>
          <w:lang w:eastAsia="pl-PL" w:bidi="ar-SA"/>
        </w:rPr>
        <w:t>.201</w:t>
      </w:r>
      <w:r>
        <w:rPr>
          <w:rFonts w:eastAsia="Times New Roman" w:cs="Times New Roman"/>
          <w:b/>
          <w:bCs/>
          <w:color w:val="auto"/>
          <w:lang w:eastAsia="pl-PL" w:bidi="ar-SA"/>
        </w:rPr>
        <w:t>6</w:t>
      </w:r>
    </w:p>
    <w:p w:rsidR="00B276AB" w:rsidRPr="00B276AB" w:rsidRDefault="00B276AB" w:rsidP="00B276AB">
      <w:pPr>
        <w:widowControl/>
        <w:suppressAutoHyphens w:val="0"/>
        <w:spacing w:before="100" w:beforeAutospacing="1" w:after="240"/>
        <w:jc w:val="both"/>
        <w:rPr>
          <w:rFonts w:eastAsia="Times New Roman" w:cs="Times New Roman"/>
          <w:color w:val="auto"/>
          <w:lang w:eastAsia="pl-PL" w:bidi="ar-SA"/>
        </w:rPr>
      </w:pPr>
      <w:r w:rsidRPr="00B276AB">
        <w:rPr>
          <w:rFonts w:eastAsia="Times New Roman" w:cs="Times New Roman"/>
          <w:b/>
          <w:bCs/>
          <w:color w:val="auto"/>
          <w:lang w:eastAsia="pl-PL" w:bidi="ar-SA"/>
        </w:rPr>
        <w:t>Koszęcin: Rozbudowa i nadbudowa Zespołu Szkół w Koszęcinie</w:t>
      </w:r>
      <w:r w:rsidRPr="00B276AB">
        <w:rPr>
          <w:rFonts w:eastAsia="Times New Roman" w:cs="Times New Roman"/>
          <w:color w:val="auto"/>
          <w:lang w:eastAsia="pl-PL" w:bidi="ar-SA"/>
        </w:rPr>
        <w:br/>
      </w:r>
      <w:r w:rsidRPr="00B276AB">
        <w:rPr>
          <w:rFonts w:eastAsia="Times New Roman" w:cs="Times New Roman"/>
          <w:b/>
          <w:bCs/>
          <w:color w:val="auto"/>
          <w:lang w:eastAsia="pl-PL" w:bidi="ar-SA"/>
        </w:rPr>
        <w:t>Numer ogłoszenia: 11147 - 2016; data zamieszczenia: 02.02.2016</w:t>
      </w:r>
      <w:r w:rsidRPr="00B276AB">
        <w:rPr>
          <w:rFonts w:eastAsia="Times New Roman" w:cs="Times New Roman"/>
          <w:color w:val="auto"/>
          <w:lang w:eastAsia="pl-PL" w:bidi="ar-SA"/>
        </w:rPr>
        <w:br/>
        <w:t>OGŁOSZENIE O ZAMÓWIENIU - roboty budowlane</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Zamieszczanie ogłoszenia:</w:t>
      </w:r>
      <w:r w:rsidRPr="00B276AB">
        <w:rPr>
          <w:rFonts w:eastAsia="Times New Roman" w:cs="Times New Roman"/>
          <w:color w:val="auto"/>
          <w:lang w:eastAsia="pl-PL" w:bidi="ar-SA"/>
        </w:rPr>
        <w:t xml:space="preserve"> obowiązkowe.</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Ogłoszenie dotyczy:</w:t>
      </w:r>
      <w:r w:rsidRPr="00B276AB">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B276AB" w:rsidRPr="00B276AB" w:rsidTr="00B276A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r w:rsidRPr="00B276AB">
              <w:rPr>
                <w:rFonts w:eastAsia="Times New Roman" w:cs="Times New Roman"/>
                <w:b/>
                <w:bCs/>
                <w:color w:val="auto"/>
                <w:lang w:eastAsia="pl-PL" w:bidi="ar-SA"/>
              </w:rPr>
              <w:t>V</w:t>
            </w:r>
          </w:p>
        </w:tc>
        <w:tc>
          <w:tcPr>
            <w:tcW w:w="0" w:type="auto"/>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r w:rsidRPr="00B276AB">
              <w:rPr>
                <w:rFonts w:eastAsia="Times New Roman" w:cs="Times New Roman"/>
                <w:color w:val="auto"/>
                <w:lang w:eastAsia="pl-PL" w:bidi="ar-SA"/>
              </w:rPr>
              <w:t>zamówienia publicznego</w:t>
            </w:r>
          </w:p>
        </w:tc>
      </w:tr>
      <w:tr w:rsidR="00B276AB" w:rsidRPr="00B276AB" w:rsidTr="00B276A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p>
        </w:tc>
        <w:tc>
          <w:tcPr>
            <w:tcW w:w="0" w:type="auto"/>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r w:rsidRPr="00B276AB">
              <w:rPr>
                <w:rFonts w:eastAsia="Times New Roman" w:cs="Times New Roman"/>
                <w:color w:val="auto"/>
                <w:lang w:eastAsia="pl-PL" w:bidi="ar-SA"/>
              </w:rPr>
              <w:t>zawarcia umowy ramowej</w:t>
            </w:r>
          </w:p>
        </w:tc>
      </w:tr>
      <w:tr w:rsidR="00B276AB" w:rsidRPr="00B276AB" w:rsidTr="00B276A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p>
        </w:tc>
        <w:tc>
          <w:tcPr>
            <w:tcW w:w="0" w:type="auto"/>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r w:rsidRPr="00B276AB">
              <w:rPr>
                <w:rFonts w:eastAsia="Times New Roman" w:cs="Times New Roman"/>
                <w:color w:val="auto"/>
                <w:lang w:eastAsia="pl-PL" w:bidi="ar-SA"/>
              </w:rPr>
              <w:t>ustanowienia dynamicznego systemu zakupów (DSZ)</w:t>
            </w:r>
          </w:p>
        </w:tc>
      </w:tr>
    </w:tbl>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SEKCJA I: ZAMAWIAJĄCY</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 1) NAZWA I ADRES:</w:t>
      </w:r>
      <w:r w:rsidRPr="00B276AB">
        <w:rPr>
          <w:rFonts w:eastAsia="Times New Roman" w:cs="Times New Roman"/>
          <w:color w:val="auto"/>
          <w:lang w:eastAsia="pl-PL" w:bidi="ar-SA"/>
        </w:rPr>
        <w:t xml:space="preserve"> Urząd Gminy Koszęcin , ul. Powstańców 10, 42-286 Koszęcin, woj. śląskie, tel. 0-34 3576100 w. 120, faks 0-34 3576108.</w:t>
      </w:r>
    </w:p>
    <w:p w:rsidR="00B276AB" w:rsidRPr="00B276AB" w:rsidRDefault="00B276AB" w:rsidP="00B276AB">
      <w:pPr>
        <w:widowControl/>
        <w:numPr>
          <w:ilvl w:val="0"/>
          <w:numId w:val="13"/>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Adres strony internetowej zamawiającego:</w:t>
      </w:r>
      <w:r w:rsidRPr="00B276AB">
        <w:rPr>
          <w:rFonts w:eastAsia="Times New Roman" w:cs="Times New Roman"/>
          <w:color w:val="auto"/>
          <w:lang w:eastAsia="pl-PL" w:bidi="ar-SA"/>
        </w:rPr>
        <w:t xml:space="preserve"> www.koszecin.pl</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 2) RODZAJ ZAMAWIAJĄCEGO:</w:t>
      </w:r>
      <w:r w:rsidRPr="00B276AB">
        <w:rPr>
          <w:rFonts w:eastAsia="Times New Roman" w:cs="Times New Roman"/>
          <w:color w:val="auto"/>
          <w:lang w:eastAsia="pl-PL" w:bidi="ar-SA"/>
        </w:rPr>
        <w:t xml:space="preserve"> Administracja samorządowa.</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SEKCJA II: PRZEDMIOT ZAMÓWIENIA</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II.1) OKREŚLENIE PRZEDMIOTU ZAMÓWIENIA</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II.1.1) Nazwa nadana zamówieniu przez zamawiającego:</w:t>
      </w:r>
      <w:r w:rsidRPr="00B276AB">
        <w:rPr>
          <w:rFonts w:eastAsia="Times New Roman" w:cs="Times New Roman"/>
          <w:color w:val="auto"/>
          <w:lang w:eastAsia="pl-PL" w:bidi="ar-SA"/>
        </w:rPr>
        <w:t xml:space="preserve"> Rozbudowa i nadbudowa Zespołu Szkół w Koszęcinie.</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II.1.2) Rodzaj zamówienia:</w:t>
      </w:r>
      <w:r w:rsidRPr="00B276AB">
        <w:rPr>
          <w:rFonts w:eastAsia="Times New Roman" w:cs="Times New Roman"/>
          <w:color w:val="auto"/>
          <w:lang w:eastAsia="pl-PL" w:bidi="ar-SA"/>
        </w:rPr>
        <w:t xml:space="preserve"> roboty budowlane.</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II.1.4) Określenie przedmiotu oraz wielkości lub zakresu zamówienia:</w:t>
      </w:r>
      <w:r w:rsidRPr="00B276AB">
        <w:rPr>
          <w:rFonts w:eastAsia="Times New Roman" w:cs="Times New Roman"/>
          <w:color w:val="auto"/>
          <w:lang w:eastAsia="pl-PL" w:bidi="ar-SA"/>
        </w:rPr>
        <w:t xml:space="preserve"> W ramach przedmiotu zamówienia należy wykonać rozbudowę i nadbudowę o dwie sale lekcyjne wraz z świetlicą, szatnią, towarzyszącymi sanitariatami, komunikacją. oraz robotami adaptacyjnymi w istniejącym budynku. Podstawowe elementy rozbudowy i nadbudowy wchodzące w zakres przedmiotu zamówienia: Roboty rozbiórkowe: - rozbiórki istniejącego budynku Zespołu Szkół związane z planowaną rozbudową i nadbudową - roboty ziemne Roboty konstrukcyjne: - fundamenty i izolacje - elementy konstrukcji żelbetowych ( w tym schody i szyb windy) - konstrukcje stropów - konstrukcje ścian zewnętrznych - konstrukcje ścian wewnętrznych - konstrukcja dachu wraz z pokryciem i obróbkami Pozostałe roboty: - dostawa i montaż stolarki okiennej i drzwiowej (wewnętrznej i zewnętrznej) - elewacja wraz z </w:t>
      </w:r>
      <w:proofErr w:type="spellStart"/>
      <w:r w:rsidRPr="00B276AB">
        <w:rPr>
          <w:rFonts w:eastAsia="Times New Roman" w:cs="Times New Roman"/>
          <w:color w:val="auto"/>
          <w:lang w:eastAsia="pl-PL" w:bidi="ar-SA"/>
        </w:rPr>
        <w:t>dociepleniem</w:t>
      </w:r>
      <w:proofErr w:type="spellEnd"/>
      <w:r w:rsidRPr="00B276AB">
        <w:rPr>
          <w:rFonts w:eastAsia="Times New Roman" w:cs="Times New Roman"/>
          <w:color w:val="auto"/>
          <w:lang w:eastAsia="pl-PL" w:bidi="ar-SA"/>
        </w:rPr>
        <w:t xml:space="preserve"> - instalacje </w:t>
      </w:r>
      <w:proofErr w:type="spellStart"/>
      <w:r w:rsidRPr="00B276AB">
        <w:rPr>
          <w:rFonts w:eastAsia="Times New Roman" w:cs="Times New Roman"/>
          <w:color w:val="auto"/>
          <w:lang w:eastAsia="pl-PL" w:bidi="ar-SA"/>
        </w:rPr>
        <w:t>wod</w:t>
      </w:r>
      <w:proofErr w:type="spellEnd"/>
      <w:r w:rsidRPr="00B276AB">
        <w:rPr>
          <w:rFonts w:eastAsia="Times New Roman" w:cs="Times New Roman"/>
          <w:color w:val="auto"/>
          <w:lang w:eastAsia="pl-PL" w:bidi="ar-SA"/>
        </w:rPr>
        <w:t xml:space="preserve">. kan. i </w:t>
      </w:r>
      <w:proofErr w:type="spellStart"/>
      <w:r w:rsidRPr="00B276AB">
        <w:rPr>
          <w:rFonts w:eastAsia="Times New Roman" w:cs="Times New Roman"/>
          <w:color w:val="auto"/>
          <w:lang w:eastAsia="pl-PL" w:bidi="ar-SA"/>
        </w:rPr>
        <w:t>c.o</w:t>
      </w:r>
      <w:proofErr w:type="spellEnd"/>
      <w:r w:rsidRPr="00B276AB">
        <w:rPr>
          <w:rFonts w:eastAsia="Times New Roman" w:cs="Times New Roman"/>
          <w:color w:val="auto"/>
          <w:lang w:eastAsia="pl-PL" w:bidi="ar-SA"/>
        </w:rPr>
        <w:t>., (kotłownia- sposób zapewnienia mocy cieplnej rozwiązanie a)) - instalacje elektryczne - instalacja wentylacyjna - roboty wykończeniowe - roboty związane z zagospodarowaniem terenu (ogrodzenie, schody zewnętrzne z pochylnią, nawierzchnie utwardzone, zieleniec) - przyłącze do sieci kanalizacji sanitarnej oraz deszczowej - dostawa i montaż dźwigu windowego - wyposażenie szatni i sanitariatów.</w:t>
      </w:r>
    </w:p>
    <w:p w:rsidR="00B276AB" w:rsidRPr="00B276AB" w:rsidRDefault="00B276AB" w:rsidP="00B276AB">
      <w:pPr>
        <w:widowControl/>
        <w:suppressAutoHyphens w:val="0"/>
        <w:spacing w:before="100" w:beforeAutospacing="1" w:after="100" w:afterAutospacing="1"/>
        <w:jc w:val="both"/>
        <w:rPr>
          <w:rFonts w:eastAsia="Times New Roman" w:cs="Times New Roman"/>
          <w:b/>
          <w:bCs/>
          <w:color w:val="auto"/>
          <w:lang w:eastAsia="pl-PL" w:bidi="ar-SA"/>
        </w:rPr>
      </w:pPr>
      <w:r w:rsidRPr="00B276AB">
        <w:rPr>
          <w:rFonts w:eastAsia="Times New Roman" w:cs="Times New Roman"/>
          <w:b/>
          <w:bCs/>
          <w:color w:val="auto"/>
          <w:lang w:eastAsia="pl-PL" w:bidi="ar-SA"/>
        </w:rPr>
        <w:t xml:space="preserve">II.1.5) </w:t>
      </w:r>
    </w:p>
    <w:tbl>
      <w:tblPr>
        <w:tblW w:w="0" w:type="auto"/>
        <w:tblCellSpacing w:w="15" w:type="dxa"/>
        <w:tblCellMar>
          <w:top w:w="15" w:type="dxa"/>
          <w:left w:w="15" w:type="dxa"/>
          <w:bottom w:w="15" w:type="dxa"/>
          <w:right w:w="15" w:type="dxa"/>
        </w:tblCellMar>
        <w:tblLook w:val="04A0"/>
      </w:tblPr>
      <w:tblGrid>
        <w:gridCol w:w="279"/>
        <w:gridCol w:w="5528"/>
      </w:tblGrid>
      <w:tr w:rsidR="00B276AB" w:rsidRPr="00B276AB" w:rsidTr="00B276A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r w:rsidRPr="00B276AB">
              <w:rPr>
                <w:rFonts w:eastAsia="Times New Roman" w:cs="Times New Roman"/>
                <w:b/>
                <w:bCs/>
                <w:color w:val="auto"/>
                <w:lang w:eastAsia="pl-PL" w:bidi="ar-SA"/>
              </w:rPr>
              <w:lastRenderedPageBreak/>
              <w:t>V</w:t>
            </w:r>
          </w:p>
        </w:tc>
        <w:tc>
          <w:tcPr>
            <w:tcW w:w="0" w:type="auto"/>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r w:rsidRPr="00B276AB">
              <w:rPr>
                <w:rFonts w:eastAsia="Times New Roman" w:cs="Times New Roman"/>
                <w:b/>
                <w:bCs/>
                <w:color w:val="auto"/>
                <w:lang w:eastAsia="pl-PL" w:bidi="ar-SA"/>
              </w:rPr>
              <w:t>przewiduje się udzielenie zamówień uzupełniających:</w:t>
            </w:r>
          </w:p>
        </w:tc>
      </w:tr>
    </w:tbl>
    <w:p w:rsidR="00B276AB" w:rsidRPr="00B276AB" w:rsidRDefault="00B276AB" w:rsidP="00B276AB">
      <w:pPr>
        <w:widowControl/>
        <w:numPr>
          <w:ilvl w:val="0"/>
          <w:numId w:val="14"/>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Określenie przedmiotu oraz wielkości lub zakresu zamówień uzupełniających</w:t>
      </w:r>
    </w:p>
    <w:p w:rsidR="00B276AB" w:rsidRPr="00B276AB" w:rsidRDefault="00B276AB" w:rsidP="00B276AB">
      <w:pPr>
        <w:widowControl/>
        <w:numPr>
          <w:ilvl w:val="0"/>
          <w:numId w:val="14"/>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 xml:space="preserve">Zamawiający przewiduje udzielenie zamówienia uzupełniającego określonego w art. 67 ust. 1 </w:t>
      </w:r>
      <w:proofErr w:type="spellStart"/>
      <w:r w:rsidRPr="00B276AB">
        <w:rPr>
          <w:rFonts w:eastAsia="Times New Roman" w:cs="Times New Roman"/>
          <w:color w:val="auto"/>
          <w:lang w:eastAsia="pl-PL" w:bidi="ar-SA"/>
        </w:rPr>
        <w:t>pkt</w:t>
      </w:r>
      <w:proofErr w:type="spellEnd"/>
      <w:r w:rsidRPr="00B276AB">
        <w:rPr>
          <w:rFonts w:eastAsia="Times New Roman" w:cs="Times New Roman"/>
          <w:color w:val="auto"/>
          <w:lang w:eastAsia="pl-PL" w:bidi="ar-SA"/>
        </w:rPr>
        <w:t xml:space="preserve"> 6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do wysokości 50% zamówienia podstawowego.</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II.1.6) Wspólny Słownik Zamówień (CPV):</w:t>
      </w:r>
      <w:r w:rsidRPr="00B276AB">
        <w:rPr>
          <w:rFonts w:eastAsia="Times New Roman" w:cs="Times New Roman"/>
          <w:color w:val="auto"/>
          <w:lang w:eastAsia="pl-PL" w:bidi="ar-SA"/>
        </w:rPr>
        <w:t xml:space="preserve"> 45.21.00.00-2, 45.11.00.00-1, 45.26.00.00-7, 45.40.00.00-1.</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II.1.7) Czy dopuszcza się złożenie oferty częściowej:</w:t>
      </w:r>
      <w:r w:rsidRPr="00B276AB">
        <w:rPr>
          <w:rFonts w:eastAsia="Times New Roman" w:cs="Times New Roman"/>
          <w:color w:val="auto"/>
          <w:lang w:eastAsia="pl-PL" w:bidi="ar-SA"/>
        </w:rPr>
        <w:t xml:space="preserve"> nie.</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II.1.8) Czy dopuszcza się złożenie oferty wariantowej:</w:t>
      </w:r>
      <w:r w:rsidRPr="00B276AB">
        <w:rPr>
          <w:rFonts w:eastAsia="Times New Roman" w:cs="Times New Roman"/>
          <w:color w:val="auto"/>
          <w:lang w:eastAsia="pl-PL" w:bidi="ar-SA"/>
        </w:rPr>
        <w:t xml:space="preserve"> nie.</w:t>
      </w:r>
    </w:p>
    <w:p w:rsidR="00B276AB" w:rsidRPr="00B276AB" w:rsidRDefault="00B276AB" w:rsidP="00B276AB">
      <w:pPr>
        <w:widowControl/>
        <w:suppressAutoHyphens w:val="0"/>
        <w:jc w:val="both"/>
        <w:rPr>
          <w:rFonts w:eastAsia="Times New Roman" w:cs="Times New Roman"/>
          <w:color w:val="auto"/>
          <w:lang w:eastAsia="pl-PL" w:bidi="ar-SA"/>
        </w:rPr>
      </w:pP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II.2) CZAS TRWANIA ZAMÓWIENIA LUB TERMIN WYKONANIA:</w:t>
      </w:r>
      <w:r w:rsidRPr="00B276AB">
        <w:rPr>
          <w:rFonts w:eastAsia="Times New Roman" w:cs="Times New Roman"/>
          <w:color w:val="auto"/>
          <w:lang w:eastAsia="pl-PL" w:bidi="ar-SA"/>
        </w:rPr>
        <w:t xml:space="preserve"> Zakończenie: 30.11.2016.</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SEKCJA III: INFORMACJE O CHARAKTERZE PRAWNYM, EKONOMICZNYM, FINANSOWYM I TECHNICZNYM</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III.1) WADIUM</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Informacja na temat wadium:</w:t>
      </w:r>
      <w:r w:rsidRPr="00B276AB">
        <w:rPr>
          <w:rFonts w:eastAsia="Times New Roman" w:cs="Times New Roman"/>
          <w:color w:val="auto"/>
          <w:lang w:eastAsia="pl-PL" w:bidi="ar-SA"/>
        </w:rPr>
        <w:t xml:space="preserve"> 1. Na podstawie art. 45 ust. 2 ustawy Prawo zamówień publicznych z dnia 29 stycznia 2004 r. (tekst jedn. Dz. U. z 2013 r. poz. 907z </w:t>
      </w:r>
      <w:proofErr w:type="spellStart"/>
      <w:r w:rsidRPr="00B276AB">
        <w:rPr>
          <w:rFonts w:eastAsia="Times New Roman" w:cs="Times New Roman"/>
          <w:color w:val="auto"/>
          <w:lang w:eastAsia="pl-PL" w:bidi="ar-SA"/>
        </w:rPr>
        <w:t>późn</w:t>
      </w:r>
      <w:proofErr w:type="spellEnd"/>
      <w:r w:rsidRPr="00B276AB">
        <w:rPr>
          <w:rFonts w:eastAsia="Times New Roman" w:cs="Times New Roman"/>
          <w:color w:val="auto"/>
          <w:lang w:eastAsia="pl-PL" w:bidi="ar-SA"/>
        </w:rPr>
        <w:t xml:space="preserve">. zm.) Zamawiający żąda wniesienia wadium. 2. Przystępując do niniejszego postępowania każdy Wykonawca zobowiązany jest wnieść wadium w wysokości 30 000,00 (słownie: trzydzieści tysięcy zł). 3. Wykonawca może wnieść wadium w jednej lub kilku formach przewidzianych w art. 45ust. 6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xml:space="preserve">, tj.: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 b ust. 5 </w:t>
      </w:r>
      <w:proofErr w:type="spellStart"/>
      <w:r w:rsidRPr="00B276AB">
        <w:rPr>
          <w:rFonts w:eastAsia="Times New Roman" w:cs="Times New Roman"/>
          <w:color w:val="auto"/>
          <w:lang w:eastAsia="pl-PL" w:bidi="ar-SA"/>
        </w:rPr>
        <w:t>pkt</w:t>
      </w:r>
      <w:proofErr w:type="spellEnd"/>
      <w:r w:rsidRPr="00B276AB">
        <w:rPr>
          <w:rFonts w:eastAsia="Times New Roman" w:cs="Times New Roman"/>
          <w:color w:val="auto"/>
          <w:lang w:eastAsia="pl-PL" w:bidi="ar-SA"/>
        </w:rPr>
        <w:t xml:space="preserve"> 2 ustawy z dnia 9 listopada 2000r. O utworzeniu Polskiej Agencji Rozwoju Przedsiębiorczości (</w:t>
      </w:r>
      <w:proofErr w:type="spellStart"/>
      <w:r w:rsidRPr="00B276AB">
        <w:rPr>
          <w:rFonts w:eastAsia="Times New Roman" w:cs="Times New Roman"/>
          <w:color w:val="auto"/>
          <w:lang w:eastAsia="pl-PL" w:bidi="ar-SA"/>
        </w:rPr>
        <w:t>Dz.U</w:t>
      </w:r>
      <w:proofErr w:type="spellEnd"/>
      <w:r w:rsidRPr="00B276AB">
        <w:rPr>
          <w:rFonts w:eastAsia="Times New Roman" w:cs="Times New Roman"/>
          <w:color w:val="auto"/>
          <w:lang w:eastAsia="pl-PL" w:bidi="ar-SA"/>
        </w:rPr>
        <w:t xml:space="preserve">. z 2007r. Nr 42, poz. 275 ze zm.). 4.Wykonawca zobowiązany jest wnieść wadium przed upływem terminu składania ofert. 5. Wadium w pieniądzu należy wnieść przelewem na konto Zamawiającego: Bank Spółdzielczy w Koszęcinie nr konta: 84 8288 0004 2000 0000 0013 0010. Wadium w tej formie uważa się za wniesione w sposób prawidłowy, gdy środki pieniężne wpłyną na konto Zamawiającego przed upływem terminu składnia ofert. 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7. 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B276AB">
        <w:rPr>
          <w:rFonts w:eastAsia="Times New Roman" w:cs="Times New Roman"/>
          <w:color w:val="auto"/>
          <w:lang w:eastAsia="pl-PL" w:bidi="ar-SA"/>
        </w:rPr>
        <w:t>pkt</w:t>
      </w:r>
      <w:proofErr w:type="spellEnd"/>
      <w:r w:rsidRPr="00B276AB">
        <w:rPr>
          <w:rFonts w:eastAsia="Times New Roman" w:cs="Times New Roman"/>
          <w:color w:val="auto"/>
          <w:lang w:eastAsia="pl-PL" w:bidi="ar-SA"/>
        </w:rPr>
        <w:t xml:space="preserve"> 12. lit. a niniejszego rozdziału SIWZ. 8. Wykonawcy, którego oferta zostanie wybrana jako najkorzystniejsza, Zamawiający zwróci wadium niezwłocznie po zawarciu umowy w sprawie zamówienia publicznego oraz wniesieniu zabezpieczenia należytego wykonania umowy. 9. Zamawiający zwróci niezwłocznie wadium, na wniosek Wykonawcy, który wycofał ofertę przed upływem terminu składania ofert. 10. Zamawiający </w:t>
      </w:r>
      <w:r w:rsidRPr="00B276AB">
        <w:rPr>
          <w:rFonts w:eastAsia="Times New Roman" w:cs="Times New Roman"/>
          <w:color w:val="auto"/>
          <w:lang w:eastAsia="pl-PL" w:bidi="ar-SA"/>
        </w:rPr>
        <w:lastRenderedPageBreak/>
        <w:t xml:space="preserve">zażąda ponownego wniesienia wadium przez Wykonawcę, któremu zwrócono wadium zgodnie z zapisem </w:t>
      </w:r>
      <w:proofErr w:type="spellStart"/>
      <w:r w:rsidRPr="00B276AB">
        <w:rPr>
          <w:rFonts w:eastAsia="Times New Roman" w:cs="Times New Roman"/>
          <w:color w:val="auto"/>
          <w:lang w:eastAsia="pl-PL" w:bidi="ar-SA"/>
        </w:rPr>
        <w:t>pkt</w:t>
      </w:r>
      <w:proofErr w:type="spellEnd"/>
      <w:r w:rsidRPr="00B276AB">
        <w:rPr>
          <w:rFonts w:eastAsia="Times New Roman" w:cs="Times New Roman"/>
          <w:color w:val="auto"/>
          <w:lang w:eastAsia="pl-PL" w:bidi="ar-SA"/>
        </w:rPr>
        <w:t xml:space="preserve"> 7 niniejszego rozdziału SIWZ, jeżeli w wyniku rozstrzygnięcia odwołania, jego oferta zostanie wybrana jako najkorzystniejsza. Wykonawca ten wnosi wadium w terminie określonym przez Zamawiającego. 11.Wykonawca, którego oferta została wybrana, a który wniósł wadium w pieniądzu, może wyrazić zgodę na zaliczenie kwoty wadium na poczet zabezpieczenia należytego wykonania umowy. 12. Zamawiający zatrzyma wadium wraz z odsetkami: a) jeżeli Wykonawca w odpowiedzi na wezwanie, o którym mowa w art. 26 ust. 3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xml:space="preserve">, z przyczyn leżących po jego stronie, nie złoży dokumentów lub oświadczeń, o których mowa w art. 25 ust. 1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xml:space="preserve">, pełnomocnictw, listy podmiotów należących do tej samej grupy kapitałowej, o której mowa w art. 24 ust. 2 </w:t>
      </w:r>
      <w:proofErr w:type="spellStart"/>
      <w:r w:rsidRPr="00B276AB">
        <w:rPr>
          <w:rFonts w:eastAsia="Times New Roman" w:cs="Times New Roman"/>
          <w:color w:val="auto"/>
          <w:lang w:eastAsia="pl-PL" w:bidi="ar-SA"/>
        </w:rPr>
        <w:t>pkt</w:t>
      </w:r>
      <w:proofErr w:type="spellEnd"/>
      <w:r w:rsidRPr="00B276AB">
        <w:rPr>
          <w:rFonts w:eastAsia="Times New Roman" w:cs="Times New Roman"/>
          <w:color w:val="auto"/>
          <w:lang w:eastAsia="pl-PL" w:bidi="ar-SA"/>
        </w:rPr>
        <w:t xml:space="preserve"> 5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xml:space="preserve">, lub informacji o tym, że nie należy do grupy kapitałowej, lub nie wyraził zgody na poprawienie omyłki, o której mowa w art. 87 ust. 2 </w:t>
      </w:r>
      <w:proofErr w:type="spellStart"/>
      <w:r w:rsidRPr="00B276AB">
        <w:rPr>
          <w:rFonts w:eastAsia="Times New Roman" w:cs="Times New Roman"/>
          <w:color w:val="auto"/>
          <w:lang w:eastAsia="pl-PL" w:bidi="ar-SA"/>
        </w:rPr>
        <w:t>pkt</w:t>
      </w:r>
      <w:proofErr w:type="spellEnd"/>
      <w:r w:rsidRPr="00B276AB">
        <w:rPr>
          <w:rFonts w:eastAsia="Times New Roman" w:cs="Times New Roman"/>
          <w:color w:val="auto"/>
          <w:lang w:eastAsia="pl-PL" w:bidi="ar-SA"/>
        </w:rPr>
        <w:t xml:space="preserve"> 3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co powodowało brak możliwości wybrania oferty złożonej przez Wykonawcę, jako najkorzystniejszej, b) jeżeli Wykonawca, którego oferta została wybrana: odmówi podpisania umowy na warunkach określonych w ofercie, nie wniesie zabezpieczenia należytego wykonania umowy na zasadach określonych w specyfikacji istotnych warunków zamówienia, zawarcie umowy w sprawie niniejszego zamówienia stanie się niemożliwe z przyczyn leżących po stronie Wykonawcy.</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III.2) ZALICZKI</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III.3) WARUNKI UDZIAŁU W POSTĘPOWANIU ORAZ OPIS SPOSOBU DOKONYWANIA OCENY SPEŁNIANIA TYCH WARUNKÓW</w:t>
      </w:r>
    </w:p>
    <w:p w:rsidR="00B276AB" w:rsidRPr="00B276AB" w:rsidRDefault="00B276AB" w:rsidP="00B276AB">
      <w:pPr>
        <w:widowControl/>
        <w:numPr>
          <w:ilvl w:val="0"/>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 3.1) Uprawnienia do wykonywania określonej działalności lub czynności, jeżeli przepisy prawa nakładają obowiązek ich posiadania</w:t>
      </w:r>
    </w:p>
    <w:p w:rsidR="00B276AB" w:rsidRPr="00B276AB" w:rsidRDefault="00B276AB" w:rsidP="00B276AB">
      <w:pPr>
        <w:widowControl/>
        <w:suppressAutoHyphens w:val="0"/>
        <w:spacing w:before="100" w:beforeAutospacing="1" w:after="100" w:afterAutospacing="1"/>
        <w:ind w:left="720"/>
        <w:jc w:val="both"/>
        <w:rPr>
          <w:rFonts w:eastAsia="Times New Roman" w:cs="Times New Roman"/>
          <w:color w:val="auto"/>
          <w:lang w:eastAsia="pl-PL" w:bidi="ar-SA"/>
        </w:rPr>
      </w:pPr>
      <w:r w:rsidRPr="00B276AB">
        <w:rPr>
          <w:rFonts w:eastAsia="Times New Roman" w:cs="Times New Roman"/>
          <w:b/>
          <w:bCs/>
          <w:color w:val="auto"/>
          <w:lang w:eastAsia="pl-PL" w:bidi="ar-SA"/>
        </w:rPr>
        <w:t>Opis sposobu dokonywania oceny spełniania tego warunku</w:t>
      </w:r>
    </w:p>
    <w:p w:rsidR="00B276AB" w:rsidRPr="00B276AB" w:rsidRDefault="00B276AB" w:rsidP="00B276AB">
      <w:pPr>
        <w:widowControl/>
        <w:numPr>
          <w:ilvl w:val="1"/>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xml:space="preserve"> wymienionego w rozdziale VII SIWZ punkt 2.1. w systemie 0-1 (zero jedynkowym) wg formuły spełnia nie spełnia. Z treści załączonego oświadczenia musi wynikać jednoznacznie, iż warunek wykonawca spełnił.</w:t>
      </w:r>
    </w:p>
    <w:p w:rsidR="00B276AB" w:rsidRPr="00B276AB" w:rsidRDefault="00B276AB" w:rsidP="00B276AB">
      <w:pPr>
        <w:widowControl/>
        <w:numPr>
          <w:ilvl w:val="0"/>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III.3.2) Wiedza i doświadczenie</w:t>
      </w:r>
    </w:p>
    <w:p w:rsidR="00B276AB" w:rsidRPr="00B276AB" w:rsidRDefault="00B276AB" w:rsidP="00B276AB">
      <w:pPr>
        <w:widowControl/>
        <w:suppressAutoHyphens w:val="0"/>
        <w:spacing w:before="100" w:beforeAutospacing="1" w:after="100" w:afterAutospacing="1"/>
        <w:ind w:left="720"/>
        <w:jc w:val="both"/>
        <w:rPr>
          <w:rFonts w:eastAsia="Times New Roman" w:cs="Times New Roman"/>
          <w:color w:val="auto"/>
          <w:lang w:eastAsia="pl-PL" w:bidi="ar-SA"/>
        </w:rPr>
      </w:pPr>
      <w:r w:rsidRPr="00B276AB">
        <w:rPr>
          <w:rFonts w:eastAsia="Times New Roman" w:cs="Times New Roman"/>
          <w:b/>
          <w:bCs/>
          <w:color w:val="auto"/>
          <w:lang w:eastAsia="pl-PL" w:bidi="ar-SA"/>
        </w:rPr>
        <w:t>Opis sposobu dokonywania oceny spełniania tego warunku</w:t>
      </w:r>
    </w:p>
    <w:p w:rsidR="00B276AB" w:rsidRPr="00B276AB" w:rsidRDefault="00B276AB" w:rsidP="00B276AB">
      <w:pPr>
        <w:widowControl/>
        <w:numPr>
          <w:ilvl w:val="1"/>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 xml:space="preserve">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[zamówienie]związaną z przedmiotem zamówienia oraz do niego proporcjonalną o wartości minimum 2 000 000,00 zł netto. Uwaga: Jako zamówienia potwierdzające spełnienie warunku posiadania wiedzy i doświadczenia, Zamawiający rozumie robotę budowlaną zrealizowaną (czyli zakończoną i odebraną protokołem częściowym lub końcowym) polegającą na budowie lub przebudowie lub rozbudowie lub nadbudowie obiektu kubaturowego z wyłączeniem budynków przemysłowych. W przypadku gdy uprzednio wykonane zamówienia na roboty budowlane obejmują szerszy </w:t>
      </w:r>
      <w:r w:rsidRPr="00B276AB">
        <w:rPr>
          <w:rFonts w:eastAsia="Times New Roman" w:cs="Times New Roman"/>
          <w:color w:val="auto"/>
          <w:lang w:eastAsia="pl-PL" w:bidi="ar-SA"/>
        </w:rPr>
        <w:lastRenderedPageBreak/>
        <w:t xml:space="preserve">zakres prac od wskazanego powyżej, w celu zastosowania jednakowych kryteriów oceny ofert wobec wszystkich Wykonawców, Zamawiający wymaga, aby wyodrębniona została wartość faktycznie wykonanych robót budowlanych, obejmujących wyłącznie prace polegające na: budowie lub przebudowie lub rozbudowie lub nadbudowie obiektu kubaturowego z wyłączeniem budynków przemysłowych. Tak wyliczona wartość zrealizowanych robót winna spełniać ww. warunek. Zamawiający uzna spełnienie warunku określonego powyżej, jeżeli Wykonawca potwierdzi wykonanie podanych zakresów robót budowlanych w jednym zamówieniu lub zamówieniach oddzielnych, które łącznie potwierdzają wymagane doświadczenie Wykonawcy. Jako dokumenty dotyczące realizacji robót z ostatnich 5 lat Zamawiający uzna dokumenty dotyczące robót, które zostały wykonane w okresie ostatnich pięciu lat przed upływem terminu składania ofert. Warunek udziału w postępowaniu będzie oceniany na podstawie oświadczenia art. 22 ust. 1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xml:space="preserve">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B276AB" w:rsidRPr="00B276AB" w:rsidRDefault="00B276AB" w:rsidP="00B276AB">
      <w:pPr>
        <w:widowControl/>
        <w:numPr>
          <w:ilvl w:val="0"/>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III.3.3) Potencjał techniczny</w:t>
      </w:r>
    </w:p>
    <w:p w:rsidR="00B276AB" w:rsidRPr="00B276AB" w:rsidRDefault="00B276AB" w:rsidP="00B276AB">
      <w:pPr>
        <w:widowControl/>
        <w:suppressAutoHyphens w:val="0"/>
        <w:spacing w:before="100" w:beforeAutospacing="1" w:after="100" w:afterAutospacing="1"/>
        <w:ind w:left="720"/>
        <w:jc w:val="both"/>
        <w:rPr>
          <w:rFonts w:eastAsia="Times New Roman" w:cs="Times New Roman"/>
          <w:color w:val="auto"/>
          <w:lang w:eastAsia="pl-PL" w:bidi="ar-SA"/>
        </w:rPr>
      </w:pPr>
      <w:r w:rsidRPr="00B276AB">
        <w:rPr>
          <w:rFonts w:eastAsia="Times New Roman" w:cs="Times New Roman"/>
          <w:b/>
          <w:bCs/>
          <w:color w:val="auto"/>
          <w:lang w:eastAsia="pl-PL" w:bidi="ar-SA"/>
        </w:rPr>
        <w:t>Opis sposobu dokonywania oceny spełniania tego warunku</w:t>
      </w:r>
    </w:p>
    <w:p w:rsidR="00B276AB" w:rsidRPr="00B276AB" w:rsidRDefault="00B276AB" w:rsidP="00B276AB">
      <w:pPr>
        <w:widowControl/>
        <w:numPr>
          <w:ilvl w:val="1"/>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B276AB" w:rsidRPr="00B276AB" w:rsidRDefault="00B276AB" w:rsidP="00B276AB">
      <w:pPr>
        <w:widowControl/>
        <w:numPr>
          <w:ilvl w:val="0"/>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III.3.4) Osoby zdolne do wykonania zamówienia</w:t>
      </w:r>
    </w:p>
    <w:p w:rsidR="00B276AB" w:rsidRPr="00B276AB" w:rsidRDefault="00B276AB" w:rsidP="00B276AB">
      <w:pPr>
        <w:widowControl/>
        <w:suppressAutoHyphens w:val="0"/>
        <w:spacing w:before="100" w:beforeAutospacing="1" w:after="100" w:afterAutospacing="1"/>
        <w:ind w:left="720"/>
        <w:jc w:val="both"/>
        <w:rPr>
          <w:rFonts w:eastAsia="Times New Roman" w:cs="Times New Roman"/>
          <w:color w:val="auto"/>
          <w:lang w:eastAsia="pl-PL" w:bidi="ar-SA"/>
        </w:rPr>
      </w:pPr>
      <w:r w:rsidRPr="00B276AB">
        <w:rPr>
          <w:rFonts w:eastAsia="Times New Roman" w:cs="Times New Roman"/>
          <w:b/>
          <w:bCs/>
          <w:color w:val="auto"/>
          <w:lang w:eastAsia="pl-PL" w:bidi="ar-SA"/>
        </w:rPr>
        <w:t>Opis sposobu dokonywania oceny spełniania tego warunku</w:t>
      </w:r>
    </w:p>
    <w:p w:rsidR="00B276AB" w:rsidRPr="00B276AB" w:rsidRDefault="00B276AB" w:rsidP="00B276AB">
      <w:pPr>
        <w:widowControl/>
        <w:numPr>
          <w:ilvl w:val="1"/>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B276AB" w:rsidRPr="00B276AB" w:rsidRDefault="00B276AB" w:rsidP="00B276AB">
      <w:pPr>
        <w:widowControl/>
        <w:numPr>
          <w:ilvl w:val="0"/>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III.3.5) Sytuacja ekonomiczna i finansowa</w:t>
      </w:r>
    </w:p>
    <w:p w:rsidR="00B276AB" w:rsidRPr="00B276AB" w:rsidRDefault="00B276AB" w:rsidP="00B276AB">
      <w:pPr>
        <w:widowControl/>
        <w:suppressAutoHyphens w:val="0"/>
        <w:spacing w:before="100" w:beforeAutospacing="1" w:after="100" w:afterAutospacing="1"/>
        <w:ind w:left="720"/>
        <w:jc w:val="both"/>
        <w:rPr>
          <w:rFonts w:eastAsia="Times New Roman" w:cs="Times New Roman"/>
          <w:color w:val="auto"/>
          <w:lang w:eastAsia="pl-PL" w:bidi="ar-SA"/>
        </w:rPr>
      </w:pPr>
      <w:r w:rsidRPr="00B276AB">
        <w:rPr>
          <w:rFonts w:eastAsia="Times New Roman" w:cs="Times New Roman"/>
          <w:b/>
          <w:bCs/>
          <w:color w:val="auto"/>
          <w:lang w:eastAsia="pl-PL" w:bidi="ar-SA"/>
        </w:rPr>
        <w:t>Opis sposobu dokonywania oceny spełniania tego warunku</w:t>
      </w:r>
    </w:p>
    <w:p w:rsidR="00B276AB" w:rsidRPr="00B276AB" w:rsidRDefault="00B276AB" w:rsidP="00B276AB">
      <w:pPr>
        <w:widowControl/>
        <w:numPr>
          <w:ilvl w:val="1"/>
          <w:numId w:val="15"/>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B276AB">
        <w:rPr>
          <w:rFonts w:eastAsia="Times New Roman" w:cs="Times New Roman"/>
          <w:color w:val="auto"/>
          <w:lang w:eastAsia="pl-PL" w:bidi="ar-SA"/>
        </w:rPr>
        <w:t>Pzp</w:t>
      </w:r>
      <w:proofErr w:type="spellEnd"/>
      <w:r w:rsidRPr="00B276AB">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lastRenderedPageBreak/>
        <w:t>III.4) INFORMACJA O OŚWIADCZENIACH LUB DOKUMENTACH, JAKIE MAJĄ DOSTARCZYĆ WYKONAWCY W CELU POTWIERDZENIA SPEŁNIANIA WARUNKÓW UDZIAŁU W POSTĘPOWANIU ORAZ NIEPODLEGANIA WYKLUCZENIU NA PODSTAWIE ART. 24 UST. 1 USTAWY</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III.4.1) W zakresie wykazania spełniania przez wykonawcę warunków, o których mowa w art. 22 ust. 1 ustawy, oprócz oświadczenia o spełnianiu warunków udziału w postępowaniu należy przedłożyć:</w:t>
      </w:r>
    </w:p>
    <w:p w:rsidR="00B276AB" w:rsidRPr="00B276AB" w:rsidRDefault="00B276AB" w:rsidP="00B276AB">
      <w:pPr>
        <w:widowControl/>
        <w:numPr>
          <w:ilvl w:val="0"/>
          <w:numId w:val="16"/>
        </w:numPr>
        <w:suppressAutoHyphens w:val="0"/>
        <w:spacing w:before="100" w:beforeAutospacing="1" w:after="180"/>
        <w:ind w:right="300"/>
        <w:jc w:val="both"/>
        <w:rPr>
          <w:rFonts w:eastAsia="Times New Roman" w:cs="Times New Roman"/>
          <w:color w:val="auto"/>
          <w:lang w:eastAsia="pl-PL" w:bidi="ar-SA"/>
        </w:rPr>
      </w:pPr>
      <w:r w:rsidRPr="00B276AB">
        <w:rPr>
          <w:rFonts w:eastAsia="Times New Roman" w:cs="Times New Roman"/>
          <w:color w:val="auto"/>
          <w:lang w:eastAsia="pl-PL" w:bidi="ar-SA"/>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III.4.2) W zakresie potwierdzenia niepodlegania wykluczeniu na podstawie art. 24 ust. 1 ustawy, należy przedłożyć:</w:t>
      </w:r>
    </w:p>
    <w:p w:rsidR="00B276AB" w:rsidRPr="00B276AB" w:rsidRDefault="00B276AB" w:rsidP="00B276AB">
      <w:pPr>
        <w:widowControl/>
        <w:numPr>
          <w:ilvl w:val="0"/>
          <w:numId w:val="17"/>
        </w:numPr>
        <w:suppressAutoHyphens w:val="0"/>
        <w:spacing w:before="100" w:beforeAutospacing="1" w:after="180"/>
        <w:ind w:right="300"/>
        <w:jc w:val="both"/>
        <w:rPr>
          <w:rFonts w:eastAsia="Times New Roman" w:cs="Times New Roman"/>
          <w:color w:val="auto"/>
          <w:lang w:eastAsia="pl-PL" w:bidi="ar-SA"/>
        </w:rPr>
      </w:pPr>
      <w:r w:rsidRPr="00B276AB">
        <w:rPr>
          <w:rFonts w:eastAsia="Times New Roman" w:cs="Times New Roman"/>
          <w:color w:val="auto"/>
          <w:lang w:eastAsia="pl-PL" w:bidi="ar-SA"/>
        </w:rPr>
        <w:t>oświadczenie o braku podstaw do wykluczenia;</w:t>
      </w:r>
    </w:p>
    <w:p w:rsidR="00B276AB" w:rsidRPr="00B276AB" w:rsidRDefault="00B276AB" w:rsidP="00B276AB">
      <w:pPr>
        <w:widowControl/>
        <w:numPr>
          <w:ilvl w:val="0"/>
          <w:numId w:val="17"/>
        </w:numPr>
        <w:suppressAutoHyphens w:val="0"/>
        <w:spacing w:before="100" w:beforeAutospacing="1" w:after="180"/>
        <w:ind w:right="300"/>
        <w:jc w:val="both"/>
        <w:rPr>
          <w:rFonts w:eastAsia="Times New Roman" w:cs="Times New Roman"/>
          <w:color w:val="auto"/>
          <w:lang w:eastAsia="pl-PL" w:bidi="ar-SA"/>
        </w:rPr>
      </w:pPr>
      <w:r w:rsidRPr="00B276AB">
        <w:rPr>
          <w:rFonts w:eastAsia="Times New Roman" w:cs="Times New Roman"/>
          <w:color w:val="auto"/>
          <w:lang w:eastAsia="pl-PL" w:bidi="ar-SA"/>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B276AB">
        <w:rPr>
          <w:rFonts w:eastAsia="Times New Roman" w:cs="Times New Roman"/>
          <w:color w:val="auto"/>
          <w:lang w:eastAsia="pl-PL" w:bidi="ar-SA"/>
        </w:rPr>
        <w:t>pkt</w:t>
      </w:r>
      <w:proofErr w:type="spellEnd"/>
      <w:r w:rsidRPr="00B276AB">
        <w:rPr>
          <w:rFonts w:eastAsia="Times New Roman" w:cs="Times New Roman"/>
          <w:color w:val="auto"/>
          <w:lang w:eastAsia="pl-PL" w:bidi="ar-SA"/>
        </w:rPr>
        <w:t xml:space="preserve"> 2 ustawy, wystawiony nie wcześniej niż 6 miesięcy przed upływem terminu składania wniosków o dopuszczenie do udziału w postępowaniu o udzielenie zamówienia albo składania ofert;</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III.4.3) Dokumenty podmiotów zagranicznych</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Jeżeli wykonawca ma siedzibę lub miejsce zamieszkania poza terytorium Rzeczypospolitej Polskiej, przedkłada:</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III.4.3.1) dokument wystawiony w kraju, w którym ma siedzibę lub miejsce zamieszkania potwierdzający, że:</w:t>
      </w:r>
    </w:p>
    <w:p w:rsidR="00B276AB" w:rsidRPr="00B276AB" w:rsidRDefault="00B276AB" w:rsidP="00B276AB">
      <w:pPr>
        <w:widowControl/>
        <w:numPr>
          <w:ilvl w:val="0"/>
          <w:numId w:val="18"/>
        </w:numPr>
        <w:suppressAutoHyphens w:val="0"/>
        <w:spacing w:before="100" w:beforeAutospacing="1" w:after="180"/>
        <w:ind w:right="300"/>
        <w:jc w:val="both"/>
        <w:rPr>
          <w:rFonts w:eastAsia="Times New Roman" w:cs="Times New Roman"/>
          <w:color w:val="auto"/>
          <w:lang w:eastAsia="pl-PL" w:bidi="ar-SA"/>
        </w:rPr>
      </w:pPr>
      <w:r w:rsidRPr="00B276AB">
        <w:rPr>
          <w:rFonts w:eastAsia="Times New Roman" w:cs="Times New Roman"/>
          <w:color w:val="auto"/>
          <w:lang w:eastAsia="pl-PL" w:bidi="ar-SA"/>
        </w:rPr>
        <w:t>nie otwarto jego likwidacji ani nie ogłoszono upadłości - wystawiony nie wcześniej niż 6 miesięcy przed upływem terminu składania wniosków o dopuszczenie do udziału w postępowaniu o udzielenie zamówienia albo składania ofert;</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III.4.4) Dokumenty dotyczące przynależności do tej samej grupy kapitałowej</w:t>
      </w:r>
    </w:p>
    <w:p w:rsidR="00B276AB" w:rsidRPr="00B276AB" w:rsidRDefault="00B276AB" w:rsidP="00B276AB">
      <w:pPr>
        <w:widowControl/>
        <w:numPr>
          <w:ilvl w:val="0"/>
          <w:numId w:val="19"/>
        </w:numPr>
        <w:suppressAutoHyphens w:val="0"/>
        <w:spacing w:before="100" w:beforeAutospacing="1" w:after="180"/>
        <w:ind w:right="300"/>
        <w:jc w:val="both"/>
        <w:rPr>
          <w:rFonts w:eastAsia="Times New Roman" w:cs="Times New Roman"/>
          <w:color w:val="auto"/>
          <w:lang w:eastAsia="pl-PL" w:bidi="ar-SA"/>
        </w:rPr>
      </w:pPr>
      <w:r w:rsidRPr="00B276AB">
        <w:rPr>
          <w:rFonts w:eastAsia="Times New Roman" w:cs="Times New Roman"/>
          <w:color w:val="auto"/>
          <w:lang w:eastAsia="pl-PL" w:bidi="ar-SA"/>
        </w:rPr>
        <w:t>lista podmiotów należących do tej samej grupy kapitałowej w rozumieniu ustawy z dnia 16 lutego 2007 r. o ochronie konkurencji i konsumentów albo informacji o tym, że nie należy do grupy kapitałowej;</w:t>
      </w:r>
    </w:p>
    <w:p w:rsidR="00B276AB" w:rsidRPr="00B276AB" w:rsidRDefault="00B276AB" w:rsidP="00B276AB">
      <w:pPr>
        <w:widowControl/>
        <w:suppressAutoHyphens w:val="0"/>
        <w:jc w:val="both"/>
        <w:rPr>
          <w:rFonts w:eastAsia="Times New Roman" w:cs="Times New Roman"/>
          <w:color w:val="auto"/>
          <w:lang w:eastAsia="pl-PL" w:bidi="ar-SA"/>
        </w:rPr>
      </w:pP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lastRenderedPageBreak/>
        <w:t>III.5) INFORMACJA O DOKUMENTACH POTWIERDZAJĄCYCH, ŻE OFEROWANE DOSTAWY, USŁUGI LUB ROBOTY BUDOWLANE ODPOWIADAJĄ OKREŚLONYM WYMAGANIOM</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W zakresie potwierdzenia, że oferowane roboty budowlane, dostawy lub usługi odpowiadają określonym wymaganiom należy przedłożyć:</w:t>
      </w:r>
    </w:p>
    <w:p w:rsidR="00B276AB" w:rsidRPr="00B276AB" w:rsidRDefault="00B276AB" w:rsidP="00B276AB">
      <w:pPr>
        <w:widowControl/>
        <w:numPr>
          <w:ilvl w:val="0"/>
          <w:numId w:val="20"/>
        </w:numPr>
        <w:suppressAutoHyphens w:val="0"/>
        <w:ind w:right="300"/>
        <w:jc w:val="both"/>
        <w:rPr>
          <w:rFonts w:eastAsia="Times New Roman" w:cs="Times New Roman"/>
          <w:color w:val="auto"/>
          <w:lang w:eastAsia="pl-PL" w:bidi="ar-SA"/>
        </w:rPr>
      </w:pPr>
      <w:r w:rsidRPr="00B276AB">
        <w:rPr>
          <w:rFonts w:eastAsia="Times New Roman" w:cs="Times New Roman"/>
          <w:color w:val="auto"/>
          <w:lang w:eastAsia="pl-PL" w:bidi="ar-SA"/>
        </w:rPr>
        <w:t>inne dokumenty</w:t>
      </w:r>
    </w:p>
    <w:p w:rsidR="00B276AB" w:rsidRPr="00B276AB" w:rsidRDefault="00B276AB" w:rsidP="00B276AB">
      <w:pPr>
        <w:widowControl/>
        <w:suppressAutoHyphens w:val="0"/>
        <w:ind w:left="720" w:right="300"/>
        <w:jc w:val="both"/>
        <w:rPr>
          <w:rFonts w:eastAsia="Times New Roman" w:cs="Times New Roman"/>
          <w:color w:val="auto"/>
          <w:lang w:eastAsia="pl-PL" w:bidi="ar-SA"/>
        </w:rPr>
      </w:pPr>
      <w:r w:rsidRPr="00B276AB">
        <w:rPr>
          <w:rFonts w:eastAsia="Times New Roman" w:cs="Times New Roman"/>
          <w:color w:val="auto"/>
          <w:lang w:eastAsia="pl-PL" w:bidi="ar-SA"/>
        </w:rPr>
        <w:t>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jednak nie gorszych od tych, które zostały zakreślone w SIWZ, lecz oznaczonych innym znakiem towarowym, patentem lub pochodzeniem. 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 przypadku gdy Wykonawca nie złoży w ofercie dokumentów o zastosowaniu innych materiałów i urządzeń, to rozumie się przez to, że do kalkulacji ceny oferty ujęto materiały i urządzenia zaproponowane w dokumentacji przetargowej.</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III.6) INNE DOKUMENTY</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 xml:space="preserve">Inne dokumenty niewymienione w </w:t>
      </w:r>
      <w:proofErr w:type="spellStart"/>
      <w:r w:rsidRPr="00B276AB">
        <w:rPr>
          <w:rFonts w:eastAsia="Times New Roman" w:cs="Times New Roman"/>
          <w:color w:val="auto"/>
          <w:lang w:eastAsia="pl-PL" w:bidi="ar-SA"/>
        </w:rPr>
        <w:t>pkt</w:t>
      </w:r>
      <w:proofErr w:type="spellEnd"/>
      <w:r w:rsidRPr="00B276AB">
        <w:rPr>
          <w:rFonts w:eastAsia="Times New Roman" w:cs="Times New Roman"/>
          <w:color w:val="auto"/>
          <w:lang w:eastAsia="pl-PL" w:bidi="ar-SA"/>
        </w:rPr>
        <w:t xml:space="preserve"> III.4) albo w </w:t>
      </w:r>
      <w:proofErr w:type="spellStart"/>
      <w:r w:rsidRPr="00B276AB">
        <w:rPr>
          <w:rFonts w:eastAsia="Times New Roman" w:cs="Times New Roman"/>
          <w:color w:val="auto"/>
          <w:lang w:eastAsia="pl-PL" w:bidi="ar-SA"/>
        </w:rPr>
        <w:t>pkt</w:t>
      </w:r>
      <w:proofErr w:type="spellEnd"/>
      <w:r w:rsidRPr="00B276AB">
        <w:rPr>
          <w:rFonts w:eastAsia="Times New Roman" w:cs="Times New Roman"/>
          <w:color w:val="auto"/>
          <w:lang w:eastAsia="pl-PL" w:bidi="ar-SA"/>
        </w:rPr>
        <w:t xml:space="preserve"> III.5)</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 xml:space="preserve">Oświadczenia, że Wykonawcy: 1. zapoznali się z treścią SIWZ oraz wszystkimi załącznikami stanowiącymi jej integralną cześć i nie wnoszą do nich zastrzeżeń, 2. w przypadku przyznania im zamówienia, zobowiązują się do zawarcia umowy w miejscu i terminie wskazanym przez zamawiającego na warunkach określonych we wzorze umowy stanowiącym załącznik nr 4 do </w:t>
      </w:r>
      <w:r w:rsidRPr="00B276AB">
        <w:rPr>
          <w:rFonts w:eastAsia="Times New Roman" w:cs="Times New Roman"/>
          <w:color w:val="auto"/>
          <w:lang w:eastAsia="pl-PL" w:bidi="ar-SA"/>
        </w:rPr>
        <w:lastRenderedPageBreak/>
        <w:t xml:space="preserve">SIWZ, 3. uważają się za związanych niniejszą ofertą na czas wskazany w SIWZ tj. 30 dni od daty upływu terminu składania ofert, 4. Pod groźbą odpowiedzialności karnej oświadczają, że załączone do oferty dokumenty opisują stan prawny i faktyczny na dzień upływu terminu składania ofert, Oświadczenia należy złożyć -na formularzu oferty - zgodnie z załącznikiem nr 1 do SIWZ. 7. Pełnomocnictwo ustanowione do reprezentowania Wykonawcy ów ubiegającego </w:t>
      </w:r>
      <w:proofErr w:type="spellStart"/>
      <w:r w:rsidRPr="00B276AB">
        <w:rPr>
          <w:rFonts w:eastAsia="Times New Roman" w:cs="Times New Roman"/>
          <w:color w:val="auto"/>
          <w:lang w:eastAsia="pl-PL" w:bidi="ar-SA"/>
        </w:rPr>
        <w:t>cych</w:t>
      </w:r>
      <w:proofErr w:type="spellEnd"/>
      <w:r w:rsidRPr="00B276AB">
        <w:rPr>
          <w:rFonts w:eastAsia="Times New Roman" w:cs="Times New Roman"/>
          <w:color w:val="auto"/>
          <w:lang w:eastAsia="pl-PL" w:bidi="ar-SA"/>
        </w:rPr>
        <w:t xml:space="preserve"> się o udzielenie zamówienia publicznego. Pełnomocnictwo należy dołączyć w oryginale bądź kopii, notarialnie potwierdzonej za zgodność z oryginałem.</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SEKCJA IV: PROCEDURA</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IV.1) TRYB UDZIELENIA ZAMÓWIENIA</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IV.1.1) Tryb udzielenia zamówienia:</w:t>
      </w:r>
      <w:r w:rsidRPr="00B276AB">
        <w:rPr>
          <w:rFonts w:eastAsia="Times New Roman" w:cs="Times New Roman"/>
          <w:color w:val="auto"/>
          <w:lang w:eastAsia="pl-PL" w:bidi="ar-SA"/>
        </w:rPr>
        <w:t xml:space="preserve"> przetarg nieograniczony.</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IV.2) KRYTERIA OCENY OFERT</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 xml:space="preserve">IV.2.1) Kryteria oceny ofert: </w:t>
      </w:r>
      <w:r w:rsidRPr="00B276AB">
        <w:rPr>
          <w:rFonts w:eastAsia="Times New Roman" w:cs="Times New Roman"/>
          <w:color w:val="auto"/>
          <w:lang w:eastAsia="pl-PL" w:bidi="ar-SA"/>
        </w:rPr>
        <w:t>cena oraz inne kryteria związane z przedmiotem zamówienia:</w:t>
      </w:r>
    </w:p>
    <w:p w:rsidR="00B276AB" w:rsidRPr="00B276AB" w:rsidRDefault="00B276AB" w:rsidP="00B276AB">
      <w:pPr>
        <w:widowControl/>
        <w:numPr>
          <w:ilvl w:val="0"/>
          <w:numId w:val="21"/>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1 - Cena - 97</w:t>
      </w:r>
    </w:p>
    <w:p w:rsidR="00B276AB" w:rsidRPr="00B276AB" w:rsidRDefault="00B276AB" w:rsidP="00B276AB">
      <w:pPr>
        <w:widowControl/>
        <w:numPr>
          <w:ilvl w:val="0"/>
          <w:numId w:val="21"/>
        </w:numPr>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2 - Gwarancja - 3</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IV.2.2)</w:t>
      </w:r>
      <w:r w:rsidRPr="00B276AB">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B276AB" w:rsidRPr="00B276AB" w:rsidTr="00B276A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r w:rsidRPr="00B276AB">
              <w:rPr>
                <w:rFonts w:eastAsia="Times New Roman" w:cs="Times New Roman"/>
                <w:b/>
                <w:bCs/>
                <w:color w:val="auto"/>
                <w:lang w:eastAsia="pl-PL" w:bidi="ar-SA"/>
              </w:rPr>
              <w:t> </w:t>
            </w:r>
          </w:p>
        </w:tc>
        <w:tc>
          <w:tcPr>
            <w:tcW w:w="0" w:type="auto"/>
            <w:vAlign w:val="center"/>
            <w:hideMark/>
          </w:tcPr>
          <w:p w:rsidR="00B276AB" w:rsidRPr="00B276AB" w:rsidRDefault="00B276AB" w:rsidP="00B276AB">
            <w:pPr>
              <w:widowControl/>
              <w:suppressAutoHyphens w:val="0"/>
              <w:jc w:val="both"/>
              <w:rPr>
                <w:rFonts w:eastAsia="Times New Roman" w:cs="Times New Roman"/>
                <w:color w:val="auto"/>
                <w:lang w:eastAsia="pl-PL" w:bidi="ar-SA"/>
              </w:rPr>
            </w:pPr>
            <w:r w:rsidRPr="00B276AB">
              <w:rPr>
                <w:rFonts w:eastAsia="Times New Roman" w:cs="Times New Roman"/>
                <w:b/>
                <w:bCs/>
                <w:color w:val="auto"/>
                <w:lang w:eastAsia="pl-PL" w:bidi="ar-SA"/>
              </w:rPr>
              <w:t>przeprowadzona będzie aukcja elektroniczna,</w:t>
            </w:r>
            <w:r w:rsidRPr="00B276AB">
              <w:rPr>
                <w:rFonts w:eastAsia="Times New Roman" w:cs="Times New Roman"/>
                <w:color w:val="auto"/>
                <w:lang w:eastAsia="pl-PL" w:bidi="ar-SA"/>
              </w:rPr>
              <w:t xml:space="preserve"> adres strony, na której będzie prowadzona: </w:t>
            </w:r>
          </w:p>
        </w:tc>
      </w:tr>
    </w:tbl>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IV.3) ZMIANA UMOWY</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 xml:space="preserve">przewiduje się istotne zmiany postanowień zawartej umowy w stosunku do treści oferty, na podstawie której dokonano wyboru wykonawcy: </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Dopuszczalne zmiany postanowień umowy oraz określenie warunków zmian</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color w:val="auto"/>
          <w:lang w:eastAsia="pl-PL" w:bidi="ar-SA"/>
        </w:rPr>
        <w:t>1. Zamawiający przewiduje możliwość dokonania zmian postanowień zawartej umowy w stosunku do treści oferty, na podstawie której będzie dokonany wybór Wykonawcy. 2. Dopuszcza się wszelkie zmiany umowy o zamówienie podstawowe: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5) ustawowej zmiany stawki podatku VAT za usługę objętą przedmiotem umowy.</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lastRenderedPageBreak/>
        <w:t>IV.4) INFORMACJE ADMINISTRACYJNE</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IV.4.1)</w:t>
      </w:r>
      <w:r w:rsidRPr="00B276AB">
        <w:rPr>
          <w:rFonts w:eastAsia="Times New Roman" w:cs="Times New Roman"/>
          <w:color w:val="auto"/>
          <w:lang w:eastAsia="pl-PL" w:bidi="ar-SA"/>
        </w:rPr>
        <w:t> </w:t>
      </w:r>
      <w:r w:rsidRPr="00B276AB">
        <w:rPr>
          <w:rFonts w:eastAsia="Times New Roman" w:cs="Times New Roman"/>
          <w:b/>
          <w:bCs/>
          <w:color w:val="auto"/>
          <w:lang w:eastAsia="pl-PL" w:bidi="ar-SA"/>
        </w:rPr>
        <w:t>Adres strony internetowej, na której jest dostępna specyfikacja istotnych warunków zamówienia:</w:t>
      </w:r>
      <w:r w:rsidRPr="00B276AB">
        <w:rPr>
          <w:rFonts w:eastAsia="Times New Roman" w:cs="Times New Roman"/>
          <w:color w:val="auto"/>
          <w:lang w:eastAsia="pl-PL" w:bidi="ar-SA"/>
        </w:rPr>
        <w:t xml:space="preserve"> http://koszecin.bipgmina.pl/</w:t>
      </w:r>
      <w:r w:rsidRPr="00B276AB">
        <w:rPr>
          <w:rFonts w:eastAsia="Times New Roman" w:cs="Times New Roman"/>
          <w:color w:val="auto"/>
          <w:lang w:eastAsia="pl-PL" w:bidi="ar-SA"/>
        </w:rPr>
        <w:br/>
      </w:r>
      <w:r w:rsidRPr="00B276AB">
        <w:rPr>
          <w:rFonts w:eastAsia="Times New Roman" w:cs="Times New Roman"/>
          <w:b/>
          <w:bCs/>
          <w:color w:val="auto"/>
          <w:lang w:eastAsia="pl-PL" w:bidi="ar-SA"/>
        </w:rPr>
        <w:t>Specyfikację istotnych warunków zamówienia można uzyskać pod adresem:</w:t>
      </w:r>
      <w:r w:rsidRPr="00B276AB">
        <w:rPr>
          <w:rFonts w:eastAsia="Times New Roman" w:cs="Times New Roman"/>
          <w:color w:val="auto"/>
          <w:lang w:eastAsia="pl-PL" w:bidi="ar-SA"/>
        </w:rPr>
        <w:t xml:space="preserve"> Urząd Gminy Koszęcin ul. Powstańców Śl. 10 42-286 Koszęcin..</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IV.4.4) Termin składania wniosków o dopuszczenie do udziału w postępowaniu lub ofert:</w:t>
      </w:r>
      <w:r w:rsidRPr="00B276AB">
        <w:rPr>
          <w:rFonts w:eastAsia="Times New Roman" w:cs="Times New Roman"/>
          <w:color w:val="auto"/>
          <w:lang w:eastAsia="pl-PL" w:bidi="ar-SA"/>
        </w:rPr>
        <w:t xml:space="preserve"> 17.02.2016 godzina 10:00, miejsce: Urząd Gminy Koszęcin ul. Powstańców Śl. 10 42-286 Koszęcin, sekretariat..</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IV.4.5) Termin związania ofertą:</w:t>
      </w:r>
      <w:r w:rsidRPr="00B276AB">
        <w:rPr>
          <w:rFonts w:eastAsia="Times New Roman" w:cs="Times New Roman"/>
          <w:color w:val="auto"/>
          <w:lang w:eastAsia="pl-PL" w:bidi="ar-SA"/>
        </w:rPr>
        <w:t xml:space="preserve"> okres w dniach: 30 (od ostatecznego terminu składania ofert).</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IV.4.16) Informacje dodatkowe, w tym dotyczące finansowania projektu/programu ze środków Unii Europejskiej:</w:t>
      </w:r>
      <w:r w:rsidRPr="00B276AB">
        <w:rPr>
          <w:rFonts w:eastAsia="Times New Roman" w:cs="Times New Roman"/>
          <w:color w:val="auto"/>
          <w:lang w:eastAsia="pl-PL" w:bidi="ar-SA"/>
        </w:rPr>
        <w:t xml:space="preserve"> Brak.</w:t>
      </w:r>
    </w:p>
    <w:p w:rsidR="00B276AB" w:rsidRPr="00B276AB" w:rsidRDefault="00B276AB" w:rsidP="00B276AB">
      <w:pPr>
        <w:widowControl/>
        <w:suppressAutoHyphens w:val="0"/>
        <w:spacing w:before="100" w:beforeAutospacing="1" w:after="100" w:afterAutospacing="1"/>
        <w:jc w:val="both"/>
        <w:rPr>
          <w:rFonts w:eastAsia="Times New Roman" w:cs="Times New Roman"/>
          <w:color w:val="auto"/>
          <w:lang w:eastAsia="pl-PL" w:bidi="ar-SA"/>
        </w:rPr>
      </w:pPr>
      <w:r w:rsidRPr="00B276AB">
        <w:rPr>
          <w:rFonts w:eastAsia="Times New Roman" w:cs="Times New Roman"/>
          <w:b/>
          <w:bCs/>
          <w:color w:val="auto"/>
          <w:lang w:eastAsia="pl-PL" w:bidi="ar-SA"/>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276AB">
        <w:rPr>
          <w:rFonts w:eastAsia="Times New Roman" w:cs="Times New Roman"/>
          <w:color w:val="auto"/>
          <w:lang w:eastAsia="pl-PL" w:bidi="ar-SA"/>
        </w:rPr>
        <w:t>nie</w:t>
      </w:r>
    </w:p>
    <w:p w:rsidR="004661EF" w:rsidRPr="004661EF" w:rsidRDefault="004661EF" w:rsidP="00B276AB">
      <w:pPr>
        <w:widowControl/>
        <w:suppressAutoHyphens w:val="0"/>
        <w:jc w:val="both"/>
        <w:rPr>
          <w:rFonts w:eastAsia="Times New Roman" w:cs="Times New Roman"/>
          <w:color w:val="auto"/>
          <w:lang w:eastAsia="pl-PL" w:bidi="ar-SA"/>
        </w:rPr>
      </w:pPr>
    </w:p>
    <w:p w:rsidR="004715AD" w:rsidRPr="004661EF" w:rsidRDefault="004715AD" w:rsidP="004661EF">
      <w:pPr>
        <w:jc w:val="both"/>
      </w:pPr>
    </w:p>
    <w:sectPr w:rsidR="004715AD" w:rsidRPr="004661EF" w:rsidSect="00471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47F"/>
    <w:multiLevelType w:val="multilevel"/>
    <w:tmpl w:val="EE6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6B4"/>
    <w:multiLevelType w:val="multilevel"/>
    <w:tmpl w:val="30BCF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3A8B"/>
    <w:multiLevelType w:val="multilevel"/>
    <w:tmpl w:val="6C1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5481E"/>
    <w:multiLevelType w:val="multilevel"/>
    <w:tmpl w:val="BE985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F70A4"/>
    <w:multiLevelType w:val="multilevel"/>
    <w:tmpl w:val="173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C10EE3"/>
    <w:multiLevelType w:val="multilevel"/>
    <w:tmpl w:val="A73E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B4868"/>
    <w:multiLevelType w:val="multilevel"/>
    <w:tmpl w:val="05D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F30D5"/>
    <w:multiLevelType w:val="multilevel"/>
    <w:tmpl w:val="32E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C357F9"/>
    <w:multiLevelType w:val="multilevel"/>
    <w:tmpl w:val="889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EC09F8"/>
    <w:multiLevelType w:val="multilevel"/>
    <w:tmpl w:val="1E5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2D2B4E"/>
    <w:multiLevelType w:val="multilevel"/>
    <w:tmpl w:val="309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94714"/>
    <w:multiLevelType w:val="multilevel"/>
    <w:tmpl w:val="F6C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7543E2"/>
    <w:multiLevelType w:val="multilevel"/>
    <w:tmpl w:val="F38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695108"/>
    <w:multiLevelType w:val="multilevel"/>
    <w:tmpl w:val="B07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DF2D38"/>
    <w:multiLevelType w:val="multilevel"/>
    <w:tmpl w:val="02EA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477350"/>
    <w:multiLevelType w:val="multilevel"/>
    <w:tmpl w:val="123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FC4EED"/>
    <w:multiLevelType w:val="multilevel"/>
    <w:tmpl w:val="48C4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CC24D3"/>
    <w:multiLevelType w:val="multilevel"/>
    <w:tmpl w:val="CB5E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9"/>
  </w:num>
  <w:num w:numId="4">
    <w:abstractNumId w:val="11"/>
  </w:num>
  <w:num w:numId="5">
    <w:abstractNumId w:val="12"/>
  </w:num>
  <w:num w:numId="6">
    <w:abstractNumId w:val="4"/>
  </w:num>
  <w:num w:numId="7">
    <w:abstractNumId w:val="19"/>
  </w:num>
  <w:num w:numId="8">
    <w:abstractNumId w:val="18"/>
  </w:num>
  <w:num w:numId="9">
    <w:abstractNumId w:val="16"/>
  </w:num>
  <w:num w:numId="10">
    <w:abstractNumId w:val="8"/>
  </w:num>
  <w:num w:numId="11">
    <w:abstractNumId w:val="2"/>
  </w:num>
  <w:num w:numId="12">
    <w:abstractNumId w:val="0"/>
  </w:num>
  <w:num w:numId="13">
    <w:abstractNumId w:val="13"/>
  </w:num>
  <w:num w:numId="14">
    <w:abstractNumId w:val="17"/>
  </w:num>
  <w:num w:numId="15">
    <w:abstractNumId w:val="1"/>
  </w:num>
  <w:num w:numId="16">
    <w:abstractNumId w:val="10"/>
  </w:num>
  <w:num w:numId="17">
    <w:abstractNumId w:val="5"/>
  </w:num>
  <w:num w:numId="18">
    <w:abstractNumId w:val="20"/>
  </w:num>
  <w:num w:numId="19">
    <w:abstractNumId w:val="14"/>
  </w:num>
  <w:num w:numId="20">
    <w:abstractNumId w:val="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D3979"/>
    <w:rsid w:val="004661EF"/>
    <w:rsid w:val="004715AD"/>
    <w:rsid w:val="005F4C32"/>
    <w:rsid w:val="007A436E"/>
    <w:rsid w:val="007D3979"/>
    <w:rsid w:val="00B276AB"/>
    <w:rsid w:val="00FF6D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979"/>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D3979"/>
    <w:pPr>
      <w:spacing w:before="100" w:after="100"/>
    </w:pPr>
    <w:rPr>
      <w:rFonts w:ascii="Arial Unicode MS" w:eastAsia="Arial Unicode MS" w:hAnsi="Arial Unicode MS" w:cs="Times New Roman"/>
    </w:rPr>
  </w:style>
  <w:style w:type="paragraph" w:customStyle="1" w:styleId="khheader">
    <w:name w:val="kh_header"/>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khtitle">
    <w:name w:val="kh_title"/>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bold">
    <w:name w:val="bold"/>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s>
</file>

<file path=word/webSettings.xml><?xml version="1.0" encoding="utf-8"?>
<w:webSettings xmlns:r="http://schemas.openxmlformats.org/officeDocument/2006/relationships" xmlns:w="http://schemas.openxmlformats.org/wordprocessingml/2006/main">
  <w:divs>
    <w:div w:id="775371544">
      <w:bodyDiv w:val="1"/>
      <w:marLeft w:val="0"/>
      <w:marRight w:val="0"/>
      <w:marTop w:val="0"/>
      <w:marBottom w:val="0"/>
      <w:divBdr>
        <w:top w:val="none" w:sz="0" w:space="0" w:color="auto"/>
        <w:left w:val="none" w:sz="0" w:space="0" w:color="auto"/>
        <w:bottom w:val="none" w:sz="0" w:space="0" w:color="auto"/>
        <w:right w:val="none" w:sz="0" w:space="0" w:color="auto"/>
      </w:divBdr>
    </w:div>
    <w:div w:id="12889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2839</Words>
  <Characters>17039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UGK-KRYŚ</Company>
  <LinksUpToDate>false</LinksUpToDate>
  <CharactersWithSpaces>19839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2</cp:revision>
  <dcterms:created xsi:type="dcterms:W3CDTF">2016-02-02T08:34:00Z</dcterms:created>
  <dcterms:modified xsi:type="dcterms:W3CDTF">2016-02-02T08:34:00Z</dcterms:modified>
</cp:coreProperties>
</file>