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SZCZEGÓŁOWY OPIS 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 xml:space="preserve">PRZEDMIOTOWYCH ŚRODKÓW DOWODOWYCH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072"/>
        </w:tabs>
        <w:spacing w:before="71" w:line="276" w:lineRule="auto"/>
        <w:ind w:right="4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wymaganych w postępowaniu o udzielenie zamówienia publicznego </w:t>
        <w:br w:type="textWrapping"/>
        <w:t xml:space="preserve">prowadzonym w trybie przetargu nieograniczonego negocjacji pn.: </w:t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„Adaptacja zabytkowych zabudowań z 1903 roku wokół Pałacu Ludwika von Ballestrema </w:t>
        <w:br w:type="textWrapping"/>
        <w:t xml:space="preserve">na centrum kulturalno-naukowo-społeczne”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Próbka A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zawierająca scenariusz filmu odtwarzanego na stanowisku F1 “FILM - SALA KINOWA”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Próbka powinna zawierać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scenariusz filmu o maksymalnej długości 10 min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Wymagania techniczne: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plik tekstowy PDF o wielkości maksymalnie 50 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Zamawiający dokona oceny próbki w odniesieniu do: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zgodności scenariusza z Projektem Koncepcyjnym Wystawy oraz wymogami SWZ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poprawności zapisu scenariusza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zasad dramaturgii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poprawności prezentowanych faktów historycznych i naukowych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spójności z pozostałą częścią wystawy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atrakcyjności, unikalności scenariusza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Próbka B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zawierająca projekt wykonawczy stanowiska C2 “MASZYNA PAROWA - ZASADA DZIAŁANIA”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br w:type="textWrapping"/>
        <w:t xml:space="preserve">Próbka powinna zawierać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rysunki stanowiska w skali 1:20, w tym widok z przodu oraz przekrój boczny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rysunki detali w skali 1:10, w tym minimum: rysunek sposobu montażu wajchy oraz sposób uruchomienia silnika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wizualizacja uwzględniająca otoczenie i warunki panujące w sali C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informacje o materiałach, kolorystyce, sposobie działania stanowiska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222222"/>
          <w:sz w:val="24"/>
          <w:szCs w:val="24"/>
          <w:rtl w:val="0"/>
        </w:rPr>
        <w:t xml:space="preserve">informacje potrzebne do prawidłowego wykonania stanowiska</w:t>
      </w:r>
    </w:p>
    <w:p w:rsidR="00000000" w:rsidDel="00000000" w:rsidP="00000000" w:rsidRDefault="00000000" w:rsidRPr="00000000" w14:paraId="00000020">
      <w:pPr>
        <w:ind w:left="1440" w:firstLine="0"/>
        <w:jc w:val="both"/>
        <w:rPr>
          <w:rFonts w:ascii="Arial Narrow" w:cs="Arial Narrow" w:eastAsia="Arial Narrow" w:hAnsi="Arial Narrow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Wymagania techniczne: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plik graficzno-tekstowy PDF o wielkości maksymalnie 100 MB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Zamawiający dokona oceny próbki w odniesieniu do: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zgodności z Projektem Koncepcyjnym Wystawy oraz wymogami SWZ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atrakcyjności wizualnej stanowiska,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również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w połączeniu z pozostałymi elementami sali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ergonomii rozwiązań wystawienniczych i serwisowych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trwałości wykorzystanych materiał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ów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 i rozwiązań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dostosowań dla osób niepełnosprawnych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Próbka C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zawierająca projekt graficzny aplikacji dla stanowiska C2 “MASZYNA PAROWA - ZASADA DZIAŁANIA” </w:t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Próbka powinna zawierać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widok ekranu startowego pozwalający na wybór jednej z dwóch grupy wiekowych, wersji językowych, udogodnień dla osób ze szczególnymi potrzebami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minimum po jednym widoku wersji aplikacji dla poszczególnych grup wiekowych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schemat działania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Wymagania techniczne: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plik graficzno-tekstowy PDF o wielkości maksymalnie 50 MB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Zamawiający dokona oceny próbki w odniesieniu do: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zgodności z Projektem Koncepcyjnym Wystawy oraz wymogami SWZ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atrakcyjności wizualnej, unikatowości rozwiązań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czytelności przekazu, dopasowania dla grup docelowych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jc w:val="both"/>
        <w:rPr>
          <w:rFonts w:ascii="Arial Narrow" w:cs="Arial Narrow" w:eastAsia="Arial Narrow" w:hAnsi="Arial Narrow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d9ead3" w:val="clear"/>
          <w:rtl w:val="0"/>
        </w:rPr>
        <w:t xml:space="preserve">dostosowań dla osób ze szczególnymi potrzebami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b w:val="1"/>
          <w:color w:val="ff0000"/>
          <w:sz w:val="24"/>
          <w:szCs w:val="24"/>
          <w:shd w:fill="d9ead3" w:val="clear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UWAGA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Wykonawcy składają próbki w formie elektronicznej tj. opatrzonej kwalifikowanym podpisem elektronicznym przez osoby upoważnione do reprezentowania wykonawców zgodnie z formą reprezentacji określoną w dokumencie rejestrowym właściwym dla formy organizacyjnej lub innym dokumencie.</w:t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white"/>
          <w:rtl w:val="0"/>
        </w:rPr>
        <w:t xml:space="preserve">Próbki należy dostarczyć Zamawiającemu w ramach oferty przy wykorzystaniu platformy zakupowej. Próbki nie podlegają uzupełnieniu.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tabs>
        <w:tab w:val="left" w:leader="none" w:pos="7059"/>
      </w:tabs>
      <w:spacing w:after="0" w:before="52" w:line="240" w:lineRule="auto"/>
      <w:rPr/>
    </w:pPr>
    <w:bookmarkStart w:colFirst="0" w:colLast="0" w:name="_meebt7yvtbln" w:id="0"/>
    <w:bookmarkEnd w:id="0"/>
    <w:r w:rsidDel="00000000" w:rsidR="00000000" w:rsidRPr="00000000">
      <w:rPr>
        <w:rFonts w:ascii="Arial Narrow" w:cs="Arial Narrow" w:eastAsia="Arial Narrow" w:hAnsi="Arial Narrow"/>
        <w:b w:val="1"/>
        <w:sz w:val="24"/>
        <w:szCs w:val="24"/>
        <w:rtl w:val="0"/>
      </w:rPr>
      <w:t xml:space="preserve">Znak: GIR.271.1.2.2024                                                                                     Załącznik nr 13 do SWZ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