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3206919E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FE54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FE54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1C64BC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B3B05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77777777" w:rsidR="009B3B05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bookmarkStart w:id="0" w:name="_Hlk83283666"/>
      <w:r w:rsidR="009B3B05" w:rsidRPr="009B3B05">
        <w:rPr>
          <w:rFonts w:ascii="Arial Narrow" w:eastAsia="Calibri" w:hAnsi="Arial Narrow" w:cs="Times New Roman"/>
          <w:b/>
          <w:noProof w:val="0"/>
          <w:sz w:val="24"/>
          <w:szCs w:val="24"/>
        </w:rPr>
        <w:t>„Przebudowa dróg gminnych ul. Stawowej, Kolonijnej, Polnej i Tylnej”</w:t>
      </w:r>
      <w:bookmarkEnd w:id="0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proofErr w:type="spellEnd"/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4DD11F84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6E347D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3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C64BC"/>
    <w:rsid w:val="00224C91"/>
    <w:rsid w:val="00597225"/>
    <w:rsid w:val="006262EC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A14C5E"/>
    <w:rsid w:val="00BD5A12"/>
    <w:rsid w:val="00D04476"/>
    <w:rsid w:val="00D1583C"/>
    <w:rsid w:val="00E2434F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16</cp:revision>
  <cp:lastPrinted>2021-05-31T10:36:00Z</cp:lastPrinted>
  <dcterms:created xsi:type="dcterms:W3CDTF">2021-05-27T06:58:00Z</dcterms:created>
  <dcterms:modified xsi:type="dcterms:W3CDTF">2023-03-09T08:54:00Z</dcterms:modified>
</cp:coreProperties>
</file>