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3D750" w14:textId="5DA5411F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6262EC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bookmarkStart w:id="0" w:name="_GoBack"/>
      <w:bookmarkEnd w:id="0"/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.2021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1</w:t>
      </w:r>
      <w:r w:rsidR="00224C9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4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77777777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1973C44E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pn.: „</w:t>
      </w:r>
      <w:r w:rsidRPr="00955C33">
        <w:rPr>
          <w:rFonts w:ascii="Arial Narrow" w:eastAsia="Calibri" w:hAnsi="Arial Narrow" w:cs="Times New Roman"/>
          <w:b/>
          <w:noProof w:val="0"/>
          <w:sz w:val="24"/>
          <w:szCs w:val="24"/>
        </w:rPr>
        <w:t>Rozbudowa i wyposażenie PSZOK w gminie Kochanowice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”, znak: GIR.271.1.</w:t>
      </w:r>
      <w:r w:rsidR="00D1583C"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.2021.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73609144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71567F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6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F"/>
    <w:rsid w:val="00224C91"/>
    <w:rsid w:val="00597225"/>
    <w:rsid w:val="006262EC"/>
    <w:rsid w:val="00683E38"/>
    <w:rsid w:val="006B5C8E"/>
    <w:rsid w:val="00703F6D"/>
    <w:rsid w:val="00706313"/>
    <w:rsid w:val="0071567F"/>
    <w:rsid w:val="00772A7F"/>
    <w:rsid w:val="00955C33"/>
    <w:rsid w:val="00A14C5E"/>
    <w:rsid w:val="00BD5A12"/>
    <w:rsid w:val="00D04476"/>
    <w:rsid w:val="00D1583C"/>
    <w:rsid w:val="00E2434F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Sławek</cp:lastModifiedBy>
  <cp:revision>12</cp:revision>
  <cp:lastPrinted>2021-05-31T10:36:00Z</cp:lastPrinted>
  <dcterms:created xsi:type="dcterms:W3CDTF">2021-05-27T06:58:00Z</dcterms:created>
  <dcterms:modified xsi:type="dcterms:W3CDTF">2021-08-11T10:06:00Z</dcterms:modified>
</cp:coreProperties>
</file>