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131" w:rsidRPr="00795193" w:rsidRDefault="004600D2" w:rsidP="00EF41AF">
      <w:pPr>
        <w:spacing w:after="0"/>
        <w:jc w:val="right"/>
      </w:pPr>
      <w:r>
        <w:t>Kochanowice</w:t>
      </w:r>
      <w:r w:rsidR="00877131" w:rsidRPr="00795193">
        <w:t xml:space="preserve">, </w:t>
      </w:r>
      <w:r w:rsidR="00541719" w:rsidRPr="00795193">
        <w:t xml:space="preserve">dnia </w:t>
      </w:r>
      <w:r w:rsidR="00F45C8B">
        <w:t>22</w:t>
      </w:r>
      <w:r>
        <w:t xml:space="preserve"> września 2020</w:t>
      </w:r>
      <w:r w:rsidR="00877131" w:rsidRPr="00795193">
        <w:t xml:space="preserve"> r.</w:t>
      </w:r>
    </w:p>
    <w:p w:rsidR="00795193" w:rsidRDefault="00AE1645" w:rsidP="00795193">
      <w:pPr>
        <w:spacing w:after="0"/>
        <w:ind w:right="5102"/>
        <w:rPr>
          <w:b/>
        </w:rPr>
      </w:pPr>
      <w:r>
        <w:rPr>
          <w:b/>
        </w:rPr>
        <w:t>Gmina Kochanowice</w:t>
      </w:r>
    </w:p>
    <w:p w:rsidR="00AE1645" w:rsidRDefault="00AE1645" w:rsidP="00795193">
      <w:pPr>
        <w:spacing w:after="0"/>
        <w:ind w:right="5102"/>
        <w:rPr>
          <w:b/>
        </w:rPr>
      </w:pPr>
      <w:r>
        <w:rPr>
          <w:b/>
        </w:rPr>
        <w:t>ul. Wolności 5, 42-713 Kochanowice</w:t>
      </w:r>
    </w:p>
    <w:p w:rsidR="00482241" w:rsidRDefault="00482241" w:rsidP="00795193">
      <w:pPr>
        <w:spacing w:after="0"/>
        <w:ind w:right="5102"/>
        <w:rPr>
          <w:b/>
        </w:rPr>
      </w:pPr>
    </w:p>
    <w:p w:rsidR="007B36DE" w:rsidRPr="00886A7D" w:rsidRDefault="00AE1645" w:rsidP="007B36DE">
      <w:pPr>
        <w:rPr>
          <w:rFonts w:cstheme="minorHAnsi"/>
          <w:szCs w:val="20"/>
        </w:rPr>
      </w:pPr>
      <w:r>
        <w:rPr>
          <w:rFonts w:cstheme="minorHAnsi"/>
          <w:szCs w:val="20"/>
        </w:rPr>
        <w:t>GIR.271.7.2020</w:t>
      </w:r>
    </w:p>
    <w:p w:rsidR="00DF3500" w:rsidRDefault="00DF3500" w:rsidP="00877131">
      <w:pPr>
        <w:jc w:val="center"/>
        <w:rPr>
          <w:b/>
        </w:rPr>
      </w:pPr>
    </w:p>
    <w:p w:rsidR="00482241" w:rsidRDefault="00482241" w:rsidP="00482241">
      <w:pPr>
        <w:ind w:left="4956"/>
        <w:rPr>
          <w:b/>
        </w:rPr>
      </w:pPr>
    </w:p>
    <w:p w:rsidR="00B21773" w:rsidRDefault="00B21773" w:rsidP="00B3053E">
      <w:pPr>
        <w:ind w:left="4535"/>
        <w:rPr>
          <w:b/>
        </w:rPr>
      </w:pPr>
    </w:p>
    <w:p w:rsidR="00482241" w:rsidRPr="00482241" w:rsidRDefault="00795193" w:rsidP="00B3053E">
      <w:pPr>
        <w:ind w:left="4535"/>
        <w:rPr>
          <w:b/>
        </w:rPr>
      </w:pPr>
      <w:r w:rsidRPr="00482241">
        <w:rPr>
          <w:b/>
        </w:rPr>
        <w:t>Wykonawcy</w:t>
      </w:r>
      <w:r w:rsidR="00482241" w:rsidRPr="00482241">
        <w:rPr>
          <w:b/>
        </w:rPr>
        <w:t xml:space="preserve"> ubiegający się </w:t>
      </w:r>
    </w:p>
    <w:p w:rsidR="00795193" w:rsidRPr="00482241" w:rsidRDefault="00482241" w:rsidP="00B3053E">
      <w:pPr>
        <w:ind w:left="4535"/>
        <w:rPr>
          <w:b/>
        </w:rPr>
      </w:pPr>
      <w:r w:rsidRPr="00482241">
        <w:rPr>
          <w:b/>
        </w:rPr>
        <w:t>o udzielenie zamówienia</w:t>
      </w:r>
    </w:p>
    <w:p w:rsidR="00795193" w:rsidRDefault="00795193" w:rsidP="00877131">
      <w:pPr>
        <w:jc w:val="center"/>
        <w:rPr>
          <w:b/>
        </w:rPr>
      </w:pPr>
    </w:p>
    <w:p w:rsidR="0036799C" w:rsidRDefault="0036799C" w:rsidP="00877131">
      <w:pPr>
        <w:jc w:val="center"/>
        <w:rPr>
          <w:b/>
          <w:u w:val="single"/>
        </w:rPr>
      </w:pPr>
    </w:p>
    <w:p w:rsidR="00877131" w:rsidRPr="00795193" w:rsidRDefault="0036799C" w:rsidP="00877131">
      <w:pPr>
        <w:jc w:val="center"/>
        <w:rPr>
          <w:b/>
          <w:u w:val="single"/>
        </w:rPr>
      </w:pPr>
      <w:r>
        <w:rPr>
          <w:b/>
          <w:u w:val="single"/>
        </w:rPr>
        <w:t>WYJAŚNIENIE TREŚCI</w:t>
      </w:r>
      <w:r w:rsidR="00877131" w:rsidRPr="00795193">
        <w:rPr>
          <w:b/>
          <w:u w:val="single"/>
        </w:rPr>
        <w:t xml:space="preserve"> SIWZ</w:t>
      </w:r>
      <w:r w:rsidR="00966D6A">
        <w:rPr>
          <w:b/>
          <w:u w:val="single"/>
        </w:rPr>
        <w:t xml:space="preserve"> NR </w:t>
      </w:r>
      <w:r w:rsidR="00CF0656">
        <w:rPr>
          <w:b/>
          <w:u w:val="single"/>
        </w:rPr>
        <w:t>2</w:t>
      </w:r>
    </w:p>
    <w:p w:rsidR="002C5559" w:rsidRPr="00795193" w:rsidRDefault="002C5559" w:rsidP="002C5559">
      <w:pPr>
        <w:spacing w:line="276" w:lineRule="auto"/>
        <w:ind w:left="1416" w:hanging="1416"/>
        <w:jc w:val="both"/>
      </w:pPr>
    </w:p>
    <w:p w:rsidR="00D33A31" w:rsidRPr="00795193" w:rsidRDefault="00D33A31" w:rsidP="00AE1645">
      <w:pPr>
        <w:spacing w:line="360" w:lineRule="auto"/>
        <w:ind w:left="1416" w:hanging="1416"/>
        <w:jc w:val="both"/>
      </w:pPr>
      <w:r w:rsidRPr="00795193">
        <w:rPr>
          <w:b/>
        </w:rPr>
        <w:t>Dotyczy</w:t>
      </w:r>
      <w:r w:rsidRPr="00795193">
        <w:t>:</w:t>
      </w:r>
      <w:r w:rsidRPr="00795193">
        <w:tab/>
        <w:t>postępowania o udzielenie zamówienia</w:t>
      </w:r>
      <w:r w:rsidR="00804449" w:rsidRPr="00795193">
        <w:t xml:space="preserve"> publicznego</w:t>
      </w:r>
      <w:r w:rsidRPr="00795193">
        <w:t xml:space="preserve"> w przedmiocie </w:t>
      </w:r>
      <w:r w:rsidR="007B36DE">
        <w:t>„</w:t>
      </w:r>
      <w:r w:rsidR="00AE1645" w:rsidRPr="00AE1645">
        <w:t xml:space="preserve">Adaptacja zabytkowych zabudowań z 1903 r. wokół pałacu Ludwika Von </w:t>
      </w:r>
      <w:proofErr w:type="spellStart"/>
      <w:r w:rsidR="00AE1645" w:rsidRPr="00AE1645">
        <w:t>Ballestrema</w:t>
      </w:r>
      <w:proofErr w:type="spellEnd"/>
      <w:r w:rsidR="00AE1645" w:rsidRPr="00AE1645">
        <w:t xml:space="preserve"> – Gorzelnia Kochcice. Rekonstrukcja i renowacja istniejącego budynku Gorzelni w Kochcicach”</w:t>
      </w:r>
    </w:p>
    <w:p w:rsidR="005F12B2" w:rsidRDefault="005F12B2" w:rsidP="005F52C3">
      <w:pPr>
        <w:spacing w:after="120" w:line="360" w:lineRule="auto"/>
        <w:ind w:firstLine="708"/>
        <w:jc w:val="both"/>
      </w:pPr>
    </w:p>
    <w:p w:rsidR="005F52C3" w:rsidRDefault="00B50CAA" w:rsidP="00CF0656">
      <w:pPr>
        <w:spacing w:after="120" w:line="360" w:lineRule="auto"/>
        <w:ind w:firstLine="708"/>
        <w:jc w:val="both"/>
      </w:pPr>
      <w:r w:rsidRPr="00795193">
        <w:t>Zamawia</w:t>
      </w:r>
      <w:r w:rsidR="0036799C">
        <w:t>jący na podstawie art. 38 ust. 2</w:t>
      </w:r>
      <w:r w:rsidRPr="00795193">
        <w:t xml:space="preserve"> ustawy z dnia 29 stycznia 2004 r. Prawo </w:t>
      </w:r>
      <w:r w:rsidR="00420D5F" w:rsidRPr="00795193">
        <w:t xml:space="preserve">zamówień publicznych (Dz.U. </w:t>
      </w:r>
      <w:r w:rsidR="007B36DE">
        <w:t>2019</w:t>
      </w:r>
      <w:r w:rsidRPr="00795193">
        <w:t xml:space="preserve"> poz. </w:t>
      </w:r>
      <w:r w:rsidR="007B36DE">
        <w:t>1843</w:t>
      </w:r>
      <w:r w:rsidRPr="00795193">
        <w:t xml:space="preserve">) </w:t>
      </w:r>
      <w:r w:rsidR="0036799C">
        <w:t>przekazuje</w:t>
      </w:r>
      <w:r w:rsidR="007B36DE">
        <w:t xml:space="preserve"> zapytania wraz z wyjaśnieniami </w:t>
      </w:r>
      <w:r w:rsidR="0036799C">
        <w:t>treści specyfikacji istotnych warunków zamówienia.</w:t>
      </w:r>
    </w:p>
    <w:p w:rsidR="005F52C3" w:rsidRDefault="005F52C3" w:rsidP="005F52C3">
      <w:pPr>
        <w:spacing w:after="120" w:line="360" w:lineRule="auto"/>
        <w:jc w:val="both"/>
        <w:rPr>
          <w:b/>
        </w:rPr>
      </w:pPr>
    </w:p>
    <w:p w:rsidR="005F52C3" w:rsidRDefault="005F52C3" w:rsidP="005F52C3">
      <w:pPr>
        <w:keepNext/>
        <w:spacing w:after="120" w:line="360" w:lineRule="auto"/>
        <w:jc w:val="both"/>
        <w:rPr>
          <w:b/>
        </w:rPr>
      </w:pPr>
      <w:r>
        <w:rPr>
          <w:b/>
        </w:rPr>
        <w:t>Pytanie 5</w:t>
      </w:r>
    </w:p>
    <w:p w:rsidR="005F52C3" w:rsidRPr="005F52C3" w:rsidRDefault="005F52C3" w:rsidP="005F52C3">
      <w:pPr>
        <w:spacing w:after="120"/>
      </w:pPr>
      <w:r w:rsidRPr="005F52C3">
        <w:t>Proszę o udostępnienie programu prac konserwatorskich.</w:t>
      </w:r>
    </w:p>
    <w:p w:rsidR="005F52C3" w:rsidRDefault="005F52C3" w:rsidP="005F52C3">
      <w:pPr>
        <w:keepNext/>
        <w:spacing w:after="120" w:line="360" w:lineRule="auto"/>
        <w:jc w:val="both"/>
        <w:rPr>
          <w:b/>
        </w:rPr>
      </w:pPr>
      <w:r>
        <w:rPr>
          <w:b/>
        </w:rPr>
        <w:t>Odpowiedź</w:t>
      </w:r>
    </w:p>
    <w:p w:rsidR="005F52C3" w:rsidRDefault="005F52C3" w:rsidP="005F52C3">
      <w:pPr>
        <w:spacing w:after="120" w:line="360" w:lineRule="auto"/>
        <w:jc w:val="both"/>
      </w:pPr>
      <w:r w:rsidRPr="005F52C3">
        <w:t>Program prac konserwatorskich, jako odrębne opracowanie, nie był sporządzony (WUOZ w Częstochowie nie zgłaszał takiego wymagania i wydał pozwolenie na podstawie projektu budowlanego).</w:t>
      </w:r>
    </w:p>
    <w:p w:rsidR="00B21773" w:rsidRPr="00B21773" w:rsidRDefault="00B21773" w:rsidP="00B21773">
      <w:pPr>
        <w:keepNext/>
        <w:spacing w:after="120" w:line="360" w:lineRule="auto"/>
        <w:jc w:val="both"/>
        <w:rPr>
          <w:b/>
        </w:rPr>
      </w:pPr>
      <w:r w:rsidRPr="00B21773">
        <w:rPr>
          <w:b/>
        </w:rPr>
        <w:t>Pytanie 6</w:t>
      </w:r>
    </w:p>
    <w:p w:rsidR="00B21773" w:rsidRDefault="00B21773" w:rsidP="00B21773">
      <w:pPr>
        <w:spacing w:after="120" w:line="360" w:lineRule="auto"/>
        <w:jc w:val="both"/>
      </w:pPr>
      <w:r>
        <w:t>Z uwagi na kosztorysowe rozliczenie robót proszę o uzupełnienie przedmiaru robót w pozycje związane z remontem ścian zewnętrznych (elewacja) w szczególności chodzi o roboty związane z:</w:t>
      </w:r>
    </w:p>
    <w:p w:rsidR="00B21773" w:rsidRDefault="00B21773" w:rsidP="00B21773">
      <w:pPr>
        <w:pStyle w:val="Akapitzlist"/>
        <w:numPr>
          <w:ilvl w:val="0"/>
          <w:numId w:val="24"/>
        </w:numPr>
        <w:spacing w:after="120" w:line="360" w:lineRule="auto"/>
        <w:jc w:val="both"/>
      </w:pPr>
      <w:r>
        <w:lastRenderedPageBreak/>
        <w:t>Oczyszczeniem powierzchni przeznaczonej do renowacji pastą lekko kwaśną</w:t>
      </w:r>
    </w:p>
    <w:p w:rsidR="00B21773" w:rsidRDefault="00B21773" w:rsidP="00B21773">
      <w:pPr>
        <w:pStyle w:val="Akapitzlist"/>
        <w:numPr>
          <w:ilvl w:val="0"/>
          <w:numId w:val="24"/>
        </w:numPr>
        <w:spacing w:after="120" w:line="360" w:lineRule="auto"/>
        <w:jc w:val="both"/>
      </w:pPr>
      <w:r>
        <w:t>Cerowanie murów licowych z cegły klinkierowej, wymiana elementów cegieł całkowicie uszkodzonych, wymiana na nowe (pochodzące z rozbiórki innych starych obiektów)</w:t>
      </w:r>
    </w:p>
    <w:p w:rsidR="00B21773" w:rsidRDefault="00B21773" w:rsidP="00B21773">
      <w:pPr>
        <w:pStyle w:val="Akapitzlist"/>
        <w:numPr>
          <w:ilvl w:val="0"/>
          <w:numId w:val="24"/>
        </w:numPr>
        <w:spacing w:after="120" w:line="360" w:lineRule="auto"/>
        <w:jc w:val="both"/>
      </w:pPr>
      <w:r>
        <w:t>Uzupełnienie cegieł za zaprawach systemowych</w:t>
      </w:r>
    </w:p>
    <w:p w:rsidR="00B21773" w:rsidRDefault="00B21773" w:rsidP="00B21773">
      <w:pPr>
        <w:pStyle w:val="Akapitzlist"/>
        <w:numPr>
          <w:ilvl w:val="0"/>
          <w:numId w:val="24"/>
        </w:numPr>
        <w:spacing w:after="120" w:line="360" w:lineRule="auto"/>
        <w:jc w:val="both"/>
      </w:pPr>
      <w:r>
        <w:t>Uzupełnienie ubytków z cegle kitami z zastosowaniem zaprawy podkładowej</w:t>
      </w:r>
    </w:p>
    <w:p w:rsidR="00B21773" w:rsidRDefault="00B21773" w:rsidP="00B21773">
      <w:pPr>
        <w:pStyle w:val="Akapitzlist"/>
        <w:numPr>
          <w:ilvl w:val="0"/>
          <w:numId w:val="24"/>
        </w:numPr>
        <w:spacing w:after="120" w:line="360" w:lineRule="auto"/>
        <w:jc w:val="both"/>
      </w:pPr>
      <w:r>
        <w:t>Uzupełnienie spoin między cegłami zaprawami zawierającymi tras i wapień</w:t>
      </w:r>
    </w:p>
    <w:p w:rsidR="00B21773" w:rsidRDefault="00B21773" w:rsidP="00B21773">
      <w:pPr>
        <w:pStyle w:val="Akapitzlist"/>
        <w:numPr>
          <w:ilvl w:val="0"/>
          <w:numId w:val="24"/>
        </w:numPr>
        <w:spacing w:after="120" w:line="360" w:lineRule="auto"/>
        <w:jc w:val="both"/>
      </w:pPr>
      <w:r>
        <w:t>Scalenie kolorystyczne, naprawa, maskowanie przebarwień</w:t>
      </w:r>
    </w:p>
    <w:p w:rsidR="00B21773" w:rsidRDefault="00B21773" w:rsidP="00B21773">
      <w:pPr>
        <w:pStyle w:val="Akapitzlist"/>
        <w:numPr>
          <w:ilvl w:val="0"/>
          <w:numId w:val="24"/>
        </w:numPr>
        <w:spacing w:after="120" w:line="360" w:lineRule="auto"/>
        <w:jc w:val="both"/>
      </w:pPr>
      <w:r>
        <w:t xml:space="preserve">Impregnacja elewacji poprzez </w:t>
      </w:r>
      <w:proofErr w:type="spellStart"/>
      <w:r>
        <w:t>hydrofobizację</w:t>
      </w:r>
      <w:proofErr w:type="spellEnd"/>
    </w:p>
    <w:p w:rsidR="00B21773" w:rsidRPr="00B21773" w:rsidRDefault="00B21773" w:rsidP="00B21773">
      <w:pPr>
        <w:keepNext/>
        <w:spacing w:after="120" w:line="360" w:lineRule="auto"/>
        <w:jc w:val="both"/>
        <w:rPr>
          <w:b/>
        </w:rPr>
      </w:pPr>
      <w:r w:rsidRPr="00B21773">
        <w:rPr>
          <w:b/>
        </w:rPr>
        <w:t>Odpowiedź</w:t>
      </w:r>
    </w:p>
    <w:p w:rsidR="00B21773" w:rsidRDefault="00B21773" w:rsidP="00B21773">
      <w:pPr>
        <w:spacing w:after="120" w:line="360" w:lineRule="auto"/>
        <w:jc w:val="both"/>
      </w:pPr>
      <w:r w:rsidRPr="00B21773">
        <w:t>Wychodząc naprzeciw uwagom/sugestiom, po analizie</w:t>
      </w:r>
      <w:r>
        <w:t xml:space="preserve"> </w:t>
      </w:r>
      <w:r w:rsidRPr="00B21773">
        <w:t>prawidłowości doboru baz i katalogów kosztorysowych uznajemy, że Rozdział 3 przedmiaru</w:t>
      </w:r>
      <w:r>
        <w:t xml:space="preserve"> </w:t>
      </w:r>
      <w:r w:rsidRPr="00B21773">
        <w:t xml:space="preserve">robót budowlanych </w:t>
      </w:r>
      <w:r w:rsidR="001A15F2">
        <w:t>zostaje rozszerzony o</w:t>
      </w:r>
      <w:r w:rsidRPr="00B21773">
        <w:t xml:space="preserve"> następujące pozycje:</w:t>
      </w:r>
    </w:p>
    <w:p w:rsidR="00B21773" w:rsidRPr="001A15F2" w:rsidRDefault="00B21773" w:rsidP="00B21773">
      <w:pPr>
        <w:spacing w:after="120" w:line="360" w:lineRule="auto"/>
        <w:jc w:val="both"/>
      </w:pPr>
      <w:r w:rsidRPr="001A15F2">
        <w:t>1. Kalkulacja własna - Przygotowanie i naprawa podłoża - oczyszczenie powierzchni muru pastą lekko kwaśną - 1255.274 m2</w:t>
      </w:r>
    </w:p>
    <w:p w:rsidR="00B21773" w:rsidRPr="001A15F2" w:rsidRDefault="00B21773" w:rsidP="00B21773">
      <w:pPr>
        <w:spacing w:after="120" w:line="360" w:lineRule="auto"/>
        <w:jc w:val="both"/>
      </w:pPr>
      <w:r w:rsidRPr="001A15F2">
        <w:t>2. TZKNC N-K/III t.36-b.03 analogia – Scalenie kolorystyczne, naprawa, maskowanie przebarwień powierzchni muru  – 315,0 m2</w:t>
      </w:r>
    </w:p>
    <w:p w:rsidR="00B21773" w:rsidRPr="001A15F2" w:rsidRDefault="00B21773" w:rsidP="00B21773">
      <w:pPr>
        <w:spacing w:after="120" w:line="360" w:lineRule="auto"/>
        <w:jc w:val="both"/>
      </w:pPr>
      <w:r w:rsidRPr="001A15F2">
        <w:t xml:space="preserve">3. KNR AT-26 0304-04 - </w:t>
      </w:r>
      <w:proofErr w:type="spellStart"/>
      <w:r w:rsidRPr="001A15F2">
        <w:t>Hydrofobizacja</w:t>
      </w:r>
      <w:proofErr w:type="spellEnd"/>
      <w:r w:rsidRPr="001A15F2">
        <w:t xml:space="preserve"> powierzchni cegły preparatami płynnymi – natryskowo - 1255.274 m2</w:t>
      </w:r>
    </w:p>
    <w:p w:rsidR="00B21773" w:rsidRPr="001A15F2" w:rsidRDefault="00B21773" w:rsidP="00B21773">
      <w:pPr>
        <w:spacing w:after="120" w:line="360" w:lineRule="auto"/>
        <w:jc w:val="both"/>
      </w:pPr>
      <w:r w:rsidRPr="001A15F2">
        <w:t xml:space="preserve">4. TZKNBK IV -77 - Uzupełnienie brakujących fragmentów w murach grubych z cegły gotyckiej z zachowaniem wiązania na zaprawie </w:t>
      </w:r>
      <w:proofErr w:type="spellStart"/>
      <w:r w:rsidRPr="001A15F2">
        <w:t>cem</w:t>
      </w:r>
      <w:proofErr w:type="spellEnd"/>
      <w:r w:rsidRPr="001A15F2">
        <w:t>.-</w:t>
      </w:r>
      <w:proofErr w:type="spellStart"/>
      <w:r w:rsidRPr="001A15F2">
        <w:t>wap</w:t>
      </w:r>
      <w:proofErr w:type="spellEnd"/>
      <w:r w:rsidRPr="001A15F2">
        <w:t xml:space="preserve">. 1-2 m3 w jednym miejscu mur z wystrojem architektonicznym gr. 1 </w:t>
      </w:r>
      <w:proofErr w:type="spellStart"/>
      <w:r w:rsidRPr="001A15F2">
        <w:t>ceg</w:t>
      </w:r>
      <w:proofErr w:type="spellEnd"/>
      <w:r w:rsidRPr="001A15F2">
        <w:t>. - analogia - Cerowanie murów licowych z cegły klinkierowej, wymiana elementów cegieł na nowe  -  250,0 m2</w:t>
      </w:r>
    </w:p>
    <w:p w:rsidR="00B21773" w:rsidRPr="001A15F2" w:rsidRDefault="00B21773" w:rsidP="00B21773">
      <w:pPr>
        <w:spacing w:after="120" w:line="360" w:lineRule="auto"/>
        <w:jc w:val="both"/>
      </w:pPr>
      <w:r w:rsidRPr="001A15F2">
        <w:t>5. Kalkulacja własna – Uzupełnienie ubytków w cegle kitem z zastosowaniem zaprawy podkładowej – 120,0 m2.</w:t>
      </w:r>
    </w:p>
    <w:p w:rsidR="001A15F2" w:rsidRPr="00A0077D" w:rsidRDefault="001A15F2" w:rsidP="00B21773">
      <w:pPr>
        <w:spacing w:after="120" w:line="360" w:lineRule="auto"/>
        <w:jc w:val="both"/>
        <w:rPr>
          <w:u w:val="single"/>
        </w:rPr>
      </w:pPr>
      <w:r w:rsidRPr="00A0077D">
        <w:rPr>
          <w:u w:val="single"/>
        </w:rPr>
        <w:t xml:space="preserve">Powyższe pozycje należy uwzględnić w kosztorysie ofertowym </w:t>
      </w:r>
      <w:r w:rsidR="00E67BA6" w:rsidRPr="00A0077D">
        <w:rPr>
          <w:u w:val="single"/>
        </w:rPr>
        <w:t xml:space="preserve">dot. branży ogólnobudowlanej </w:t>
      </w:r>
      <w:r w:rsidRPr="00A0077D">
        <w:rPr>
          <w:u w:val="single"/>
        </w:rPr>
        <w:t>(sugerujemy w pozycjach 50-54 w rozdziale 3</w:t>
      </w:r>
      <w:r w:rsidR="00A0077D">
        <w:rPr>
          <w:u w:val="single"/>
        </w:rPr>
        <w:t>.</w:t>
      </w:r>
      <w:r w:rsidRPr="00A0077D">
        <w:rPr>
          <w:u w:val="single"/>
        </w:rPr>
        <w:t>).</w:t>
      </w:r>
    </w:p>
    <w:p w:rsidR="00B21773" w:rsidRDefault="00B21773" w:rsidP="00B21773">
      <w:pPr>
        <w:spacing w:after="120" w:line="360" w:lineRule="auto"/>
        <w:jc w:val="both"/>
      </w:pPr>
      <w:r w:rsidRPr="001A15F2">
        <w:t>Jednocześnie informujemy, że „Uzupełnienie cegieł na zaprawie systemowej” jest uwzględnione w poz. 45 oraz „Uzupełnienie spoin” jest uwzględ</w:t>
      </w:r>
      <w:r w:rsidR="001A15F2">
        <w:t>nione w poz. 48.</w:t>
      </w:r>
    </w:p>
    <w:p w:rsidR="005F52C3" w:rsidRDefault="00B21773" w:rsidP="005F52C3">
      <w:pPr>
        <w:keepNext/>
        <w:spacing w:after="120" w:line="360" w:lineRule="auto"/>
        <w:jc w:val="both"/>
        <w:rPr>
          <w:b/>
        </w:rPr>
      </w:pPr>
      <w:r>
        <w:rPr>
          <w:b/>
        </w:rPr>
        <w:t>Pytanie 7</w:t>
      </w:r>
      <w:bookmarkStart w:id="0" w:name="_GoBack"/>
      <w:bookmarkEnd w:id="0"/>
    </w:p>
    <w:p w:rsidR="005F52C3" w:rsidRPr="005F52C3" w:rsidRDefault="005F52C3" w:rsidP="005F52C3">
      <w:pPr>
        <w:spacing w:after="120" w:line="360" w:lineRule="auto"/>
        <w:jc w:val="both"/>
      </w:pPr>
      <w:r w:rsidRPr="005F52C3">
        <w:t>Proszę o uzupełnienie przedmiaru w odpowiednie warstwy dachowe – chodzi o wyjaśnienie jakie warstwy należy zastosować. Proszę o wyjaśnienie rozbieżności:</w:t>
      </w:r>
    </w:p>
    <w:p w:rsidR="005F52C3" w:rsidRPr="0036799C" w:rsidRDefault="005F52C3" w:rsidP="005F52C3">
      <w:pPr>
        <w:keepNext/>
        <w:spacing w:after="120" w:line="360" w:lineRule="auto"/>
        <w:jc w:val="both"/>
        <w:rPr>
          <w:b/>
        </w:rPr>
      </w:pPr>
      <w:r>
        <w:rPr>
          <w:noProof/>
          <w:lang w:eastAsia="pl-PL"/>
        </w:rPr>
        <w:lastRenderedPageBreak/>
        <w:drawing>
          <wp:inline distT="0" distB="0" distL="0" distR="0" wp14:anchorId="4AAE499E" wp14:editId="37BDB50D">
            <wp:extent cx="5760720" cy="34417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41700"/>
                    </a:xfrm>
                    <a:prstGeom prst="rect">
                      <a:avLst/>
                    </a:prstGeom>
                  </pic:spPr>
                </pic:pic>
              </a:graphicData>
            </a:graphic>
          </wp:inline>
        </w:drawing>
      </w:r>
    </w:p>
    <w:p w:rsidR="004600D2" w:rsidRPr="005F52C3" w:rsidRDefault="005F52C3" w:rsidP="005F52C3">
      <w:pPr>
        <w:keepNext/>
        <w:spacing w:after="120" w:line="360" w:lineRule="auto"/>
        <w:jc w:val="both"/>
        <w:rPr>
          <w:b/>
        </w:rPr>
      </w:pPr>
      <w:r w:rsidRPr="005F52C3">
        <w:rPr>
          <w:b/>
        </w:rPr>
        <w:t>Odpowiedź</w:t>
      </w:r>
    </w:p>
    <w:p w:rsidR="005F52C3" w:rsidRDefault="005F52C3" w:rsidP="005F52C3">
      <w:pPr>
        <w:spacing w:after="120" w:line="360" w:lineRule="auto"/>
        <w:jc w:val="both"/>
      </w:pPr>
      <w:r>
        <w:t>Dokumentacja projektowa jest dokumentacją kompleksową, składającą się z "Projektu budowlanego", "Projektu wykonawczego" (pierwotnego - Projektant Tomasz Ulman) oraz "Aneksu do projektu wykonawczego". Jedną ze zmian wprowadzonych w "Aneksie do projektu wykonawczego", są zmiany zarówno konstrukcji dachów, jak i warstw jego pokrycia. Z tabeli w pytaniu wynika, że Oferent analizuje pierwotny "Projekt wykonawczy", z pominięciem ww. "Aneksu do projektu wykonawczego". Przedmiar jest aktualny i należy go rozpatrywać łącznie z "Aneksem do projektu wykonawczego" (pierwotny "Projekt wykonawczy" jest w tym zakresie nieaktualny). Dokumentacja projektowa (ww. trzy opracowania) jest kompleksowa i należy ją rozpatrywać łącznie. W "Aneksie do projektu wykonawczego" wykazane są elementy, które nie uległy zmianom i należy wykonywać zgodnie z pierwotnym "Projektem wykonawczym".</w:t>
      </w:r>
    </w:p>
    <w:p w:rsidR="005F52C3" w:rsidRPr="005F52C3" w:rsidRDefault="00B21773" w:rsidP="005F52C3">
      <w:pPr>
        <w:keepNext/>
        <w:spacing w:after="120" w:line="360" w:lineRule="auto"/>
        <w:jc w:val="both"/>
        <w:rPr>
          <w:b/>
        </w:rPr>
      </w:pPr>
      <w:r>
        <w:rPr>
          <w:b/>
        </w:rPr>
        <w:t>Pytanie 8</w:t>
      </w:r>
    </w:p>
    <w:p w:rsidR="005F52C3" w:rsidRDefault="005F52C3" w:rsidP="005F52C3">
      <w:pPr>
        <w:spacing w:after="120" w:line="360" w:lineRule="auto"/>
        <w:jc w:val="both"/>
      </w:pPr>
      <w:r>
        <w:t>„Proszę o wyjaśnienie poz. 157 kosztorysu budowlanego wynika, że należy wykonać posadzki z płytek klinkierowych 12x25 gr. 3 cm układanych na zaprawie cementowej, natomiast w projekcie są oznaczonym na przekroju A-A posadzka A9 i A3 mają kolejno grubość 5 cm i 12 cm – proszę o doprecyzowanie.”</w:t>
      </w:r>
    </w:p>
    <w:p w:rsidR="005F52C3" w:rsidRPr="005F52C3" w:rsidRDefault="005F52C3" w:rsidP="005F52C3">
      <w:pPr>
        <w:keepNext/>
        <w:spacing w:after="120" w:line="360" w:lineRule="auto"/>
        <w:jc w:val="both"/>
        <w:rPr>
          <w:b/>
        </w:rPr>
      </w:pPr>
      <w:r w:rsidRPr="005F52C3">
        <w:rPr>
          <w:b/>
        </w:rPr>
        <w:t>Odpowiedź</w:t>
      </w:r>
    </w:p>
    <w:p w:rsidR="005F52C3" w:rsidRDefault="005F52C3" w:rsidP="005F52C3">
      <w:pPr>
        <w:spacing w:after="120" w:line="360" w:lineRule="auto"/>
        <w:jc w:val="both"/>
      </w:pPr>
      <w:r>
        <w:t>Zg</w:t>
      </w:r>
      <w:r w:rsidR="0091386A">
        <w:t>odnie z odpowiedzią na pytanie 7</w:t>
      </w:r>
      <w:r>
        <w:t xml:space="preserve">, należy rozpatrywać "Aneks do projektu wykonawczego". W aneksie tym wykreślono rysunek P09 z zakresu rysunków i jest on nieaktualny. Należy </w:t>
      </w:r>
      <w:r>
        <w:lastRenderedPageBreak/>
        <w:t>zwrócić uwagę, że w "Aneksie do projektu wykonawczego" zmieniono sposób realizacji posadzki klinkierowej, na posadzkę wykonywaną z klinkieru o wymiarach zbliżonych do wymiarów podstawy cegły (12x25 [cm]) lub (częściej spotykanego wymiaru bruku) 10x20 [cm]. Przyjęto dostępną w handlu grubość płytki/bruku klinkierowego od 20 do 40 [mm] (średnio 30 mm), jednak dopuszczalna jest również większa grubość przy założeniu zachowania poziomu posadzki (obniżenia lub zmniejszenia grubości warstw podbudowy). Istotnym warunkiem jest zastosowanie materiału odpowiadającego klasycznej starej cegle klinkierowej (brukowej). Niedopuszczalne jest zastosowanie typowych szkliwionych płytek klinkierowych (jak np. stosowane na tarasach, czy okapnikach zewn. okien).</w:t>
      </w:r>
    </w:p>
    <w:p w:rsidR="005F52C3" w:rsidRPr="00B21773" w:rsidRDefault="00B21773" w:rsidP="005F52C3">
      <w:pPr>
        <w:spacing w:after="120" w:line="360" w:lineRule="auto"/>
        <w:jc w:val="both"/>
        <w:rPr>
          <w:b/>
        </w:rPr>
      </w:pPr>
      <w:r w:rsidRPr="00B21773">
        <w:rPr>
          <w:b/>
        </w:rPr>
        <w:t>Pytanie 9</w:t>
      </w:r>
    </w:p>
    <w:p w:rsidR="002A2D27" w:rsidRPr="00B21773" w:rsidRDefault="000911FA" w:rsidP="005F52C3">
      <w:pPr>
        <w:spacing w:after="120" w:line="360" w:lineRule="auto"/>
        <w:jc w:val="both"/>
      </w:pPr>
      <w:r w:rsidRPr="00B21773">
        <w:t xml:space="preserve">Zgodnie z Opis do Aneksu do </w:t>
      </w:r>
      <w:proofErr w:type="spellStart"/>
      <w:r w:rsidRPr="00B21773">
        <w:t>PW_Arch</w:t>
      </w:r>
      <w:proofErr w:type="spellEnd"/>
      <w:r w:rsidRPr="00B21773">
        <w:t>. i PZT PŁOT PRZECIWŚNIEŻNY Z uwagi na zmianę pokrycia dachu w stosunku do przyjętego w projekcie pierwotnym, odstępuje się od wymogu zastosowania płotów przeciwśnieżnych. Zaleca się zastosowanie dedykowanych do dachów papowych punktowych stoperów przeciwśnieżnych rozproszonych po całych połaciach dachowych (montaż do blachy trapezowej z pomocą dedykowanych uszczelnionych kotew). Prosimy o wykreślenie poz. 115 przedmiaru robót.</w:t>
      </w:r>
    </w:p>
    <w:p w:rsidR="000911FA" w:rsidRPr="00B21773" w:rsidRDefault="000911FA" w:rsidP="005F52C3">
      <w:pPr>
        <w:spacing w:after="120" w:line="360" w:lineRule="auto"/>
        <w:jc w:val="both"/>
        <w:rPr>
          <w:b/>
        </w:rPr>
      </w:pPr>
      <w:r w:rsidRPr="00B21773">
        <w:rPr>
          <w:b/>
        </w:rPr>
        <w:t>Odpowiedź</w:t>
      </w:r>
    </w:p>
    <w:p w:rsidR="000911FA" w:rsidRPr="00B21773" w:rsidRDefault="000911FA" w:rsidP="000911FA">
      <w:pPr>
        <w:spacing w:after="120" w:line="360" w:lineRule="auto"/>
        <w:jc w:val="both"/>
      </w:pPr>
      <w:r w:rsidRPr="001A15F2">
        <w:t>W poz. 115 przedmiaru robót budowlanych winien się znaleźć opis: "Dostawa i montaż systemowych punktowych stoperów przeciwśnieżnych (wg wytycznych dostawcy technologii pokrycia dachowego)" / kalkulacja własna.</w:t>
      </w:r>
    </w:p>
    <w:p w:rsidR="000911FA" w:rsidRPr="000911FA" w:rsidRDefault="00B21773" w:rsidP="005F52C3">
      <w:pPr>
        <w:spacing w:after="120" w:line="360" w:lineRule="auto"/>
        <w:jc w:val="both"/>
        <w:rPr>
          <w:b/>
        </w:rPr>
      </w:pPr>
      <w:r>
        <w:rPr>
          <w:b/>
        </w:rPr>
        <w:t>Pytanie 10</w:t>
      </w:r>
    </w:p>
    <w:p w:rsidR="000911FA" w:rsidRDefault="000911FA" w:rsidP="000911FA">
      <w:pPr>
        <w:spacing w:after="120" w:line="360" w:lineRule="auto"/>
        <w:jc w:val="both"/>
      </w:pPr>
      <w:r>
        <w:t xml:space="preserve">Zgodnie z zapisem w pkt. 7.1. </w:t>
      </w:r>
      <w:proofErr w:type="spellStart"/>
      <w:r>
        <w:t>ppkt</w:t>
      </w:r>
      <w:proofErr w:type="spellEnd"/>
      <w:r>
        <w:t xml:space="preserve"> 2) lit. </w:t>
      </w:r>
      <w:proofErr w:type="spellStart"/>
      <w:r>
        <w:t>bb</w:t>
      </w:r>
      <w:proofErr w:type="spellEnd"/>
      <w:r>
        <w:t>) SIWZ wykonawca winien dysponować jedną osobą, która łącznie: - posiada uprawnienia bez ograniczeń do kierowania robotami budowlanymi w specjalności instalacyjnej w zakresie sieci, instalacji i urządzeń elektrycznych i elektroenergetycznych (w rozumieniu ustawy z dnia 7 lipca 1994 r. Prawo budowlane lub odpowiadające im ważne uprawnienia wydane na podstawie wcześniej obowiązujących przepisów); - posiada co najmniej 3-letnle doświadczenie zawodowe na stanowisku kierownika budowy lub kierownika robót w powyższej specjalności.</w:t>
      </w:r>
    </w:p>
    <w:p w:rsidR="000911FA" w:rsidRDefault="000911FA" w:rsidP="000911FA">
      <w:pPr>
        <w:spacing w:after="120" w:line="360" w:lineRule="auto"/>
        <w:jc w:val="both"/>
      </w:pPr>
      <w:r>
        <w:t>Zapis SIWZ nie koresponduje z treścią zawartą w Załączniku nr 8 do SIWZ, gdzie dla kierownika robót elektrycznych wymaga się [...]-letnie doświadczenie zawodowe przy realizacji robót budowlanych przy zabytkach nieruchomych na stanowisku kierownika budowy lub kierownika robót w specjalności [...]</w:t>
      </w:r>
    </w:p>
    <w:p w:rsidR="000911FA" w:rsidRDefault="000911FA" w:rsidP="000911FA">
      <w:pPr>
        <w:spacing w:after="120" w:line="360" w:lineRule="auto"/>
        <w:jc w:val="both"/>
      </w:pPr>
      <w:r>
        <w:lastRenderedPageBreak/>
        <w:t>Prosimy o potwierdzenie, że nadrzędnym dokumentem określającym warunki udziału dla osób jest dokument SIWZ.</w:t>
      </w:r>
    </w:p>
    <w:p w:rsidR="000911FA" w:rsidRPr="000911FA" w:rsidRDefault="000911FA" w:rsidP="005F52C3">
      <w:pPr>
        <w:spacing w:after="120" w:line="360" w:lineRule="auto"/>
        <w:jc w:val="both"/>
        <w:rPr>
          <w:b/>
        </w:rPr>
      </w:pPr>
      <w:r w:rsidRPr="000911FA">
        <w:rPr>
          <w:b/>
        </w:rPr>
        <w:t>Odpowiedź</w:t>
      </w:r>
    </w:p>
    <w:p w:rsidR="000911FA" w:rsidRDefault="000911FA" w:rsidP="000911FA">
      <w:pPr>
        <w:spacing w:after="120" w:line="360" w:lineRule="auto"/>
        <w:jc w:val="both"/>
      </w:pPr>
      <w:r>
        <w:t>Zamawiający informuje, że w załączonym wykazie osób określono</w:t>
      </w:r>
      <w:r w:rsidR="00902433">
        <w:t xml:space="preserve"> jedynie</w:t>
      </w:r>
      <w:r>
        <w:t xml:space="preserve"> przykładowy sposób wypełnienie formularza. Wykazanie spełniania warunków udziału w postępowaniu leży po stronie Wykonawców. Warunki udziału w postępowaniu określa dokument SIWZ (pkt 7.1.) oraz ogłoszenie o zamówieniu.</w:t>
      </w:r>
    </w:p>
    <w:p w:rsidR="000911FA" w:rsidRPr="000911FA" w:rsidRDefault="00B21773" w:rsidP="005F52C3">
      <w:pPr>
        <w:spacing w:after="120" w:line="360" w:lineRule="auto"/>
        <w:jc w:val="both"/>
        <w:rPr>
          <w:b/>
        </w:rPr>
      </w:pPr>
      <w:r>
        <w:rPr>
          <w:b/>
        </w:rPr>
        <w:t>Pytanie 11</w:t>
      </w:r>
    </w:p>
    <w:p w:rsidR="000911FA" w:rsidRDefault="000911FA" w:rsidP="000911FA">
      <w:pPr>
        <w:spacing w:after="120" w:line="360" w:lineRule="auto"/>
        <w:jc w:val="both"/>
      </w:pPr>
      <w:r>
        <w:t xml:space="preserve">Zgodnie z zapisem w pkt. 7.1. </w:t>
      </w:r>
      <w:proofErr w:type="spellStart"/>
      <w:r>
        <w:t>ppkt</w:t>
      </w:r>
      <w:proofErr w:type="spellEnd"/>
      <w:r>
        <w:t xml:space="preserve"> 2) lit. </w:t>
      </w:r>
      <w:proofErr w:type="spellStart"/>
      <w:r>
        <w:t>bc</w:t>
      </w:r>
      <w:proofErr w:type="spellEnd"/>
      <w:r>
        <w:t>) wykonawca winien dysponować jedną osobą, która łącznie posiada uprawnienia bez ograniczeń do kierowania robotami budowlanymi w specjalności instalacyjnej w zakresie sieci, instalacji i urządzeń cieplnych, wentylacyjnych, gazowych, wodociągowych i kanalizacyjnych (w rozumieniu ustawy z dnia 7 lipca 1994 r. Prawo budowlane lub GIR.271.7.2020 Strona 7 z 23 odpowiadające im ważne uprawnienia wydane na podstawie wcześniej obowiązujących przepisów); - posiada co najmniej 3-letnie doświadczenie zawodowe na stanowisku kierownika budowy lub kierownika robót w powyższej specjalności.</w:t>
      </w:r>
    </w:p>
    <w:p w:rsidR="000911FA" w:rsidRDefault="000911FA" w:rsidP="000911FA">
      <w:pPr>
        <w:spacing w:after="120" w:line="360" w:lineRule="auto"/>
        <w:jc w:val="both"/>
      </w:pPr>
      <w:r>
        <w:t>Zapis SIWZ nie koresponduje z treścią zawartą w Załączniku nr 8 do SIWZ, gdzie dla kierownika robót sanitarnych wymaga się [...]-letnie doświadczenie zawodowe przy realizacji robót budowlanych przy zabytkach nieruchomych na stanowisku kierownika budowy lub kierownika robót w specjalności [...]</w:t>
      </w:r>
    </w:p>
    <w:p w:rsidR="000911FA" w:rsidRDefault="000911FA" w:rsidP="000911FA">
      <w:pPr>
        <w:spacing w:after="120" w:line="360" w:lineRule="auto"/>
        <w:jc w:val="both"/>
      </w:pPr>
      <w:r>
        <w:t>Prosimy o potwierdzenie, że nadrzędnym dokumentem określającym warunki udziału dla osób jest dokument SIWZ.</w:t>
      </w:r>
    </w:p>
    <w:p w:rsidR="000911FA" w:rsidRPr="000911FA" w:rsidRDefault="000911FA" w:rsidP="005F52C3">
      <w:pPr>
        <w:spacing w:after="120" w:line="360" w:lineRule="auto"/>
        <w:jc w:val="both"/>
        <w:rPr>
          <w:b/>
        </w:rPr>
      </w:pPr>
      <w:r w:rsidRPr="000911FA">
        <w:rPr>
          <w:b/>
        </w:rPr>
        <w:t>Odpowiedź</w:t>
      </w:r>
    </w:p>
    <w:p w:rsidR="00902433" w:rsidRDefault="00902433" w:rsidP="00902433">
      <w:pPr>
        <w:spacing w:after="120" w:line="360" w:lineRule="auto"/>
        <w:jc w:val="both"/>
      </w:pPr>
      <w:r>
        <w:t>Zamawiający informuje, że w załączonym wykazie osób określono jedynie przykładowy sposób wypełnienie formularza. Wykazanie spełniania warunków udziału w postępowaniu leży po stronie Wykonawców. Warunki udziału w postępowaniu określa dokument SIWZ (pkt 7.1.) oraz ogłoszenie o zamówieniu.</w:t>
      </w:r>
    </w:p>
    <w:p w:rsidR="000911FA" w:rsidRDefault="000911FA" w:rsidP="005F52C3">
      <w:pPr>
        <w:spacing w:after="120" w:line="360" w:lineRule="auto"/>
        <w:jc w:val="both"/>
      </w:pPr>
    </w:p>
    <w:p w:rsidR="00AB0F0E" w:rsidRDefault="00AB0F0E" w:rsidP="005F52C3">
      <w:pPr>
        <w:spacing w:after="120" w:line="360" w:lineRule="auto"/>
        <w:jc w:val="both"/>
      </w:pPr>
      <w:r>
        <w:t>Niniejsze wyjaśnienia stanowią integralną część SIWZ.</w:t>
      </w:r>
    </w:p>
    <w:p w:rsidR="00A814BC" w:rsidRPr="00795193" w:rsidRDefault="00A814BC" w:rsidP="005F52C3">
      <w:pPr>
        <w:spacing w:after="120" w:line="360" w:lineRule="auto"/>
        <w:jc w:val="both"/>
      </w:pPr>
    </w:p>
    <w:sectPr w:rsidR="00A814BC" w:rsidRPr="0079519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EA5" w:rsidRDefault="00820EA5" w:rsidP="00EF41AF">
      <w:pPr>
        <w:spacing w:after="0" w:line="240" w:lineRule="auto"/>
      </w:pPr>
      <w:r>
        <w:separator/>
      </w:r>
    </w:p>
  </w:endnote>
  <w:endnote w:type="continuationSeparator" w:id="0">
    <w:p w:rsidR="00820EA5" w:rsidRDefault="00820EA5" w:rsidP="00EF4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323945633"/>
      <w:docPartObj>
        <w:docPartGallery w:val="Page Numbers (Bottom of Page)"/>
        <w:docPartUnique/>
      </w:docPartObj>
    </w:sdtPr>
    <w:sdtEndPr>
      <w:rPr>
        <w:sz w:val="22"/>
        <w:szCs w:val="22"/>
      </w:rPr>
    </w:sdtEndPr>
    <w:sdtContent>
      <w:p w:rsidR="009B05F8" w:rsidRPr="007B36DE" w:rsidRDefault="009B05F8">
        <w:pPr>
          <w:pStyle w:val="Stopka"/>
          <w:jc w:val="right"/>
          <w:rPr>
            <w:rFonts w:asciiTheme="majorHAnsi" w:eastAsiaTheme="majorEastAsia" w:hAnsiTheme="majorHAnsi" w:cstheme="majorBidi"/>
          </w:rPr>
        </w:pPr>
        <w:r w:rsidRPr="007B36DE">
          <w:rPr>
            <w:rFonts w:eastAsiaTheme="minorEastAsia" w:cs="Times New Roman"/>
          </w:rPr>
          <w:fldChar w:fldCharType="begin"/>
        </w:r>
        <w:r w:rsidRPr="007B36DE">
          <w:instrText>PAGE    \* MERGEFORMAT</w:instrText>
        </w:r>
        <w:r w:rsidRPr="007B36DE">
          <w:rPr>
            <w:rFonts w:eastAsiaTheme="minorEastAsia" w:cs="Times New Roman"/>
          </w:rPr>
          <w:fldChar w:fldCharType="separate"/>
        </w:r>
        <w:r w:rsidR="00A0077D" w:rsidRPr="00A0077D">
          <w:rPr>
            <w:rFonts w:asciiTheme="majorHAnsi" w:eastAsiaTheme="majorEastAsia" w:hAnsiTheme="majorHAnsi" w:cstheme="majorBidi"/>
            <w:noProof/>
          </w:rPr>
          <w:t>5</w:t>
        </w:r>
        <w:r w:rsidRPr="007B36DE">
          <w:rPr>
            <w:rFonts w:asciiTheme="majorHAnsi" w:eastAsiaTheme="majorEastAsia" w:hAnsiTheme="majorHAnsi" w:cstheme="majorBidi"/>
          </w:rPr>
          <w:fldChar w:fldCharType="end"/>
        </w:r>
      </w:p>
    </w:sdtContent>
  </w:sdt>
  <w:p w:rsidR="00DF3500" w:rsidRPr="00DF3500" w:rsidRDefault="00DF3500" w:rsidP="00DF3500">
    <w:pPr>
      <w:pStyle w:val="Stopka"/>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EA5" w:rsidRDefault="00820EA5" w:rsidP="00EF41AF">
      <w:pPr>
        <w:spacing w:after="0" w:line="240" w:lineRule="auto"/>
      </w:pPr>
      <w:r>
        <w:separator/>
      </w:r>
    </w:p>
  </w:footnote>
  <w:footnote w:type="continuationSeparator" w:id="0">
    <w:p w:rsidR="00820EA5" w:rsidRDefault="00820EA5" w:rsidP="00EF4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1AF" w:rsidRDefault="007B36DE" w:rsidP="00EF41AF">
    <w:pPr>
      <w:pStyle w:val="Nagwek"/>
      <w:spacing w:after="120"/>
    </w:pPr>
    <w:r>
      <w:rPr>
        <w:noProof/>
        <w:lang w:eastAsia="pl-PL"/>
      </w:rPr>
      <w:drawing>
        <wp:inline distT="0" distB="0" distL="0" distR="0">
          <wp:extent cx="5760720" cy="5803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RR_POZIOM_kolor.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803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B5865"/>
    <w:multiLevelType w:val="hybridMultilevel"/>
    <w:tmpl w:val="7C7E79F4"/>
    <w:lvl w:ilvl="0" w:tplc="04150013">
      <w:start w:val="1"/>
      <w:numFmt w:val="upperRoman"/>
      <w:lvlText w:val="%1."/>
      <w:lvlJc w:val="right"/>
      <w:pPr>
        <w:ind w:left="2163" w:hanging="360"/>
      </w:pPr>
    </w:lvl>
    <w:lvl w:ilvl="1" w:tplc="04150019" w:tentative="1">
      <w:start w:val="1"/>
      <w:numFmt w:val="lowerLetter"/>
      <w:lvlText w:val="%2."/>
      <w:lvlJc w:val="left"/>
      <w:pPr>
        <w:ind w:left="2883" w:hanging="360"/>
      </w:pPr>
    </w:lvl>
    <w:lvl w:ilvl="2" w:tplc="0415001B" w:tentative="1">
      <w:start w:val="1"/>
      <w:numFmt w:val="lowerRoman"/>
      <w:lvlText w:val="%3."/>
      <w:lvlJc w:val="right"/>
      <w:pPr>
        <w:ind w:left="3603" w:hanging="180"/>
      </w:pPr>
    </w:lvl>
    <w:lvl w:ilvl="3" w:tplc="0415000F" w:tentative="1">
      <w:start w:val="1"/>
      <w:numFmt w:val="decimal"/>
      <w:lvlText w:val="%4."/>
      <w:lvlJc w:val="left"/>
      <w:pPr>
        <w:ind w:left="4323" w:hanging="360"/>
      </w:pPr>
    </w:lvl>
    <w:lvl w:ilvl="4" w:tplc="04150019" w:tentative="1">
      <w:start w:val="1"/>
      <w:numFmt w:val="lowerLetter"/>
      <w:lvlText w:val="%5."/>
      <w:lvlJc w:val="left"/>
      <w:pPr>
        <w:ind w:left="5043" w:hanging="360"/>
      </w:pPr>
    </w:lvl>
    <w:lvl w:ilvl="5" w:tplc="0415001B" w:tentative="1">
      <w:start w:val="1"/>
      <w:numFmt w:val="lowerRoman"/>
      <w:lvlText w:val="%6."/>
      <w:lvlJc w:val="right"/>
      <w:pPr>
        <w:ind w:left="5763" w:hanging="180"/>
      </w:pPr>
    </w:lvl>
    <w:lvl w:ilvl="6" w:tplc="0415000F" w:tentative="1">
      <w:start w:val="1"/>
      <w:numFmt w:val="decimal"/>
      <w:lvlText w:val="%7."/>
      <w:lvlJc w:val="left"/>
      <w:pPr>
        <w:ind w:left="6483" w:hanging="360"/>
      </w:pPr>
    </w:lvl>
    <w:lvl w:ilvl="7" w:tplc="04150019" w:tentative="1">
      <w:start w:val="1"/>
      <w:numFmt w:val="lowerLetter"/>
      <w:lvlText w:val="%8."/>
      <w:lvlJc w:val="left"/>
      <w:pPr>
        <w:ind w:left="7203" w:hanging="360"/>
      </w:pPr>
    </w:lvl>
    <w:lvl w:ilvl="8" w:tplc="0415001B" w:tentative="1">
      <w:start w:val="1"/>
      <w:numFmt w:val="lowerRoman"/>
      <w:lvlText w:val="%9."/>
      <w:lvlJc w:val="right"/>
      <w:pPr>
        <w:ind w:left="7923" w:hanging="180"/>
      </w:pPr>
    </w:lvl>
  </w:abstractNum>
  <w:abstractNum w:abstractNumId="1" w15:restartNumberingAfterBreak="0">
    <w:nsid w:val="06BA3B57"/>
    <w:multiLevelType w:val="hybridMultilevel"/>
    <w:tmpl w:val="4FEA4A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A546FB"/>
    <w:multiLevelType w:val="hybridMultilevel"/>
    <w:tmpl w:val="F5B4C4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E11CE7"/>
    <w:multiLevelType w:val="hybridMultilevel"/>
    <w:tmpl w:val="755829CE"/>
    <w:lvl w:ilvl="0" w:tplc="4A34249A">
      <w:start w:val="1"/>
      <w:numFmt w:val="decimal"/>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71038D"/>
    <w:multiLevelType w:val="hybridMultilevel"/>
    <w:tmpl w:val="AA82AC7A"/>
    <w:lvl w:ilvl="0" w:tplc="04150013">
      <w:start w:val="1"/>
      <w:numFmt w:val="upperRoman"/>
      <w:lvlText w:val="%1."/>
      <w:lvlJc w:val="right"/>
      <w:pPr>
        <w:ind w:left="2163" w:hanging="360"/>
      </w:pPr>
    </w:lvl>
    <w:lvl w:ilvl="1" w:tplc="04150019" w:tentative="1">
      <w:start w:val="1"/>
      <w:numFmt w:val="lowerLetter"/>
      <w:lvlText w:val="%2."/>
      <w:lvlJc w:val="left"/>
      <w:pPr>
        <w:ind w:left="2883" w:hanging="360"/>
      </w:pPr>
    </w:lvl>
    <w:lvl w:ilvl="2" w:tplc="0415001B" w:tentative="1">
      <w:start w:val="1"/>
      <w:numFmt w:val="lowerRoman"/>
      <w:lvlText w:val="%3."/>
      <w:lvlJc w:val="right"/>
      <w:pPr>
        <w:ind w:left="3603" w:hanging="180"/>
      </w:pPr>
    </w:lvl>
    <w:lvl w:ilvl="3" w:tplc="0415000F" w:tentative="1">
      <w:start w:val="1"/>
      <w:numFmt w:val="decimal"/>
      <w:lvlText w:val="%4."/>
      <w:lvlJc w:val="left"/>
      <w:pPr>
        <w:ind w:left="4323" w:hanging="360"/>
      </w:pPr>
    </w:lvl>
    <w:lvl w:ilvl="4" w:tplc="04150019" w:tentative="1">
      <w:start w:val="1"/>
      <w:numFmt w:val="lowerLetter"/>
      <w:lvlText w:val="%5."/>
      <w:lvlJc w:val="left"/>
      <w:pPr>
        <w:ind w:left="5043" w:hanging="360"/>
      </w:pPr>
    </w:lvl>
    <w:lvl w:ilvl="5" w:tplc="0415001B" w:tentative="1">
      <w:start w:val="1"/>
      <w:numFmt w:val="lowerRoman"/>
      <w:lvlText w:val="%6."/>
      <w:lvlJc w:val="right"/>
      <w:pPr>
        <w:ind w:left="5763" w:hanging="180"/>
      </w:pPr>
    </w:lvl>
    <w:lvl w:ilvl="6" w:tplc="0415000F" w:tentative="1">
      <w:start w:val="1"/>
      <w:numFmt w:val="decimal"/>
      <w:lvlText w:val="%7."/>
      <w:lvlJc w:val="left"/>
      <w:pPr>
        <w:ind w:left="6483" w:hanging="360"/>
      </w:pPr>
    </w:lvl>
    <w:lvl w:ilvl="7" w:tplc="04150019" w:tentative="1">
      <w:start w:val="1"/>
      <w:numFmt w:val="lowerLetter"/>
      <w:lvlText w:val="%8."/>
      <w:lvlJc w:val="left"/>
      <w:pPr>
        <w:ind w:left="7203" w:hanging="360"/>
      </w:pPr>
    </w:lvl>
    <w:lvl w:ilvl="8" w:tplc="0415001B" w:tentative="1">
      <w:start w:val="1"/>
      <w:numFmt w:val="lowerRoman"/>
      <w:lvlText w:val="%9."/>
      <w:lvlJc w:val="right"/>
      <w:pPr>
        <w:ind w:left="7923" w:hanging="180"/>
      </w:pPr>
    </w:lvl>
  </w:abstractNum>
  <w:abstractNum w:abstractNumId="5" w15:restartNumberingAfterBreak="0">
    <w:nsid w:val="137D67D8"/>
    <w:multiLevelType w:val="hybridMultilevel"/>
    <w:tmpl w:val="29BC5B9C"/>
    <w:lvl w:ilvl="0" w:tplc="34226E9E">
      <w:start w:val="2"/>
      <w:numFmt w:val="upperRoman"/>
      <w:lvlText w:val="%1."/>
      <w:lvlJc w:val="right"/>
      <w:pPr>
        <w:ind w:left="216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4E5100"/>
    <w:multiLevelType w:val="hybridMultilevel"/>
    <w:tmpl w:val="DD1C3A66"/>
    <w:lvl w:ilvl="0" w:tplc="A622DD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CE175C"/>
    <w:multiLevelType w:val="hybridMultilevel"/>
    <w:tmpl w:val="8A58C2F0"/>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4F34FC"/>
    <w:multiLevelType w:val="hybridMultilevel"/>
    <w:tmpl w:val="AA82AC7A"/>
    <w:lvl w:ilvl="0" w:tplc="04150013">
      <w:start w:val="1"/>
      <w:numFmt w:val="upperRoman"/>
      <w:lvlText w:val="%1."/>
      <w:lvlJc w:val="right"/>
      <w:pPr>
        <w:ind w:left="2163" w:hanging="360"/>
      </w:pPr>
    </w:lvl>
    <w:lvl w:ilvl="1" w:tplc="04150019" w:tentative="1">
      <w:start w:val="1"/>
      <w:numFmt w:val="lowerLetter"/>
      <w:lvlText w:val="%2."/>
      <w:lvlJc w:val="left"/>
      <w:pPr>
        <w:ind w:left="2883" w:hanging="360"/>
      </w:pPr>
    </w:lvl>
    <w:lvl w:ilvl="2" w:tplc="0415001B" w:tentative="1">
      <w:start w:val="1"/>
      <w:numFmt w:val="lowerRoman"/>
      <w:lvlText w:val="%3."/>
      <w:lvlJc w:val="right"/>
      <w:pPr>
        <w:ind w:left="3603" w:hanging="180"/>
      </w:pPr>
    </w:lvl>
    <w:lvl w:ilvl="3" w:tplc="0415000F" w:tentative="1">
      <w:start w:val="1"/>
      <w:numFmt w:val="decimal"/>
      <w:lvlText w:val="%4."/>
      <w:lvlJc w:val="left"/>
      <w:pPr>
        <w:ind w:left="4323" w:hanging="360"/>
      </w:pPr>
    </w:lvl>
    <w:lvl w:ilvl="4" w:tplc="04150019" w:tentative="1">
      <w:start w:val="1"/>
      <w:numFmt w:val="lowerLetter"/>
      <w:lvlText w:val="%5."/>
      <w:lvlJc w:val="left"/>
      <w:pPr>
        <w:ind w:left="5043" w:hanging="360"/>
      </w:pPr>
    </w:lvl>
    <w:lvl w:ilvl="5" w:tplc="0415001B" w:tentative="1">
      <w:start w:val="1"/>
      <w:numFmt w:val="lowerRoman"/>
      <w:lvlText w:val="%6."/>
      <w:lvlJc w:val="right"/>
      <w:pPr>
        <w:ind w:left="5763" w:hanging="180"/>
      </w:pPr>
    </w:lvl>
    <w:lvl w:ilvl="6" w:tplc="0415000F" w:tentative="1">
      <w:start w:val="1"/>
      <w:numFmt w:val="decimal"/>
      <w:lvlText w:val="%7."/>
      <w:lvlJc w:val="left"/>
      <w:pPr>
        <w:ind w:left="6483" w:hanging="360"/>
      </w:pPr>
    </w:lvl>
    <w:lvl w:ilvl="7" w:tplc="04150019" w:tentative="1">
      <w:start w:val="1"/>
      <w:numFmt w:val="lowerLetter"/>
      <w:lvlText w:val="%8."/>
      <w:lvlJc w:val="left"/>
      <w:pPr>
        <w:ind w:left="7203" w:hanging="360"/>
      </w:pPr>
    </w:lvl>
    <w:lvl w:ilvl="8" w:tplc="0415001B" w:tentative="1">
      <w:start w:val="1"/>
      <w:numFmt w:val="lowerRoman"/>
      <w:lvlText w:val="%9."/>
      <w:lvlJc w:val="right"/>
      <w:pPr>
        <w:ind w:left="7923" w:hanging="180"/>
      </w:pPr>
    </w:lvl>
  </w:abstractNum>
  <w:abstractNum w:abstractNumId="9" w15:restartNumberingAfterBreak="0">
    <w:nsid w:val="25486522"/>
    <w:multiLevelType w:val="hybridMultilevel"/>
    <w:tmpl w:val="78BC4D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624FB3"/>
    <w:multiLevelType w:val="hybridMultilevel"/>
    <w:tmpl w:val="504252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586583"/>
    <w:multiLevelType w:val="hybridMultilevel"/>
    <w:tmpl w:val="030C4122"/>
    <w:lvl w:ilvl="0" w:tplc="1892D83E">
      <w:start w:val="1"/>
      <w:numFmt w:val="bullet"/>
      <w:lvlText w:val=""/>
      <w:lvlJc w:val="left"/>
      <w:pPr>
        <w:ind w:left="2517" w:hanging="360"/>
      </w:pPr>
      <w:rPr>
        <w:rFonts w:ascii="Symbol" w:hAnsi="Symbol" w:hint="default"/>
        <w:strike w:val="0"/>
      </w:rPr>
    </w:lvl>
    <w:lvl w:ilvl="1" w:tplc="04150003">
      <w:start w:val="1"/>
      <w:numFmt w:val="bullet"/>
      <w:lvlText w:val="o"/>
      <w:lvlJc w:val="left"/>
      <w:pPr>
        <w:ind w:left="3237" w:hanging="360"/>
      </w:pPr>
      <w:rPr>
        <w:rFonts w:ascii="Courier New" w:hAnsi="Courier New" w:cs="Courier New" w:hint="default"/>
      </w:rPr>
    </w:lvl>
    <w:lvl w:ilvl="2" w:tplc="04150005" w:tentative="1">
      <w:start w:val="1"/>
      <w:numFmt w:val="bullet"/>
      <w:lvlText w:val=""/>
      <w:lvlJc w:val="left"/>
      <w:pPr>
        <w:ind w:left="3957" w:hanging="360"/>
      </w:pPr>
      <w:rPr>
        <w:rFonts w:ascii="Wingdings" w:hAnsi="Wingdings" w:hint="default"/>
      </w:rPr>
    </w:lvl>
    <w:lvl w:ilvl="3" w:tplc="04150001" w:tentative="1">
      <w:start w:val="1"/>
      <w:numFmt w:val="bullet"/>
      <w:lvlText w:val=""/>
      <w:lvlJc w:val="left"/>
      <w:pPr>
        <w:ind w:left="4677" w:hanging="360"/>
      </w:pPr>
      <w:rPr>
        <w:rFonts w:ascii="Symbol" w:hAnsi="Symbol" w:hint="default"/>
      </w:rPr>
    </w:lvl>
    <w:lvl w:ilvl="4" w:tplc="04150003" w:tentative="1">
      <w:start w:val="1"/>
      <w:numFmt w:val="bullet"/>
      <w:lvlText w:val="o"/>
      <w:lvlJc w:val="left"/>
      <w:pPr>
        <w:ind w:left="5397" w:hanging="360"/>
      </w:pPr>
      <w:rPr>
        <w:rFonts w:ascii="Courier New" w:hAnsi="Courier New" w:cs="Courier New" w:hint="default"/>
      </w:rPr>
    </w:lvl>
    <w:lvl w:ilvl="5" w:tplc="04150005" w:tentative="1">
      <w:start w:val="1"/>
      <w:numFmt w:val="bullet"/>
      <w:lvlText w:val=""/>
      <w:lvlJc w:val="left"/>
      <w:pPr>
        <w:ind w:left="6117" w:hanging="360"/>
      </w:pPr>
      <w:rPr>
        <w:rFonts w:ascii="Wingdings" w:hAnsi="Wingdings" w:hint="default"/>
      </w:rPr>
    </w:lvl>
    <w:lvl w:ilvl="6" w:tplc="04150001" w:tentative="1">
      <w:start w:val="1"/>
      <w:numFmt w:val="bullet"/>
      <w:lvlText w:val=""/>
      <w:lvlJc w:val="left"/>
      <w:pPr>
        <w:ind w:left="6837" w:hanging="360"/>
      </w:pPr>
      <w:rPr>
        <w:rFonts w:ascii="Symbol" w:hAnsi="Symbol" w:hint="default"/>
      </w:rPr>
    </w:lvl>
    <w:lvl w:ilvl="7" w:tplc="04150003" w:tentative="1">
      <w:start w:val="1"/>
      <w:numFmt w:val="bullet"/>
      <w:lvlText w:val="o"/>
      <w:lvlJc w:val="left"/>
      <w:pPr>
        <w:ind w:left="7557" w:hanging="360"/>
      </w:pPr>
      <w:rPr>
        <w:rFonts w:ascii="Courier New" w:hAnsi="Courier New" w:cs="Courier New" w:hint="default"/>
      </w:rPr>
    </w:lvl>
    <w:lvl w:ilvl="8" w:tplc="04150005" w:tentative="1">
      <w:start w:val="1"/>
      <w:numFmt w:val="bullet"/>
      <w:lvlText w:val=""/>
      <w:lvlJc w:val="left"/>
      <w:pPr>
        <w:ind w:left="8277" w:hanging="360"/>
      </w:pPr>
      <w:rPr>
        <w:rFonts w:ascii="Wingdings" w:hAnsi="Wingdings" w:hint="default"/>
      </w:rPr>
    </w:lvl>
  </w:abstractNum>
  <w:abstractNum w:abstractNumId="12" w15:restartNumberingAfterBreak="0">
    <w:nsid w:val="343460BC"/>
    <w:multiLevelType w:val="hybridMultilevel"/>
    <w:tmpl w:val="52945C58"/>
    <w:lvl w:ilvl="0" w:tplc="190E711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39CB569C"/>
    <w:multiLevelType w:val="hybridMultilevel"/>
    <w:tmpl w:val="64F8EE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BD16DF7"/>
    <w:multiLevelType w:val="hybridMultilevel"/>
    <w:tmpl w:val="E71EE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41B79E3"/>
    <w:multiLevelType w:val="hybridMultilevel"/>
    <w:tmpl w:val="A7DAF6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46904CE"/>
    <w:multiLevelType w:val="hybridMultilevel"/>
    <w:tmpl w:val="38C2C1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116037"/>
    <w:multiLevelType w:val="hybridMultilevel"/>
    <w:tmpl w:val="4C025C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847664B"/>
    <w:multiLevelType w:val="hybridMultilevel"/>
    <w:tmpl w:val="B6823506"/>
    <w:lvl w:ilvl="0" w:tplc="918E5D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89B062B"/>
    <w:multiLevelType w:val="hybridMultilevel"/>
    <w:tmpl w:val="685623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2B62BA5"/>
    <w:multiLevelType w:val="multilevel"/>
    <w:tmpl w:val="147ADFF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69DF4CF8"/>
    <w:multiLevelType w:val="hybridMultilevel"/>
    <w:tmpl w:val="932808C2"/>
    <w:lvl w:ilvl="0" w:tplc="FB38604A">
      <w:start w:val="1"/>
      <w:numFmt w:val="lowerLetter"/>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2" w15:restartNumberingAfterBreak="0">
    <w:nsid w:val="772217A5"/>
    <w:multiLevelType w:val="multilevel"/>
    <w:tmpl w:val="7F3EE4F0"/>
    <w:lvl w:ilvl="0">
      <w:start w:val="1"/>
      <w:numFmt w:val="decimal"/>
      <w:lvlText w:val="%1."/>
      <w:lvlJc w:val="left"/>
      <w:pPr>
        <w:tabs>
          <w:tab w:val="num" w:pos="360"/>
        </w:tabs>
        <w:ind w:left="360" w:hanging="360"/>
      </w:pPr>
      <w:rPr>
        <w:rFonts w:ascii="Arial" w:hAnsi="Arial" w:cs="Times New Roman"/>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7EF01AC2"/>
    <w:multiLevelType w:val="hybridMultilevel"/>
    <w:tmpl w:val="CE288FE2"/>
    <w:lvl w:ilvl="0" w:tplc="E80A66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
  </w:num>
  <w:num w:numId="4">
    <w:abstractNumId w:val="21"/>
  </w:num>
  <w:num w:numId="5">
    <w:abstractNumId w:val="3"/>
  </w:num>
  <w:num w:numId="6">
    <w:abstractNumId w:val="16"/>
  </w:num>
  <w:num w:numId="7">
    <w:abstractNumId w:val="19"/>
  </w:num>
  <w:num w:numId="8">
    <w:abstractNumId w:val="11"/>
  </w:num>
  <w:num w:numId="9">
    <w:abstractNumId w:val="4"/>
  </w:num>
  <w:num w:numId="10">
    <w:abstractNumId w:val="8"/>
  </w:num>
  <w:num w:numId="11">
    <w:abstractNumId w:val="0"/>
  </w:num>
  <w:num w:numId="12">
    <w:abstractNumId w:val="6"/>
  </w:num>
  <w:num w:numId="13">
    <w:abstractNumId w:val="7"/>
  </w:num>
  <w:num w:numId="14">
    <w:abstractNumId w:val="5"/>
  </w:num>
  <w:num w:numId="15">
    <w:abstractNumId w:val="23"/>
  </w:num>
  <w:num w:numId="16">
    <w:abstractNumId w:val="12"/>
  </w:num>
  <w:num w:numId="17">
    <w:abstractNumId w:val="15"/>
  </w:num>
  <w:num w:numId="18">
    <w:abstractNumId w:val="10"/>
  </w:num>
  <w:num w:numId="19">
    <w:abstractNumId w:val="18"/>
  </w:num>
  <w:num w:numId="20">
    <w:abstractNumId w:val="20"/>
  </w:num>
  <w:num w:numId="21">
    <w:abstractNumId w:val="22"/>
  </w:num>
  <w:num w:numId="22">
    <w:abstractNumId w:val="2"/>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E"/>
    <w:rsid w:val="000055D1"/>
    <w:rsid w:val="00045022"/>
    <w:rsid w:val="00055F02"/>
    <w:rsid w:val="00066B91"/>
    <w:rsid w:val="00086F9E"/>
    <w:rsid w:val="000911FA"/>
    <w:rsid w:val="001268F2"/>
    <w:rsid w:val="001504B1"/>
    <w:rsid w:val="00157443"/>
    <w:rsid w:val="001A15F2"/>
    <w:rsid w:val="001B4F02"/>
    <w:rsid w:val="001C7A40"/>
    <w:rsid w:val="001C7F4A"/>
    <w:rsid w:val="001E2CD3"/>
    <w:rsid w:val="00221121"/>
    <w:rsid w:val="002A2D27"/>
    <w:rsid w:val="002B138E"/>
    <w:rsid w:val="002C5559"/>
    <w:rsid w:val="002C6D7C"/>
    <w:rsid w:val="003205AC"/>
    <w:rsid w:val="00357634"/>
    <w:rsid w:val="0036799C"/>
    <w:rsid w:val="00387A32"/>
    <w:rsid w:val="003D2ADF"/>
    <w:rsid w:val="003F23C5"/>
    <w:rsid w:val="004153D9"/>
    <w:rsid w:val="00420749"/>
    <w:rsid w:val="00420D5F"/>
    <w:rsid w:val="004257F6"/>
    <w:rsid w:val="004600D2"/>
    <w:rsid w:val="00464EFE"/>
    <w:rsid w:val="00475701"/>
    <w:rsid w:val="00482241"/>
    <w:rsid w:val="00491AC6"/>
    <w:rsid w:val="004A54C0"/>
    <w:rsid w:val="004B56B1"/>
    <w:rsid w:val="004C7636"/>
    <w:rsid w:val="005003AF"/>
    <w:rsid w:val="00513BAB"/>
    <w:rsid w:val="00541719"/>
    <w:rsid w:val="00566B29"/>
    <w:rsid w:val="005863E0"/>
    <w:rsid w:val="005D3D65"/>
    <w:rsid w:val="005F12B2"/>
    <w:rsid w:val="005F52C3"/>
    <w:rsid w:val="006052F1"/>
    <w:rsid w:val="00623F39"/>
    <w:rsid w:val="006A76C9"/>
    <w:rsid w:val="006E6162"/>
    <w:rsid w:val="00795193"/>
    <w:rsid w:val="007A3DAC"/>
    <w:rsid w:val="007A6CF1"/>
    <w:rsid w:val="007B36DE"/>
    <w:rsid w:val="007B6701"/>
    <w:rsid w:val="00800404"/>
    <w:rsid w:val="00804449"/>
    <w:rsid w:val="00820EA5"/>
    <w:rsid w:val="00851141"/>
    <w:rsid w:val="00863F54"/>
    <w:rsid w:val="00877131"/>
    <w:rsid w:val="008E275C"/>
    <w:rsid w:val="00902433"/>
    <w:rsid w:val="009072A7"/>
    <w:rsid w:val="0091386A"/>
    <w:rsid w:val="00936ADB"/>
    <w:rsid w:val="00941AFB"/>
    <w:rsid w:val="00966D6A"/>
    <w:rsid w:val="009834FE"/>
    <w:rsid w:val="009A5F50"/>
    <w:rsid w:val="009B05F8"/>
    <w:rsid w:val="00A0077D"/>
    <w:rsid w:val="00A814BC"/>
    <w:rsid w:val="00A97AA4"/>
    <w:rsid w:val="00AB0F0E"/>
    <w:rsid w:val="00AD014B"/>
    <w:rsid w:val="00AE1645"/>
    <w:rsid w:val="00B20F45"/>
    <w:rsid w:val="00B21773"/>
    <w:rsid w:val="00B24AC3"/>
    <w:rsid w:val="00B3053E"/>
    <w:rsid w:val="00B4773E"/>
    <w:rsid w:val="00B50CAA"/>
    <w:rsid w:val="00B72C14"/>
    <w:rsid w:val="00B7557F"/>
    <w:rsid w:val="00B908A1"/>
    <w:rsid w:val="00B90FFB"/>
    <w:rsid w:val="00B9433D"/>
    <w:rsid w:val="00BA5D67"/>
    <w:rsid w:val="00BB4D56"/>
    <w:rsid w:val="00BD40B9"/>
    <w:rsid w:val="00BE0AC9"/>
    <w:rsid w:val="00C03CC2"/>
    <w:rsid w:val="00C24F66"/>
    <w:rsid w:val="00C70328"/>
    <w:rsid w:val="00C73E77"/>
    <w:rsid w:val="00CD0F8F"/>
    <w:rsid w:val="00CF0656"/>
    <w:rsid w:val="00CF520A"/>
    <w:rsid w:val="00CF7DCE"/>
    <w:rsid w:val="00D06582"/>
    <w:rsid w:val="00D33A31"/>
    <w:rsid w:val="00D43A79"/>
    <w:rsid w:val="00D648D1"/>
    <w:rsid w:val="00DF3500"/>
    <w:rsid w:val="00DF5327"/>
    <w:rsid w:val="00E019ED"/>
    <w:rsid w:val="00E02EF5"/>
    <w:rsid w:val="00E2130E"/>
    <w:rsid w:val="00E50363"/>
    <w:rsid w:val="00E50E78"/>
    <w:rsid w:val="00E67BA6"/>
    <w:rsid w:val="00E76CF8"/>
    <w:rsid w:val="00E945B0"/>
    <w:rsid w:val="00EA3CCF"/>
    <w:rsid w:val="00EC3841"/>
    <w:rsid w:val="00EC64AA"/>
    <w:rsid w:val="00EE0F0B"/>
    <w:rsid w:val="00EF41AF"/>
    <w:rsid w:val="00EF48B7"/>
    <w:rsid w:val="00F05E4F"/>
    <w:rsid w:val="00F129CB"/>
    <w:rsid w:val="00F45C8B"/>
    <w:rsid w:val="00F50241"/>
    <w:rsid w:val="00F61A16"/>
    <w:rsid w:val="00F77F90"/>
    <w:rsid w:val="00FA7538"/>
    <w:rsid w:val="00FB43A1"/>
    <w:rsid w:val="00FE386D"/>
    <w:rsid w:val="00FF48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FB27D7-0116-4011-9D68-609E8D26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0243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B50CAA"/>
    <w:pPr>
      <w:ind w:left="720"/>
      <w:contextualSpacing/>
    </w:pPr>
  </w:style>
  <w:style w:type="paragraph" w:customStyle="1" w:styleId="Default">
    <w:name w:val="Default"/>
    <w:rsid w:val="00B50CAA"/>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EF41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41AF"/>
  </w:style>
  <w:style w:type="paragraph" w:styleId="Stopka">
    <w:name w:val="footer"/>
    <w:basedOn w:val="Normalny"/>
    <w:link w:val="StopkaZnak"/>
    <w:uiPriority w:val="99"/>
    <w:unhideWhenUsed/>
    <w:rsid w:val="00EF41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41AF"/>
  </w:style>
  <w:style w:type="character" w:styleId="Odwoaniedokomentarza">
    <w:name w:val="annotation reference"/>
    <w:basedOn w:val="Domylnaczcionkaakapitu"/>
    <w:uiPriority w:val="99"/>
    <w:semiHidden/>
    <w:unhideWhenUsed/>
    <w:rsid w:val="002C5559"/>
    <w:rPr>
      <w:sz w:val="16"/>
      <w:szCs w:val="16"/>
    </w:rPr>
  </w:style>
  <w:style w:type="paragraph" w:styleId="Tekstkomentarza">
    <w:name w:val="annotation text"/>
    <w:basedOn w:val="Normalny"/>
    <w:link w:val="TekstkomentarzaZnak"/>
    <w:uiPriority w:val="99"/>
    <w:semiHidden/>
    <w:unhideWhenUsed/>
    <w:rsid w:val="002C55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C5559"/>
    <w:rPr>
      <w:sz w:val="20"/>
      <w:szCs w:val="20"/>
    </w:rPr>
  </w:style>
  <w:style w:type="paragraph" w:styleId="Tematkomentarza">
    <w:name w:val="annotation subject"/>
    <w:basedOn w:val="Tekstkomentarza"/>
    <w:next w:val="Tekstkomentarza"/>
    <w:link w:val="TematkomentarzaZnak"/>
    <w:uiPriority w:val="99"/>
    <w:semiHidden/>
    <w:unhideWhenUsed/>
    <w:rsid w:val="002C5559"/>
    <w:rPr>
      <w:b/>
      <w:bCs/>
    </w:rPr>
  </w:style>
  <w:style w:type="character" w:customStyle="1" w:styleId="TematkomentarzaZnak">
    <w:name w:val="Temat komentarza Znak"/>
    <w:basedOn w:val="TekstkomentarzaZnak"/>
    <w:link w:val="Tematkomentarza"/>
    <w:uiPriority w:val="99"/>
    <w:semiHidden/>
    <w:rsid w:val="002C5559"/>
    <w:rPr>
      <w:b/>
      <w:bCs/>
      <w:sz w:val="20"/>
      <w:szCs w:val="20"/>
    </w:rPr>
  </w:style>
  <w:style w:type="paragraph" w:styleId="Tekstdymka">
    <w:name w:val="Balloon Text"/>
    <w:basedOn w:val="Normalny"/>
    <w:link w:val="TekstdymkaZnak"/>
    <w:uiPriority w:val="99"/>
    <w:semiHidden/>
    <w:unhideWhenUsed/>
    <w:rsid w:val="002C555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5559"/>
    <w:rPr>
      <w:rFonts w:ascii="Segoe UI" w:hAnsi="Segoe UI" w:cs="Segoe UI"/>
      <w:sz w:val="18"/>
      <w:szCs w:val="18"/>
    </w:rPr>
  </w:style>
  <w:style w:type="character" w:customStyle="1" w:styleId="AkapitzlistZnak">
    <w:name w:val="Akapit z listą Znak"/>
    <w:link w:val="Akapitzlist"/>
    <w:uiPriority w:val="34"/>
    <w:rsid w:val="00EA3CCF"/>
  </w:style>
  <w:style w:type="paragraph" w:customStyle="1" w:styleId="db">
    <w:name w:val="db"/>
    <w:qFormat/>
    <w:rsid w:val="00420D5F"/>
    <w:pPr>
      <w:spacing w:after="0" w:line="240" w:lineRule="auto"/>
    </w:pPr>
    <w:rPr>
      <w:rFonts w:ascii="Times New Roman" w:eastAsia="SimSun" w:hAnsi="Times New Roman" w:cs="Times New Roman"/>
      <w:color w:val="000000"/>
      <w:sz w:val="28"/>
      <w:szCs w:val="20"/>
      <w:lang w:eastAsia="pl-PL"/>
    </w:rPr>
  </w:style>
  <w:style w:type="character" w:customStyle="1" w:styleId="colour">
    <w:name w:val="colour"/>
    <w:basedOn w:val="Domylnaczcionkaakapitu"/>
    <w:rsid w:val="00B21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124256">
      <w:bodyDiv w:val="1"/>
      <w:marLeft w:val="0"/>
      <w:marRight w:val="0"/>
      <w:marTop w:val="0"/>
      <w:marBottom w:val="0"/>
      <w:divBdr>
        <w:top w:val="none" w:sz="0" w:space="0" w:color="auto"/>
        <w:left w:val="none" w:sz="0" w:space="0" w:color="auto"/>
        <w:bottom w:val="none" w:sz="0" w:space="0" w:color="auto"/>
        <w:right w:val="none" w:sz="0" w:space="0" w:color="auto"/>
      </w:divBdr>
    </w:div>
    <w:div w:id="515921930">
      <w:bodyDiv w:val="1"/>
      <w:marLeft w:val="0"/>
      <w:marRight w:val="0"/>
      <w:marTop w:val="0"/>
      <w:marBottom w:val="0"/>
      <w:divBdr>
        <w:top w:val="none" w:sz="0" w:space="0" w:color="auto"/>
        <w:left w:val="none" w:sz="0" w:space="0" w:color="auto"/>
        <w:bottom w:val="none" w:sz="0" w:space="0" w:color="auto"/>
        <w:right w:val="none" w:sz="0" w:space="0" w:color="auto"/>
      </w:divBdr>
    </w:div>
    <w:div w:id="1618758568">
      <w:bodyDiv w:val="1"/>
      <w:marLeft w:val="0"/>
      <w:marRight w:val="0"/>
      <w:marTop w:val="0"/>
      <w:marBottom w:val="0"/>
      <w:divBdr>
        <w:top w:val="none" w:sz="0" w:space="0" w:color="auto"/>
        <w:left w:val="none" w:sz="0" w:space="0" w:color="auto"/>
        <w:bottom w:val="none" w:sz="0" w:space="0" w:color="auto"/>
        <w:right w:val="none" w:sz="0" w:space="0" w:color="auto"/>
      </w:divBdr>
    </w:div>
    <w:div w:id="213683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5</Pages>
  <Words>1223</Words>
  <Characters>7342</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Sławek</dc:creator>
  <cp:keywords/>
  <dc:description/>
  <cp:lastModifiedBy>Sławek</cp:lastModifiedBy>
  <cp:revision>87</cp:revision>
  <cp:lastPrinted>2018-08-24T08:11:00Z</cp:lastPrinted>
  <dcterms:created xsi:type="dcterms:W3CDTF">2018-08-20T09:37:00Z</dcterms:created>
  <dcterms:modified xsi:type="dcterms:W3CDTF">2020-09-22T11:44:00Z</dcterms:modified>
</cp:coreProperties>
</file>