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CE" w:rsidRPr="00406060" w:rsidRDefault="00B14ECE" w:rsidP="00B14ECE">
      <w:pPr>
        <w:spacing w:after="0" w:line="240" w:lineRule="auto"/>
        <w:jc w:val="center"/>
        <w:rPr>
          <w:rFonts w:eastAsia="Times New Roman" w:cs="Times New Roman"/>
          <w:b/>
          <w:bCs/>
          <w:u w:color="000000"/>
          <w:lang w:eastAsia="pl-PL"/>
        </w:rPr>
      </w:pPr>
      <w:r w:rsidRPr="00406060">
        <w:rPr>
          <w:rFonts w:eastAsia="Times New Roman" w:cs="Times New Roman"/>
          <w:b/>
          <w:bCs/>
          <w:u w:color="000000"/>
          <w:lang w:eastAsia="pl-PL"/>
        </w:rPr>
        <w:t>Ogłoszenie nr GR.GN 6840.</w:t>
      </w:r>
      <w:r>
        <w:rPr>
          <w:rFonts w:eastAsia="Times New Roman" w:cs="Times New Roman"/>
          <w:b/>
          <w:bCs/>
          <w:u w:color="000000"/>
          <w:lang w:eastAsia="pl-PL"/>
        </w:rPr>
        <w:t xml:space="preserve"> </w:t>
      </w:r>
      <w:r w:rsidR="00060995">
        <w:rPr>
          <w:rFonts w:eastAsia="Times New Roman" w:cs="Times New Roman"/>
          <w:b/>
          <w:bCs/>
          <w:u w:color="000000"/>
          <w:lang w:eastAsia="pl-PL"/>
        </w:rPr>
        <w:t>4</w:t>
      </w:r>
      <w:bookmarkStart w:id="0" w:name="_GoBack"/>
      <w:bookmarkEnd w:id="0"/>
      <w:r>
        <w:rPr>
          <w:rFonts w:eastAsia="Times New Roman" w:cs="Times New Roman"/>
          <w:b/>
          <w:bCs/>
          <w:u w:color="000000"/>
          <w:lang w:eastAsia="pl-PL"/>
        </w:rPr>
        <w:t xml:space="preserve"> </w:t>
      </w:r>
      <w:r w:rsidRPr="00406060">
        <w:rPr>
          <w:rFonts w:eastAsia="Times New Roman" w:cs="Times New Roman"/>
          <w:b/>
          <w:bCs/>
          <w:u w:color="000000"/>
          <w:lang w:eastAsia="pl-PL"/>
        </w:rPr>
        <w:t>.202</w:t>
      </w:r>
      <w:r>
        <w:rPr>
          <w:rFonts w:eastAsia="Times New Roman" w:cs="Times New Roman"/>
          <w:b/>
          <w:bCs/>
          <w:u w:color="000000"/>
          <w:lang w:eastAsia="pl-PL"/>
        </w:rPr>
        <w:t>3P</w:t>
      </w:r>
    </w:p>
    <w:p w:rsidR="00B14ECE" w:rsidRPr="00406060" w:rsidRDefault="00B14ECE" w:rsidP="00B14ECE">
      <w:pPr>
        <w:spacing w:after="0" w:line="240" w:lineRule="auto"/>
        <w:jc w:val="center"/>
        <w:rPr>
          <w:rFonts w:eastAsia="Times New Roman" w:cs="Times New Roman"/>
          <w:b/>
          <w:bCs/>
          <w:u w:color="000000"/>
          <w:lang w:eastAsia="pl-PL"/>
        </w:rPr>
      </w:pPr>
      <w:r>
        <w:rPr>
          <w:rFonts w:eastAsia="Times New Roman" w:cs="Times New Roman"/>
          <w:b/>
          <w:bCs/>
          <w:u w:color="000000"/>
          <w:lang w:eastAsia="pl-PL"/>
        </w:rPr>
        <w:t>Wójta Gminy Herby z dnia 24</w:t>
      </w:r>
      <w:r w:rsidRPr="00406060">
        <w:rPr>
          <w:rFonts w:eastAsia="Times New Roman" w:cs="Times New Roman"/>
          <w:b/>
          <w:bCs/>
          <w:u w:color="000000"/>
          <w:lang w:eastAsia="pl-PL"/>
        </w:rPr>
        <w:t>.</w:t>
      </w:r>
      <w:r>
        <w:rPr>
          <w:rFonts w:eastAsia="Times New Roman" w:cs="Times New Roman"/>
          <w:b/>
          <w:bCs/>
          <w:u w:color="000000"/>
          <w:lang w:eastAsia="pl-PL"/>
        </w:rPr>
        <w:t>04</w:t>
      </w:r>
      <w:r w:rsidRPr="00406060">
        <w:rPr>
          <w:rFonts w:eastAsia="Times New Roman" w:cs="Times New Roman"/>
          <w:b/>
          <w:bCs/>
          <w:u w:color="000000"/>
          <w:lang w:eastAsia="pl-PL"/>
        </w:rPr>
        <w:t>.202</w:t>
      </w:r>
      <w:r>
        <w:rPr>
          <w:rFonts w:eastAsia="Times New Roman" w:cs="Times New Roman"/>
          <w:b/>
          <w:bCs/>
          <w:u w:color="000000"/>
          <w:lang w:eastAsia="pl-PL"/>
        </w:rPr>
        <w:t>3</w:t>
      </w:r>
      <w:r w:rsidRPr="00406060">
        <w:rPr>
          <w:rFonts w:eastAsia="Times New Roman" w:cs="Times New Roman"/>
          <w:b/>
          <w:bCs/>
          <w:u w:color="000000"/>
          <w:lang w:eastAsia="pl-PL"/>
        </w:rPr>
        <w:t>r. o przetargu</w:t>
      </w:r>
    </w:p>
    <w:p w:rsidR="00B14ECE" w:rsidRPr="00406060" w:rsidRDefault="00B14ECE" w:rsidP="00B14ECE">
      <w:pPr>
        <w:spacing w:after="0" w:line="240" w:lineRule="auto"/>
        <w:rPr>
          <w:rFonts w:eastAsia="Times New Roman" w:cs="Times New Roman"/>
          <w:b/>
          <w:bCs/>
          <w:u w:color="000000"/>
          <w:lang w:eastAsia="pl-PL"/>
        </w:rPr>
      </w:pPr>
    </w:p>
    <w:p w:rsidR="00B14ECE" w:rsidRPr="00406060" w:rsidRDefault="00B14ECE" w:rsidP="00B14ECE">
      <w:pPr>
        <w:spacing w:after="0" w:line="240" w:lineRule="auto"/>
        <w:rPr>
          <w:rFonts w:eastAsia="Times New Roman" w:cs="Arial"/>
          <w:b/>
          <w:bCs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 xml:space="preserve">Na podstawie art. 38 ust. 1 i 2 ustawy z dnia 21 sierpnia 1997 roku o gospodarce nieruchomościami </w:t>
      </w:r>
      <w:r w:rsidRPr="00406060">
        <w:rPr>
          <w:rFonts w:eastAsia="Times New Roman" w:cs="Times New Roman"/>
          <w:u w:color="000000"/>
          <w:lang w:eastAsia="pl-PL"/>
        </w:rPr>
        <w:t>(</w:t>
      </w:r>
      <w:proofErr w:type="spellStart"/>
      <w:r w:rsidRPr="00406060">
        <w:rPr>
          <w:rFonts w:eastAsia="Times New Roman" w:cs="Times New Roman"/>
          <w:u w:color="000000"/>
          <w:lang w:eastAsia="pl-PL"/>
        </w:rPr>
        <w:t>t.j</w:t>
      </w:r>
      <w:proofErr w:type="spellEnd"/>
      <w:r w:rsidRPr="00406060">
        <w:rPr>
          <w:rFonts w:eastAsia="Times New Roman" w:cs="Times New Roman"/>
          <w:u w:color="000000"/>
          <w:lang w:eastAsia="pl-PL"/>
        </w:rPr>
        <w:t>. Dz. U. z 202</w:t>
      </w:r>
      <w:r>
        <w:rPr>
          <w:rFonts w:eastAsia="Times New Roman" w:cs="Times New Roman"/>
          <w:u w:color="000000"/>
          <w:lang w:eastAsia="pl-PL"/>
        </w:rPr>
        <w:t>3</w:t>
      </w:r>
      <w:r w:rsidRPr="00406060">
        <w:rPr>
          <w:rFonts w:eastAsia="Times New Roman" w:cs="Times New Roman"/>
          <w:u w:color="000000"/>
          <w:lang w:eastAsia="pl-PL"/>
        </w:rPr>
        <w:t xml:space="preserve"> r. poz.  </w:t>
      </w:r>
      <w:r>
        <w:rPr>
          <w:rFonts w:eastAsia="Times New Roman" w:cs="Times New Roman"/>
          <w:u w:color="000000"/>
          <w:lang w:eastAsia="pl-PL"/>
        </w:rPr>
        <w:t>344</w:t>
      </w:r>
      <w:r w:rsidRPr="00406060">
        <w:rPr>
          <w:rFonts w:eastAsia="Times New Roman" w:cs="Times New Roman"/>
          <w:u w:color="000000"/>
          <w:lang w:eastAsia="pl-PL"/>
        </w:rPr>
        <w:t xml:space="preserve"> ze zm.) </w:t>
      </w:r>
      <w:r w:rsidRPr="00406060">
        <w:rPr>
          <w:rFonts w:eastAsia="Times New Roman" w:cs="Arial"/>
          <w:iCs/>
          <w:u w:color="000000"/>
          <w:lang w:eastAsia="pl-PL"/>
        </w:rPr>
        <w:t>oraz Rozporządzenia Rady Ministrów z dnia 14 września 2004 r w sprawie sposobu i trybu przeprowadzania przetargów oraz rokowań na zbycie nieruchomości ( Dz. U. z 2021r.</w:t>
      </w:r>
      <w:r>
        <w:rPr>
          <w:rFonts w:eastAsia="Times New Roman" w:cs="Arial"/>
          <w:iCs/>
          <w:u w:color="000000"/>
          <w:lang w:eastAsia="pl-PL"/>
        </w:rPr>
        <w:t xml:space="preserve"> </w:t>
      </w:r>
      <w:r w:rsidRPr="00406060">
        <w:rPr>
          <w:rFonts w:eastAsia="Times New Roman" w:cs="Arial"/>
          <w:iCs/>
          <w:u w:color="000000"/>
          <w:lang w:eastAsia="pl-PL"/>
        </w:rPr>
        <w:t xml:space="preserve">poz. 2213) 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 xml:space="preserve">Wójt Gminy Herby ogłasza przetarg ustny nieograniczony na sprzedaż nieruchomości.  </w:t>
      </w:r>
    </w:p>
    <w:p w:rsidR="00B14ECE" w:rsidRPr="00406060" w:rsidRDefault="00B14ECE" w:rsidP="00B14ECE">
      <w:pPr>
        <w:spacing w:after="0" w:line="240" w:lineRule="auto"/>
        <w:rPr>
          <w:rFonts w:eastAsia="Times New Roman" w:cs="Arial"/>
          <w:b/>
          <w:bCs/>
          <w:iCs/>
          <w:u w:color="000000"/>
          <w:lang w:eastAsia="pl-PL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701"/>
        <w:gridCol w:w="992"/>
        <w:gridCol w:w="992"/>
        <w:gridCol w:w="7513"/>
        <w:gridCol w:w="1276"/>
        <w:gridCol w:w="1134"/>
      </w:tblGrid>
      <w:tr w:rsidR="00B14ECE" w:rsidRPr="00406060" w:rsidTr="00473D03">
        <w:tc>
          <w:tcPr>
            <w:tcW w:w="496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l.p.</w:t>
            </w:r>
          </w:p>
        </w:tc>
        <w:tc>
          <w:tcPr>
            <w:tcW w:w="992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Nr działki</w:t>
            </w:r>
          </w:p>
        </w:tc>
        <w:tc>
          <w:tcPr>
            <w:tcW w:w="1701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Nr</w:t>
            </w:r>
          </w:p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księgi wieczystej</w:t>
            </w:r>
          </w:p>
        </w:tc>
        <w:tc>
          <w:tcPr>
            <w:tcW w:w="992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Położenie</w:t>
            </w:r>
          </w:p>
        </w:tc>
        <w:tc>
          <w:tcPr>
            <w:tcW w:w="992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Karta mapy</w:t>
            </w:r>
          </w:p>
        </w:tc>
        <w:tc>
          <w:tcPr>
            <w:tcW w:w="7513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Opis nieruchomości</w:t>
            </w:r>
          </w:p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1276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 xml:space="preserve">Cena zł </w:t>
            </w:r>
          </w:p>
        </w:tc>
        <w:tc>
          <w:tcPr>
            <w:tcW w:w="1134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Wadium zł</w:t>
            </w:r>
          </w:p>
        </w:tc>
      </w:tr>
      <w:tr w:rsidR="00B14ECE" w:rsidRPr="00406060" w:rsidTr="00473D03">
        <w:trPr>
          <w:cantSplit/>
        </w:trPr>
        <w:tc>
          <w:tcPr>
            <w:tcW w:w="496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992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1329/429</w:t>
            </w:r>
          </w:p>
        </w:tc>
        <w:tc>
          <w:tcPr>
            <w:tcW w:w="1701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20334/7</w:t>
            </w: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 i dział IV KW wolny od obciążeń</w:t>
            </w:r>
          </w:p>
        </w:tc>
        <w:tc>
          <w:tcPr>
            <w:tcW w:w="992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Olszyna</w:t>
            </w:r>
          </w:p>
        </w:tc>
        <w:tc>
          <w:tcPr>
            <w:tcW w:w="992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1 obręb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Olszyna</w:t>
            </w:r>
          </w:p>
        </w:tc>
        <w:tc>
          <w:tcPr>
            <w:tcW w:w="7513" w:type="dxa"/>
          </w:tcPr>
          <w:p w:rsidR="00B14ECE" w:rsidRPr="00C71060" w:rsidRDefault="00B14ECE" w:rsidP="00473D03">
            <w:pPr>
              <w:pStyle w:val="HTML-wstpniesformatowany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C71060"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>Nieruchomość niezabudowana o pow. 0,0</w:t>
            </w:r>
            <w:r w:rsidRPr="00A952CD"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>929</w:t>
            </w:r>
            <w:r w:rsidRPr="00C71060"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 xml:space="preserve"> ha. 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W planie zagospodarowania przestrzennego działka oznaczona jest symbolem 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MN2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- tereny przeznaczone 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pod zabudowę mieszkaniową z druga linią zabudowy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. Działka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1329/429 jest działk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ą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narożną przy ul. Jałowcowej i Brzozowej. Działka nie jest uzbrojona, natomiast posiada dostęp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do sieci energetycznej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wodociągowej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, kanalizacyjnej oraz gazowej, z możliwością przyłączenia.</w:t>
            </w:r>
            <w:r w:rsidRPr="00A952CD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Nieruchomość winna zostać zagospodarowana zgodnie z zapisami planu zagospodarowania przestrzennego.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B14ECE" w:rsidRDefault="00B14ECE" w:rsidP="0047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69.675,00 zł brutto</w:t>
            </w:r>
            <w:r w:rsidRPr="00C71060">
              <w:rPr>
                <w:rFonts w:cs="Arial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134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7.000,00 zł</w:t>
            </w:r>
          </w:p>
        </w:tc>
      </w:tr>
      <w:tr w:rsidR="00B14ECE" w:rsidRPr="00406060" w:rsidTr="00473D03">
        <w:trPr>
          <w:cantSplit/>
        </w:trPr>
        <w:tc>
          <w:tcPr>
            <w:tcW w:w="496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992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1330/429</w:t>
            </w:r>
          </w:p>
        </w:tc>
        <w:tc>
          <w:tcPr>
            <w:tcW w:w="1701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20334/7</w:t>
            </w: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 i dział IV KW wolny od obciążeń</w:t>
            </w:r>
          </w:p>
        </w:tc>
        <w:tc>
          <w:tcPr>
            <w:tcW w:w="992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Olszyna</w:t>
            </w:r>
          </w:p>
        </w:tc>
        <w:tc>
          <w:tcPr>
            <w:tcW w:w="992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1 obręb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Olszyna</w:t>
            </w:r>
          </w:p>
        </w:tc>
        <w:tc>
          <w:tcPr>
            <w:tcW w:w="7513" w:type="dxa"/>
          </w:tcPr>
          <w:p w:rsidR="00B14ECE" w:rsidRPr="00C71060" w:rsidRDefault="00B14ECE" w:rsidP="00473D03">
            <w:pPr>
              <w:pStyle w:val="HTML-wstpniesformatowany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C71060"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>Nieruchomość niezabudowana o pow. 0,0</w:t>
            </w:r>
            <w:r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>717</w:t>
            </w:r>
            <w:r w:rsidRPr="00C71060"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 xml:space="preserve"> ha. 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W planie zagospodarowania przestrzennego działka oznaczona jest symbolem 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MN2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- tereny przeznaczone 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pod zabudowę mieszkaniową z druga linią zabudowy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. Działka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1330/429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posiada dostęp do drogi publicznej, ul.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Brzozowej. Działka nie jest uzbrojona, natomiast posiada dostęp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do sieci energetycznej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wodociągowej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, kanalizacyjnej oraz gazowej, z możliwością przyłączenia.</w:t>
            </w:r>
            <w:r w:rsidRPr="00A952CD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Nieruchomość winna zostać zagospodarowana zgodnie z zapisami planu zagospodarowania przestrzennego.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B14ECE" w:rsidRDefault="00B14ECE" w:rsidP="0047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53.775,00 zł brutto</w:t>
            </w:r>
            <w:r w:rsidRPr="00C71060">
              <w:rPr>
                <w:rFonts w:cs="Arial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134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5.400,00 zł</w:t>
            </w:r>
          </w:p>
        </w:tc>
      </w:tr>
      <w:tr w:rsidR="00B14ECE" w:rsidRPr="00406060" w:rsidTr="00473D03">
        <w:trPr>
          <w:cantSplit/>
        </w:trPr>
        <w:tc>
          <w:tcPr>
            <w:tcW w:w="496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:rsidR="00B14ECE" w:rsidRPr="00406060" w:rsidRDefault="00B14ECE" w:rsidP="00473D0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406060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3.</w:t>
            </w:r>
          </w:p>
        </w:tc>
        <w:tc>
          <w:tcPr>
            <w:tcW w:w="992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1331/429</w:t>
            </w:r>
          </w:p>
        </w:tc>
        <w:tc>
          <w:tcPr>
            <w:tcW w:w="1701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20334/7</w:t>
            </w: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 i dział IV KW wolny od obciążeń</w:t>
            </w:r>
          </w:p>
        </w:tc>
        <w:tc>
          <w:tcPr>
            <w:tcW w:w="992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Olszyna</w:t>
            </w:r>
          </w:p>
        </w:tc>
        <w:tc>
          <w:tcPr>
            <w:tcW w:w="992" w:type="dxa"/>
          </w:tcPr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C71060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1 obręb 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Olszyna</w:t>
            </w:r>
          </w:p>
        </w:tc>
        <w:tc>
          <w:tcPr>
            <w:tcW w:w="7513" w:type="dxa"/>
          </w:tcPr>
          <w:p w:rsidR="00B14ECE" w:rsidRPr="00C71060" w:rsidRDefault="00B14ECE" w:rsidP="00473D03">
            <w:pPr>
              <w:pStyle w:val="HTML-wstpniesformatowany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C71060"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>Nieruchomość niezabudowana o pow. 0,0</w:t>
            </w:r>
            <w:r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>705</w:t>
            </w:r>
            <w:r w:rsidRPr="00C71060">
              <w:rPr>
                <w:rFonts w:asciiTheme="minorHAnsi" w:eastAsia="Times New Roman" w:hAnsiTheme="minorHAnsi" w:cstheme="minorHAnsi"/>
                <w:u w:color="000000"/>
                <w:lang w:eastAsia="pl-PL"/>
              </w:rPr>
              <w:t xml:space="preserve"> ha. 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W planie zagospodarowania przestrzennego działka oznaczona jest symbolem 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MN2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- tereny przeznaczone 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pod zabudowę mieszkaniową z druga linią zabudowy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. Działka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1331/429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posiada dostęp do drogi publicznej, ul.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Brzozowej. Działka nie jest uzbrojona, natomiast posiada dostęp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do sieci energetycznej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wodociągowej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>, kanalizacyjnej oraz gazowej, z możliwością przyłączenia.</w:t>
            </w:r>
            <w:r w:rsidRPr="00A952CD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Nieruchomość winna zostać zagospodarowana zgodnie z zapisami planu zagospodarowania przestrzennego.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A952CD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  <w:r w:rsidRPr="00C71060">
              <w:rPr>
                <w:rFonts w:asciiTheme="minorHAnsi" w:eastAsia="Times New Roman" w:hAnsiTheme="minorHAnsi" w:cstheme="minorHAnsi"/>
                <w:bCs/>
                <w:u w:color="000000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B14ECE" w:rsidRDefault="00B14ECE" w:rsidP="0047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</w:p>
          <w:p w:rsidR="00B14ECE" w:rsidRPr="00C71060" w:rsidRDefault="00B14ECE" w:rsidP="0047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52.875,00 zł brutto</w:t>
            </w:r>
            <w:r w:rsidRPr="00C71060">
              <w:rPr>
                <w:rFonts w:cs="Arial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134" w:type="dxa"/>
          </w:tcPr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B14ECE" w:rsidRPr="00406060" w:rsidRDefault="00B14ECE" w:rsidP="00473D0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color="000000"/>
                <w:lang w:eastAsia="pl-PL"/>
              </w:rPr>
              <w:t>5.300,00 zł</w:t>
            </w:r>
          </w:p>
        </w:tc>
      </w:tr>
    </w:tbl>
    <w:p w:rsidR="00B14ECE" w:rsidRPr="00406060" w:rsidRDefault="00B14ECE" w:rsidP="00B14ECE">
      <w:pPr>
        <w:spacing w:after="0" w:line="240" w:lineRule="auto"/>
        <w:ind w:right="-142"/>
        <w:rPr>
          <w:rFonts w:eastAsia="Times New Roman" w:cs="Arial"/>
          <w:b/>
          <w:iCs/>
          <w:u w:color="000000"/>
          <w:lang w:eastAsia="pl-PL"/>
        </w:rPr>
      </w:pPr>
    </w:p>
    <w:p w:rsidR="00B14ECE" w:rsidRPr="00406060" w:rsidRDefault="00B14ECE" w:rsidP="00B14ECE">
      <w:pPr>
        <w:spacing w:after="0" w:line="240" w:lineRule="auto"/>
        <w:rPr>
          <w:rFonts w:eastAsia="Times New Roman" w:cs="Arial"/>
          <w:b/>
          <w:bCs/>
          <w:iCs/>
          <w:u w:color="000000"/>
          <w:lang w:eastAsia="pl-PL"/>
        </w:rPr>
      </w:pPr>
      <w:r w:rsidRPr="00406060">
        <w:rPr>
          <w:rFonts w:eastAsia="Times New Roman" w:cs="Arial"/>
          <w:b/>
          <w:iCs/>
          <w:u w:color="000000"/>
          <w:lang w:eastAsia="pl-PL"/>
        </w:rPr>
        <w:t xml:space="preserve">Przetarg  odbędzie się dnia </w:t>
      </w:r>
      <w:r>
        <w:rPr>
          <w:rFonts w:eastAsia="Times New Roman" w:cs="Arial"/>
          <w:b/>
          <w:bCs/>
          <w:iCs/>
          <w:u w:color="000000"/>
          <w:lang w:eastAsia="pl-PL"/>
        </w:rPr>
        <w:t>0</w:t>
      </w:r>
      <w:r w:rsidR="00297917">
        <w:rPr>
          <w:rFonts w:eastAsia="Times New Roman" w:cs="Arial"/>
          <w:b/>
          <w:bCs/>
          <w:iCs/>
          <w:u w:color="000000"/>
          <w:lang w:eastAsia="pl-PL"/>
        </w:rPr>
        <w:t>6</w:t>
      </w:r>
      <w:r>
        <w:rPr>
          <w:rFonts w:eastAsia="Times New Roman" w:cs="Arial"/>
          <w:b/>
          <w:bCs/>
          <w:iCs/>
          <w:u w:color="000000"/>
          <w:lang w:eastAsia="pl-PL"/>
        </w:rPr>
        <w:t>.06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>.</w:t>
      </w:r>
      <w:r>
        <w:rPr>
          <w:rFonts w:eastAsia="Times New Roman" w:cs="Arial"/>
          <w:b/>
          <w:bCs/>
          <w:iCs/>
          <w:u w:color="000000"/>
          <w:lang w:eastAsia="pl-PL"/>
        </w:rPr>
        <w:t>2023r.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 xml:space="preserve"> w Urzędzie Gminy w Herbach, ul. Lubliniecka 33 (pokój nr 9) o godzinie 10</w:t>
      </w:r>
      <w:r w:rsidRPr="00406060">
        <w:rPr>
          <w:rFonts w:eastAsia="Times New Roman" w:cs="Arial"/>
          <w:b/>
          <w:bCs/>
          <w:iCs/>
          <w:u w:color="000000"/>
          <w:vertAlign w:val="superscript"/>
          <w:lang w:eastAsia="pl-PL"/>
        </w:rPr>
        <w:t>00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 xml:space="preserve"> – działka 1329/429, o godzinie 10</w:t>
      </w:r>
      <w:r w:rsidRPr="00406060">
        <w:rPr>
          <w:rFonts w:eastAsia="Times New Roman" w:cs="Arial"/>
          <w:b/>
          <w:bCs/>
          <w:iCs/>
          <w:u w:color="000000"/>
          <w:vertAlign w:val="superscript"/>
          <w:lang w:eastAsia="pl-PL"/>
        </w:rPr>
        <w:t>10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>- działka 1330/429, o godzinie 10</w:t>
      </w:r>
      <w:r w:rsidRPr="00406060">
        <w:rPr>
          <w:rFonts w:eastAsia="Times New Roman" w:cs="Arial"/>
          <w:b/>
          <w:bCs/>
          <w:iCs/>
          <w:u w:color="000000"/>
          <w:vertAlign w:val="superscript"/>
          <w:lang w:eastAsia="pl-PL"/>
        </w:rPr>
        <w:t>15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 xml:space="preserve"> – działka 1331/429, </w:t>
      </w:r>
    </w:p>
    <w:p w:rsidR="00B14ECE" w:rsidRPr="00406060" w:rsidRDefault="00B14ECE" w:rsidP="00B14ECE">
      <w:pPr>
        <w:spacing w:after="0" w:line="240" w:lineRule="auto"/>
        <w:ind w:firstLine="708"/>
        <w:jc w:val="both"/>
        <w:rPr>
          <w:rFonts w:eastAsia="Times New Roman" w:cs="Arial"/>
          <w:b/>
          <w:bCs/>
          <w:iCs/>
          <w:u w:color="000000"/>
          <w:lang w:eastAsia="pl-PL"/>
        </w:rPr>
      </w:pPr>
      <w:r w:rsidRPr="00406060">
        <w:rPr>
          <w:rFonts w:eastAsia="Times New Roman" w:cs="Arial"/>
          <w:b/>
          <w:bCs/>
          <w:iCs/>
          <w:u w:color="000000"/>
          <w:lang w:eastAsia="pl-PL"/>
        </w:rPr>
        <w:t xml:space="preserve">Warunkiem przystąpienia do przetargu jest wpłacenie wadium (wniesione w pieniądzu) w wysokości podanej powyżej na konto </w:t>
      </w:r>
      <w:r>
        <w:rPr>
          <w:rFonts w:eastAsia="Times New Roman" w:cs="Arial"/>
          <w:b/>
          <w:bCs/>
          <w:iCs/>
          <w:u w:color="000000"/>
          <w:lang w:eastAsia="pl-PL"/>
        </w:rPr>
        <w:t>MBS w Myszkowie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 xml:space="preserve"> nr 48 8288 1014 2001 0000 0042 0001. Wadium należy wpłacić najpóźniej do dnia </w:t>
      </w:r>
      <w:r>
        <w:rPr>
          <w:rFonts w:eastAsia="Times New Roman" w:cs="Arial"/>
          <w:b/>
          <w:bCs/>
          <w:iCs/>
          <w:u w:color="000000"/>
          <w:lang w:eastAsia="pl-PL"/>
        </w:rPr>
        <w:t>25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>.</w:t>
      </w:r>
      <w:r>
        <w:rPr>
          <w:rFonts w:eastAsia="Times New Roman" w:cs="Arial"/>
          <w:b/>
          <w:bCs/>
          <w:iCs/>
          <w:u w:color="000000"/>
          <w:lang w:eastAsia="pl-PL"/>
        </w:rPr>
        <w:t>05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>.202</w:t>
      </w:r>
      <w:r>
        <w:rPr>
          <w:rFonts w:eastAsia="Times New Roman" w:cs="Arial"/>
          <w:b/>
          <w:bCs/>
          <w:iCs/>
          <w:u w:color="000000"/>
          <w:lang w:eastAsia="pl-PL"/>
        </w:rPr>
        <w:t>3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>r.</w:t>
      </w:r>
    </w:p>
    <w:p w:rsidR="00B14ECE" w:rsidRPr="00406060" w:rsidRDefault="00B14ECE" w:rsidP="00B14ECE">
      <w:pPr>
        <w:spacing w:after="0" w:line="240" w:lineRule="auto"/>
        <w:ind w:firstLine="708"/>
        <w:jc w:val="both"/>
        <w:rPr>
          <w:rFonts w:eastAsia="Times New Roman" w:cs="Arial"/>
          <w:b/>
          <w:bCs/>
          <w:iCs/>
          <w:u w:color="000000"/>
          <w:lang w:eastAsia="pl-PL"/>
        </w:rPr>
      </w:pPr>
      <w:r w:rsidRPr="00406060">
        <w:rPr>
          <w:rFonts w:eastAsia="Times New Roman" w:cs="Arial"/>
          <w:b/>
          <w:bCs/>
          <w:iCs/>
          <w:u w:color="000000"/>
          <w:lang w:eastAsia="pl-PL"/>
        </w:rPr>
        <w:t>( decyduje data  wpływu środków na konto bankowe gminy).</w:t>
      </w:r>
    </w:p>
    <w:p w:rsidR="00B14ECE" w:rsidRPr="00406060" w:rsidRDefault="00B14ECE" w:rsidP="00B14ECE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>Dowód wpłaty wadium należy przedłożyć komisji przetargowej w dniu przetargu, przed jego rozpoczęciem oraz w przypadku osób fizycznych dowodów tożsamości,  w przypadku osób prawnych i jednostek organizacyjnych nieposiadających osobowości prawnej a podlegającym wpisom do rejestrów -aktualnego wypisu z rejestrów, właściwych pełnomocnictw, dowodów tożsamości osób reprezentujących dany podmiot.</w:t>
      </w:r>
    </w:p>
    <w:p w:rsidR="00B14ECE" w:rsidRPr="00406060" w:rsidRDefault="00B14ECE" w:rsidP="00B14ECE">
      <w:pPr>
        <w:spacing w:after="0" w:line="240" w:lineRule="auto"/>
        <w:ind w:firstLine="708"/>
        <w:jc w:val="both"/>
        <w:rPr>
          <w:rFonts w:eastAsia="Times New Roman" w:cs="Arial"/>
          <w:i/>
          <w:iCs/>
          <w:u w:color="000000"/>
          <w:vertAlign w:val="superscript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 xml:space="preserve">Wpłata jednego wadium uprawnia do udziału w przetargu na nieruchomość , którą oznaczono przy wpłacie. W przypadku gdy dana osoba zamierza uczestniczyć w przetargu na więcej niż jedną nieruchomość obowiązuje wpłata wadium na każdą nieruchomość z osobna. Wadium powinno być wniesione z takim wyprzedzeniem , aby środki pieniężne znalazły się na w/w rachunku bankowym najpóźniej w dniu </w:t>
      </w:r>
      <w:r>
        <w:rPr>
          <w:rFonts w:eastAsia="Times New Roman" w:cs="Arial"/>
          <w:iCs/>
          <w:u w:color="000000"/>
          <w:lang w:eastAsia="pl-PL"/>
        </w:rPr>
        <w:t>25</w:t>
      </w:r>
      <w:r w:rsidRPr="00406060">
        <w:rPr>
          <w:rFonts w:eastAsia="Times New Roman" w:cs="Arial"/>
          <w:iCs/>
          <w:u w:color="000000"/>
          <w:lang w:eastAsia="pl-PL"/>
        </w:rPr>
        <w:t>.</w:t>
      </w:r>
      <w:r>
        <w:rPr>
          <w:rFonts w:eastAsia="Times New Roman" w:cs="Arial"/>
          <w:iCs/>
          <w:u w:color="000000"/>
          <w:lang w:eastAsia="pl-PL"/>
        </w:rPr>
        <w:t>05</w:t>
      </w:r>
      <w:r w:rsidRPr="00406060">
        <w:rPr>
          <w:rFonts w:eastAsia="Times New Roman" w:cs="Arial"/>
          <w:iCs/>
          <w:u w:color="000000"/>
          <w:lang w:eastAsia="pl-PL"/>
        </w:rPr>
        <w:t>.202</w:t>
      </w:r>
      <w:r>
        <w:rPr>
          <w:rFonts w:eastAsia="Times New Roman" w:cs="Arial"/>
          <w:iCs/>
          <w:u w:color="000000"/>
          <w:lang w:eastAsia="pl-PL"/>
        </w:rPr>
        <w:t>3</w:t>
      </w:r>
      <w:r w:rsidRPr="00406060">
        <w:rPr>
          <w:rFonts w:eastAsia="Times New Roman" w:cs="Arial"/>
          <w:iCs/>
          <w:u w:color="000000"/>
          <w:lang w:eastAsia="pl-PL"/>
        </w:rPr>
        <w:t>r.</w:t>
      </w:r>
    </w:p>
    <w:p w:rsidR="00B14ECE" w:rsidRPr="00406060" w:rsidRDefault="00B14ECE" w:rsidP="00B14ECE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lastRenderedPageBreak/>
        <w:t>Wadium wpłacone przez wygrywającego przetarg zaliczone zostanie na poczet ceny nabycia, a w przypadku uchylenia się wygrywającego przetarg od zawarcia umowy notarialnej, wadium przepada na rzecz sprzedającego.</w:t>
      </w:r>
    </w:p>
    <w:p w:rsidR="00B14ECE" w:rsidRPr="00406060" w:rsidRDefault="00B14ECE" w:rsidP="00B14ECE">
      <w:pPr>
        <w:spacing w:after="0" w:line="240" w:lineRule="auto"/>
        <w:ind w:firstLine="708"/>
        <w:jc w:val="both"/>
        <w:rPr>
          <w:rFonts w:eastAsia="Times New Roman" w:cs="Arial"/>
          <w:i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>Wójt zastrzega sobie prawo odwołania bądź wycofania z przetargu nieruchomości, informując o tym w odrębnym ogłoszeniu.</w:t>
      </w:r>
    </w:p>
    <w:p w:rsidR="00B14ECE" w:rsidRPr="00406060" w:rsidRDefault="00B14ECE" w:rsidP="00B14ECE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>Nabywca ponosi koszty opłaty notarialnej.</w:t>
      </w:r>
    </w:p>
    <w:p w:rsidR="00B14ECE" w:rsidRPr="00406060" w:rsidRDefault="00B14ECE" w:rsidP="00B14ECE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 xml:space="preserve">Nieruchomość sprzedawana jest na podstawie danych z ewidencji gruntów. Okazanie granic sprzedanej nieruchomości na koszt i wniosek nabywcy. </w:t>
      </w:r>
    </w:p>
    <w:p w:rsidR="00B14ECE" w:rsidRPr="00406060" w:rsidRDefault="00B14ECE" w:rsidP="00B14ECE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 xml:space="preserve">Warunkiem zawarcia umowy sprzedaży nieruchomości z nabywcą będącym cudzoziemcem w rozumieniu ustawy o nabyciu nieruchomości przez cudzoziemców jest uzyskanie zezwolenia Ministra Spraw Wewnętrznych, na zasadach i  w sytuacjach określonych w ustawie z dnia 24 marca 1920 r. o nabywaniu nieruchomości przez cudzoziemców. </w:t>
      </w:r>
    </w:p>
    <w:p w:rsidR="00B14ECE" w:rsidRDefault="00B14ECE" w:rsidP="00B14ECE">
      <w:pPr>
        <w:spacing w:after="0" w:line="240" w:lineRule="auto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>Cudzoziemiec przystępując do przetargu musi przedłożyć promesę – przyrzeczenie wydania ww. zezwolenia.</w:t>
      </w:r>
    </w:p>
    <w:p w:rsidR="00B14ECE" w:rsidRPr="00406060" w:rsidRDefault="00B14ECE" w:rsidP="00B14ECE">
      <w:pPr>
        <w:spacing w:after="0" w:line="240" w:lineRule="auto"/>
        <w:jc w:val="both"/>
        <w:rPr>
          <w:rFonts w:eastAsia="Times New Roman" w:cs="Arial"/>
          <w:iCs/>
          <w:u w:color="000000"/>
          <w:lang w:eastAsia="pl-PL"/>
        </w:rPr>
      </w:pPr>
      <w:r>
        <w:rPr>
          <w:rFonts w:eastAsia="Times New Roman" w:cs="Arial"/>
          <w:iCs/>
          <w:u w:color="000000"/>
          <w:lang w:eastAsia="pl-PL"/>
        </w:rPr>
        <w:t xml:space="preserve">Poprzednie przetargi, zakończone wynikiem negatywnym odbyły się </w:t>
      </w:r>
      <w:r w:rsidRPr="001F4D61">
        <w:rPr>
          <w:rFonts w:eastAsia="Times New Roman" w:cs="Arial"/>
          <w:bCs/>
          <w:iCs/>
          <w:u w:color="000000"/>
          <w:lang w:eastAsia="pl-PL"/>
        </w:rPr>
        <w:t>29.09.2022r.</w:t>
      </w:r>
      <w:r>
        <w:rPr>
          <w:rFonts w:eastAsia="Times New Roman" w:cs="Arial"/>
          <w:bCs/>
          <w:iCs/>
          <w:u w:color="000000"/>
          <w:lang w:eastAsia="pl-PL"/>
        </w:rPr>
        <w:t xml:space="preserve"> i 12.12.2022r. i 07.03.2023r.</w:t>
      </w:r>
    </w:p>
    <w:p w:rsidR="00B14ECE" w:rsidRPr="00406060" w:rsidRDefault="00B14ECE" w:rsidP="00B14ECE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 xml:space="preserve">Wszelkie informacje dotyczące powyższej nieruchomości można uzyskać w Urzędzie Gminy Herby, ul. Lubliniecka 33 pok. 14 lub pod numerem telefonu 34 3574100 wew. 19. </w:t>
      </w:r>
    </w:p>
    <w:p w:rsidR="00B14ECE" w:rsidRPr="00406060" w:rsidRDefault="00B14ECE" w:rsidP="00B14ECE">
      <w:pPr>
        <w:spacing w:after="0" w:line="240" w:lineRule="auto"/>
        <w:rPr>
          <w:rFonts w:eastAsia="Times New Roman" w:cs="Arial"/>
          <w:i/>
          <w:iCs/>
          <w:u w:color="000000"/>
          <w:lang w:eastAsia="pl-PL"/>
        </w:rPr>
      </w:pPr>
    </w:p>
    <w:p w:rsidR="00B14ECE" w:rsidRPr="00406060" w:rsidRDefault="00B14ECE" w:rsidP="00B14ECE">
      <w:pPr>
        <w:spacing w:after="0" w:line="240" w:lineRule="auto"/>
        <w:rPr>
          <w:rFonts w:eastAsia="Times New Roman" w:cs="Times New Roman"/>
          <w:u w:color="000000"/>
          <w:lang w:eastAsia="pl-PL"/>
        </w:rPr>
      </w:pPr>
      <w:r w:rsidRPr="00406060">
        <w:rPr>
          <w:rFonts w:eastAsia="Times New Roman" w:cs="Times New Roman"/>
          <w:u w:color="000000"/>
          <w:lang w:eastAsia="pl-PL"/>
        </w:rPr>
        <w:t xml:space="preserve">Herby, dnia </w:t>
      </w:r>
      <w:r>
        <w:rPr>
          <w:rFonts w:eastAsia="Times New Roman" w:cs="Times New Roman"/>
          <w:u w:color="000000"/>
          <w:lang w:eastAsia="pl-PL"/>
        </w:rPr>
        <w:t>24</w:t>
      </w:r>
      <w:r w:rsidRPr="00406060">
        <w:rPr>
          <w:rFonts w:eastAsia="Times New Roman" w:cs="Times New Roman"/>
          <w:u w:color="000000"/>
          <w:lang w:eastAsia="pl-PL"/>
        </w:rPr>
        <w:t>.</w:t>
      </w:r>
      <w:r>
        <w:rPr>
          <w:rFonts w:eastAsia="Times New Roman" w:cs="Times New Roman"/>
          <w:u w:color="000000"/>
          <w:lang w:eastAsia="pl-PL"/>
        </w:rPr>
        <w:t>04</w:t>
      </w:r>
      <w:r w:rsidRPr="00406060">
        <w:rPr>
          <w:rFonts w:eastAsia="Times New Roman" w:cs="Times New Roman"/>
          <w:u w:color="000000"/>
          <w:lang w:eastAsia="pl-PL"/>
        </w:rPr>
        <w:t>.202</w:t>
      </w:r>
      <w:r>
        <w:rPr>
          <w:rFonts w:eastAsia="Times New Roman" w:cs="Times New Roman"/>
          <w:u w:color="000000"/>
          <w:lang w:eastAsia="pl-PL"/>
        </w:rPr>
        <w:t>3</w:t>
      </w:r>
      <w:r w:rsidRPr="00406060">
        <w:rPr>
          <w:rFonts w:eastAsia="Times New Roman" w:cs="Times New Roman"/>
          <w:u w:color="000000"/>
          <w:lang w:eastAsia="pl-PL"/>
        </w:rPr>
        <w:t>r.</w:t>
      </w:r>
    </w:p>
    <w:p w:rsidR="00B14ECE" w:rsidRPr="00406060" w:rsidRDefault="00B14ECE" w:rsidP="00B14ECE"/>
    <w:p w:rsidR="00B14ECE" w:rsidRPr="00406060" w:rsidRDefault="00B14ECE" w:rsidP="00B14ECE"/>
    <w:p w:rsidR="00B14ECE" w:rsidRPr="00406060" w:rsidRDefault="00B14ECE" w:rsidP="00B14ECE"/>
    <w:p w:rsidR="00B14ECE" w:rsidRDefault="00B14ECE" w:rsidP="00B14ECE"/>
    <w:p w:rsidR="00B14ECE" w:rsidRDefault="00B14ECE" w:rsidP="00B14ECE"/>
    <w:p w:rsidR="001176E5" w:rsidRDefault="001176E5"/>
    <w:sectPr w:rsidR="001176E5" w:rsidSect="005C2FB8">
      <w:pgSz w:w="16838" w:h="11906" w:orient="landscape" w:code="9"/>
      <w:pgMar w:top="426" w:right="678" w:bottom="56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CE"/>
    <w:rsid w:val="00060995"/>
    <w:rsid w:val="001176E5"/>
    <w:rsid w:val="00297917"/>
    <w:rsid w:val="00B14ECE"/>
    <w:rsid w:val="00D2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4E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4EC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4E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4E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Magdalena Jeziorska</cp:lastModifiedBy>
  <cp:revision>4</cp:revision>
  <cp:lastPrinted>2023-04-24T08:44:00Z</cp:lastPrinted>
  <dcterms:created xsi:type="dcterms:W3CDTF">2023-04-18T13:22:00Z</dcterms:created>
  <dcterms:modified xsi:type="dcterms:W3CDTF">2023-04-25T08:03:00Z</dcterms:modified>
</cp:coreProperties>
</file>