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drawings/drawing1.xml" ContentType="application/vnd.openxmlformats-officedocument.drawingml.chartshapes+xml"/>
  <Override PartName="/word/diagrams/drawing2.xml" ContentType="application/vnd.ms-office.drawingml.diagramDrawing+xml"/>
  <Override PartName="/word/diagrams/drawing1.xml" ContentType="application/vnd.ms-office.drawingml.diagramDrawing+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layout3.xml" ContentType="application/vnd.openxmlformats-officedocument.drawingml.diagramLayou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diagrams/drawing3.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5" w:rsidRPr="00652E0F" w:rsidRDefault="00C939B5" w:rsidP="00C939B5">
      <w:pPr>
        <w:spacing w:after="0" w:line="240" w:lineRule="auto"/>
        <w:jc w:val="right"/>
        <w:rPr>
          <w:b/>
          <w:sz w:val="24"/>
          <w:szCs w:val="24"/>
        </w:rPr>
      </w:pPr>
      <w:r>
        <w:rPr>
          <w:b/>
          <w:sz w:val="24"/>
          <w:szCs w:val="24"/>
        </w:rPr>
        <w:t xml:space="preserve">Załącznik  do </w:t>
      </w:r>
      <w:r w:rsidRPr="00652E0F">
        <w:rPr>
          <w:b/>
          <w:sz w:val="24"/>
          <w:szCs w:val="24"/>
        </w:rPr>
        <w:t>Uchwał</w:t>
      </w:r>
      <w:r>
        <w:rPr>
          <w:b/>
          <w:sz w:val="24"/>
          <w:szCs w:val="24"/>
        </w:rPr>
        <w:t>y</w:t>
      </w:r>
      <w:r w:rsidRPr="00652E0F">
        <w:rPr>
          <w:b/>
          <w:sz w:val="24"/>
          <w:szCs w:val="24"/>
        </w:rPr>
        <w:t xml:space="preserve"> Nr ……</w:t>
      </w:r>
      <w:r>
        <w:rPr>
          <w:b/>
          <w:sz w:val="24"/>
          <w:szCs w:val="24"/>
        </w:rPr>
        <w:t>….</w:t>
      </w:r>
      <w:r w:rsidRPr="00652E0F">
        <w:rPr>
          <w:b/>
          <w:sz w:val="24"/>
          <w:szCs w:val="24"/>
        </w:rPr>
        <w:t>…</w:t>
      </w:r>
    </w:p>
    <w:p w:rsidR="00C939B5" w:rsidRPr="00652E0F" w:rsidRDefault="00844CE4" w:rsidP="00C939B5">
      <w:pPr>
        <w:spacing w:after="0" w:line="240" w:lineRule="auto"/>
        <w:jc w:val="right"/>
        <w:rPr>
          <w:b/>
          <w:sz w:val="24"/>
          <w:szCs w:val="24"/>
        </w:rPr>
      </w:pPr>
      <w:r w:rsidRPr="00844CE4">
        <w:rPr>
          <w:noProof/>
          <w:lang w:eastAsia="pl-PL"/>
        </w:rPr>
        <w:pict>
          <v:group id="Group 2" o:spid="_x0000_s1026" style="position:absolute;left:0;text-align:left;margin-left:17.4pt;margin-top:98.8pt;width:564.25pt;height:677.3pt;z-index:251660288;mso-width-percent:950;mso-position-horizontal-relative:page;mso-position-vertical-relative:page;mso-width-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P+8IA&#10;AADaAAAADwAAAGRycy9kb3ducmV2LnhtbESPQWsCMRSE74L/ITyhN826ldquRhFLwR6rHjw+N283&#10;i5uXJUl1++9NQfA4zMw3zHLd21ZcyYfGsYLpJANBXDrdcK3gePgav4MIEVlj65gU/FGA9Wo4WGKh&#10;3Y1/6LqPtUgQDgUqMDF2hZShNGQxTFxHnLzKeYsxSV9L7fGW4LaVeZa9SYsNpwWDHW0NlZf9r1VQ&#10;bc7z02c/M9UrnY9+1ubd9zxX6mXUbxYgIvXxGX60d1rBB/xf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A/7wgAAANoAAAAPAAAAAAAAAAAAAAAAAJgCAABkcnMvZG93&#10;bnJldi54bWxQSwUGAAAAAAQABAD1AAAAhwM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STMMA&#10;AADbAAAADwAAAGRycy9kb3ducmV2LnhtbESPTW/CMAyG70j8h8hIu9GUHdDUEdCATdsN8bFJ3KzG&#10;NBWN0zUZ7f49PkzazZbfj8eL1eAbdaMu1oENzLIcFHEZbM2VgdPxbfoEKiZki01gMvBLEVbL8WiB&#10;hQ097+l2SJWSEI4FGnAptYXWsXTkMWahJZbbJXQek6xdpW2HvYT7Rj/m+Vx7rFkaHLa0cVReDz9e&#10;enu9653d4fabr6+Xz/V5/v51NuZhMrw8g0o0pH/xn/vDCr7Qyy8y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VSTMMAAADbAAAADwAAAAAAAAAAAAAAAACYAgAAZHJzL2Rv&#10;d25yZXYueG1sUEsFBgAAAAAEAAQA9QAAAIgDAAAAAA==&#10;" fillcolor="#737373 [1789]" strokecolor="white [3212]" strokeweight="1pt">
                <v:shadow color="#d8d8d8 [2732]" offset="3pt,3pt"/>
                <v:textbox style="mso-next-textbox:#Rectangle 5" inset="18pt,108pt,36pt">
                  <w:txbxContent>
                    <w:sdt>
                      <w:sdtPr>
                        <w:rPr>
                          <w:color w:val="FFFFFF" w:themeColor="background1"/>
                          <w:sz w:val="80"/>
                          <w:szCs w:val="80"/>
                        </w:rPr>
                        <w:alias w:val="Tytuł"/>
                        <w:id w:val="23343873"/>
                        <w:dataBinding w:prefixMappings="xmlns:ns0='http://schemas.openxmlformats.org/package/2006/metadata/core-properties' xmlns:ns1='http://purl.org/dc/elements/1.1/'" w:xpath="/ns0:coreProperties[1]/ns1:title[1]" w:storeItemID="{6C3C8BC8-F283-45AE-878A-BAB7291924A1}"/>
                        <w:text/>
                      </w:sdtPr>
                      <w:sdtContent>
                        <w:p w:rsidR="006D69AB" w:rsidRDefault="006D69AB">
                          <w:pPr>
                            <w:pStyle w:val="Bezodstpw"/>
                            <w:rPr>
                              <w:color w:val="FFFFFF" w:themeColor="background1"/>
                              <w:sz w:val="80"/>
                              <w:szCs w:val="80"/>
                            </w:rPr>
                          </w:pPr>
                          <w:r>
                            <w:rPr>
                              <w:color w:val="FFFFFF" w:themeColor="background1"/>
                              <w:sz w:val="80"/>
                              <w:szCs w:val="80"/>
                            </w:rPr>
                            <w:t>PLAN GOSPODARKI NISKOEMISYJNEJ DLA GMINY HERBY</w:t>
                          </w:r>
                        </w:p>
                      </w:sdtContent>
                    </w:sdt>
                    <w:p w:rsidR="006D69AB" w:rsidRDefault="006D69AB">
                      <w:pPr>
                        <w:pStyle w:val="Bezodstpw"/>
                        <w:rPr>
                          <w:color w:val="FFFFFF" w:themeColor="background1"/>
                          <w:sz w:val="40"/>
                          <w:szCs w:val="40"/>
                        </w:rPr>
                      </w:pPr>
                    </w:p>
                    <w:p w:rsidR="006D69AB" w:rsidRDefault="006D69AB">
                      <w:pPr>
                        <w:pStyle w:val="Bezodstpw"/>
                        <w:rPr>
                          <w:color w:val="FFFFFF" w:themeColor="background1"/>
                        </w:rPr>
                      </w:pPr>
                    </w:p>
                    <w:p w:rsidR="006D69AB" w:rsidRDefault="006D69AB">
                      <w:pPr>
                        <w:pStyle w:val="Bezodstpw"/>
                        <w:rPr>
                          <w:color w:val="FFFFFF" w:themeColor="background1"/>
                        </w:rPr>
                      </w:pPr>
                    </w:p>
                    <w:p w:rsidR="006D69AB" w:rsidRDefault="006D69AB">
                      <w:pPr>
                        <w:pStyle w:val="Bezodstpw"/>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lqMMA&#10;AADbAAAADwAAAGRycy9kb3ducmV2LnhtbESP3YrCMBSE7xd8h3AEbxZNVRCpRhHdRYVF8O/+0Bzb&#10;YnNSmtjWtzeCsJfDzHzDzJetKURNlcstKxgOIhDEidU5pwou59/+FITzyBoLy6TgSQ6Wi87XHGNt&#10;Gz5SffKpCBB2MSrIvC9jKV2SkUE3sCVx8G62MuiDrFKpK2wC3BRyFEUTaTDnsJBhSeuMkvvpYRR8&#10;P3/+6t1absaP/eZyPjTbaynHSvW67WoGwlPr/8Of9k4rGE3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ulqMMAAADb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01sYA&#10;AADbAAAADwAAAGRycy9kb3ducmV2LnhtbESPQWvCQBSE7wX/w/IK3urGFtSmrmILBS8KxvbQ22v2&#10;NUmbfS/Nrhr99a4geBxm5htmOu9crfbU+krYwHCQgCLOxVZcGPjYvj9MQPmAbLEWJgNH8jCf9e6m&#10;mFo58Ib2WShUhLBP0UAZQpNq7fOSHPqBNMTR+5HWYYiyLbRt8RDhrtaPSTLSDiuOCyU29FZS/pft&#10;nAFZT16fPyuR8eq01N9f22zz+380pn/fLV5ABerCLXxtL62BpyFcvs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01sYAAADbAAAADwAAAAAAAAAAAAAAAACYAgAAZHJz&#10;L2Rvd25yZXYueG1sUEsFBgAAAAAEAAQA9QAAAIs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1dsQA&#10;AADbAAAADwAAAGRycy9kb3ducmV2LnhtbESP3YrCMBSE74V9h3AWvJE11YIs1SiLP6ggwqp7f2iO&#10;bdnmpDSxrW9vBMHLYWa+YWaLzpSiodoVlhWMhhEI4tTqgjMFl/Pm6xuE88gaS8uk4E4OFvOP3gwT&#10;bVv+pebkMxEg7BJUkHtfJVK6NCeDbmgr4uBdbW3QB1lnUtfYBrgp5TiKJtJgwWEhx4qWOaX/p5tR&#10;MLivD81uKVfxbb+6nI/t9q+SsVL9z+5nCsJT59/hV3unFcR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JNXbEAAAA2wAAAA8AAAAAAAAAAAAAAAAAmAIAAGRycy9k&#10;b3ducmV2LnhtbFBLBQYAAAAABAAEAPUAAACJAw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POsYA&#10;AADbAAAADwAAAGRycy9kb3ducmV2LnhtbESPQWvCQBSE70L/w/IKvenGCtWmrqKC4KWCsT309pp9&#10;TVKz76XZrUZ/vSsUehxm5htmOu9crY7U+krYwHCQgCLOxVZcGHjbr/sTUD4gW6yFycCZPMxnd70p&#10;plZOvKNjFgoVIexTNFCG0KRa+7wkh34gDXH0vqR1GKJsC21bPEW4q/VjkjxphxXHhRIbWpWUH7Jf&#10;Z0C2k+XzeyUyfr1s9OfHPtt9/5yNebjvFi+gAnXhP/zX3lgDoxHcvsQf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lPOsYAAADbAAAADwAAAAAAAAAAAAAAAACYAgAAZHJz&#10;L2Rvd25yZXYueG1sUEsFBgAAAAAEAAQA9QAAAIs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XTsYA&#10;AADbAAAADwAAAGRycy9kb3ducmV2LnhtbESPQU/CQBSE7yb8h80j4SZbxCAWFqIkJlwkoejB27P7&#10;aIvd90p3heKvZ01MPE5m5pvMfNm5Wp2o9ZWwgdEwAUWci624MPC2e7mdgvIB2WItTAYu5GG56N3M&#10;MbVy5i2dslCoCGGfooEyhCbV2uclOfRDaYijt5fWYYiyLbRt8RzhrtZ3STLRDiuOCyU2tCop/8q+&#10;nQHZTJ8f3yuRh9eftf782GXbw/FizKDfPc1ABerCf/ivvbYGxvfw+yX+A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DXTsYAAADbAAAADwAAAAAAAAAAAAAAAACYAgAAZHJz&#10;L2Rvd25yZXYueG1sUEsFBgAAAAAEAAQA9QAAAIs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1cYA&#10;AADbAAAADwAAAGRycy9kb3ducmV2LnhtbESPQU/CQBSE7yb8h80j4SZbJCIWFqIkJlwkoejB27P7&#10;aIvd90p3heKvZ01MPE5m5pvMfNm5Wp2o9ZWwgdEwAUWci624MPC2e7mdgvIB2WItTAYu5GG56N3M&#10;MbVy5i2dslCoCGGfooEyhCbV2uclOfRDaYijt5fWYYiyLbRt8RzhrtZ3STLRDiuOCyU2tCop/8q+&#10;nQHZTJ8f3yuRh9eftf782GXbw/FizKDfPc1ABerCf/ivvbYGxvfw+yX+A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y1cYAAADbAAAADwAAAAAAAAAAAAAAAACYAgAAZHJz&#10;L2Rvd25yZXYueG1sUEsFBgAAAAAEAAQA9QAAAIs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kvMQA&#10;AADbAAAADwAAAGRycy9kb3ducmV2LnhtbESPQUvDQBSE74L/YXmCN7upYimxm1ANSk9Ca4oeH7vP&#10;JDTvbciubfTXu0LB4zAz3zCrcuJeHWkMnRcD81kGisR610ljoH57vlmCChHFYe+FDHxTgLK4vFhh&#10;7vxJtnTcxUYliIQcDbQxDrnWwbbEGGZ+IEnepx8ZY5Jjo92IpwTnXt9m2UIzdpIWWhzoqSV72H2x&#10;gfiIL+9TteefQ31fvfKH5U1ljbm+mtYPoCJN8T98bm+cgbsF/H1JP0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pLzEAAAA2wAAAA8AAAAAAAAAAAAAAAAAmAIAAGRycy9k&#10;b3ducmV2LnhtbFBLBQYAAAAABAAEAPUAAACJAwAAAAA=&#10;" fillcolor="#c0504d [3205]" strokecolor="white [3212]" strokeweight="1pt">
                <v:shadow color="#d8d8d8 [2732]" offset="3pt,3pt"/>
                <v:textbox style="mso-next-textbox:#Rectangle 13">
                  <w:txbxContent>
                    <w:p w:rsidR="006D69AB" w:rsidRDefault="006D69AB" w:rsidP="00731F53">
                      <w:pPr>
                        <w:spacing w:line="240" w:lineRule="auto"/>
                        <w:jc w:val="left"/>
                        <w:rPr>
                          <w:color w:val="FFFFFF" w:themeColor="background1"/>
                          <w:sz w:val="48"/>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Bq4sIAAADbAAAADwAAAGRycy9kb3ducmV2LnhtbERPz2vCMBS+C/sfwht4&#10;kZmqTEZnFFEGG54aPXh8NG9Nt+alNFnb7a83B2HHj+/3Zje6RvTUhdqzgsU8A0FcelNzpeByfnt6&#10;AREissHGMyn4pQC77cNkg7nxAxfU61iJFMIhRwU2xjaXMpSWHIa5b4kT9+k7hzHBrpKmwyGFu0Yu&#10;s2wtHdacGiy2dLBUfusfpyDqj2J2PRa9ftZ/p+G8P65t+FJq+jjuX0FEGuO/+O5+NwpWaWz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VwauL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wkr4A&#10;AADbAAAADwAAAGRycy9kb3ducmV2LnhtbESPSwvCMBCE74L/IazgzaYq+KhGEUHw4sEHnpdmbYrN&#10;pjRR6783guBxmJlvmOW6tZV4UuNLxwqGSQqCOHe65ELB5bwbzED4gKyxckwK3uRhvep2lphp9+Ij&#10;PU+hEBHCPkMFJoQ6k9Lnhiz6xNXE0bu5xmKIsimkbvAV4baSozSdSIslxwWDNW0N5ffTwyoI1aE0&#10;M/d+TPcbNu46mk+HfFCq32s3CxCB2vAP/9p7rWA8h++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3MJK+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axcIA&#10;AADbAAAADwAAAGRycy9kb3ducmV2LnhtbERPz2vCMBS+D/wfwhN2GZpuzCHVtBRh4BjC1F28PZpn&#10;W2xeQhLb7r9fDoMdP77f23IyvRjIh86ygudlBoK4trrjRsH3+X2xBhEissbeMin4oQBlMXvYYq7t&#10;yEcaTrERKYRDjgraGF0uZahbMhiW1hEn7mq9wZigb6T2OKZw08uXLHuTBjtODS062rVU3053o+BT&#10;ni9fh5X/iE/H6lJngzusrFPqcT5VGxCRpvgv/nPvtYLXtD59S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trFwgAAANsAAAAPAAAAAAAAAAAAAAAAAJgCAABkcnMvZG93&#10;bnJldi54bWxQSwUGAAAAAAQABAD1AAAAhw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P6b4A&#10;AADbAAAADwAAAGRycy9kb3ducmV2LnhtbESPSwvCMBCE74L/IazgTdOK+KhGEUHw4sEHnpdmbYrN&#10;pjRR6783guBxmJlvmOW6tZV4UuNLxwrSYQKCOHe65ELB5bwbzED4gKyxckwK3uRhvep2lphp9+Ij&#10;PU+hEBHCPkMFJoQ6k9Lnhiz6oauJo3dzjcUQZVNI3eArwm0lR0kykRZLjgsGa9oayu+nh1UQqkNp&#10;Zu79mO43bNx1NJ+mfFCq32s3CxCB2vAP/9p7rWCc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HT+m+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cwcIA&#10;AADbAAAADwAAAGRycy9kb3ducmV2LnhtbESPT4vCMBTE7wt+h/CEva2pRUSqqYgg7LJe/IfXZ/Pa&#10;FJuX0kSt394IC3scZuY3zGLZ20bcqfO1YwXjUQKCuHC65krB8bD5moHwAVlj45gUPMnDMh98LDDT&#10;7sE7uu9DJSKEfYYKTAhtJqUvDFn0I9cSR690ncUQZVdJ3eEjwm0j0ySZSos1xwWDLa0NFdf9zSr4&#10;pfP26K7P9PRzLim93Ca9mTqlPof9ag4iUB/+w3/tb61gksL7S/w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ZzBwgAAANsAAAAPAAAAAAAAAAAAAAAAAJgCAABkcnMvZG93&#10;bnJldi54bWxQSwUGAAAAAAQABAD1AAAAhwMAAAAA&#10;" filled="f" fillcolor="white [3212]" stroked="f" strokecolor="white [3212]" strokeweight="1pt">
                <v:fill opacity="52428f"/>
                <v:textbox style="mso-next-textbox:#Rectangle 19" inset=",0,,0">
                  <w:txbxContent>
                    <w:sdt>
                      <w:sdtPr>
                        <w:rPr>
                          <w:color w:val="FFFFFF" w:themeColor="background1"/>
                        </w:rPr>
                        <w:alias w:val="Autor"/>
                        <w:id w:val="23343874"/>
                        <w:showingPlcHdr/>
                        <w:dataBinding w:prefixMappings="xmlns:ns0='http://schemas.openxmlformats.org/package/2006/metadata/core-properties' xmlns:ns1='http://purl.org/dc/elements/1.1/'" w:xpath="/ns0:coreProperties[1]/ns1:creator[1]" w:storeItemID="{6C3C8BC8-F283-45AE-878A-BAB7291924A1}"/>
                        <w:text/>
                      </w:sdtPr>
                      <w:sdtContent>
                        <w:p w:rsidR="006D69AB" w:rsidRDefault="006D69AB" w:rsidP="000117A8">
                          <w:pPr>
                            <w:pStyle w:val="Bezodstpw"/>
                            <w:rPr>
                              <w:color w:val="FFFFFF" w:themeColor="background1"/>
                            </w:rPr>
                          </w:pPr>
                          <w:r>
                            <w:rPr>
                              <w:color w:val="FFFFFF" w:themeColor="background1"/>
                            </w:rPr>
                            <w:t xml:space="preserve">     </w:t>
                          </w:r>
                        </w:p>
                      </w:sdtContent>
                    </w:sdt>
                    <w:p w:rsidR="006D69AB" w:rsidRDefault="006D69AB">
                      <w:pPr>
                        <w:pStyle w:val="Bezodstpw"/>
                        <w:jc w:val="right"/>
                        <w:rPr>
                          <w:color w:val="FFFFFF" w:themeColor="background1"/>
                        </w:rPr>
                      </w:pPr>
                    </w:p>
                  </w:txbxContent>
                </v:textbox>
              </v:rect>
            </v:group>
            <w10:wrap anchorx="page" anchory="page"/>
          </v:group>
        </w:pict>
      </w:r>
      <w:r w:rsidR="00C939B5" w:rsidRPr="00652E0F">
        <w:rPr>
          <w:b/>
          <w:sz w:val="24"/>
          <w:szCs w:val="24"/>
        </w:rPr>
        <w:t>Rady Gminy Herby</w:t>
      </w:r>
      <w:r w:rsidR="00C939B5">
        <w:rPr>
          <w:b/>
          <w:sz w:val="24"/>
          <w:szCs w:val="24"/>
        </w:rPr>
        <w:t xml:space="preserve"> </w:t>
      </w:r>
      <w:r w:rsidR="00C939B5" w:rsidRPr="00652E0F">
        <w:rPr>
          <w:b/>
          <w:sz w:val="24"/>
          <w:szCs w:val="24"/>
        </w:rPr>
        <w:t>z dnia 30 marca 2016 r.</w:t>
      </w:r>
    </w:p>
    <w:p w:rsidR="00B30F93" w:rsidRDefault="00B30F93" w:rsidP="00C939B5">
      <w:pPr>
        <w:jc w:val="right"/>
      </w:pPr>
    </w:p>
    <w:sdt>
      <w:sdtPr>
        <w:id w:val="14567508"/>
        <w:docPartObj>
          <w:docPartGallery w:val="Cover Pages"/>
          <w:docPartUnique/>
        </w:docPartObj>
      </w:sdtPr>
      <w:sdtContent>
        <w:p w:rsidR="00C939B5" w:rsidRPr="00652E0F" w:rsidRDefault="00C939B5" w:rsidP="00C939B5">
          <w:pPr>
            <w:spacing w:after="0" w:line="240" w:lineRule="auto"/>
            <w:jc w:val="right"/>
            <w:rPr>
              <w:b/>
              <w:sz w:val="24"/>
              <w:szCs w:val="24"/>
            </w:rPr>
          </w:pPr>
          <w:r w:rsidRPr="00652E0F">
            <w:rPr>
              <w:b/>
              <w:sz w:val="24"/>
              <w:szCs w:val="24"/>
            </w:rPr>
            <w:t>Uchwała Nr ………</w:t>
          </w:r>
        </w:p>
        <w:p w:rsidR="00C939B5" w:rsidRPr="00652E0F" w:rsidRDefault="00C939B5" w:rsidP="00C939B5">
          <w:pPr>
            <w:spacing w:after="0" w:line="240" w:lineRule="auto"/>
            <w:jc w:val="right"/>
            <w:rPr>
              <w:b/>
              <w:sz w:val="24"/>
              <w:szCs w:val="24"/>
            </w:rPr>
          </w:pPr>
          <w:r w:rsidRPr="00652E0F">
            <w:rPr>
              <w:b/>
              <w:sz w:val="24"/>
              <w:szCs w:val="24"/>
            </w:rPr>
            <w:t>Rady Gminy Herby</w:t>
          </w:r>
        </w:p>
        <w:p w:rsidR="00C939B5" w:rsidRPr="00652E0F" w:rsidRDefault="00C939B5" w:rsidP="00C939B5">
          <w:pPr>
            <w:spacing w:after="0" w:line="240" w:lineRule="auto"/>
            <w:jc w:val="right"/>
            <w:rPr>
              <w:b/>
              <w:sz w:val="24"/>
              <w:szCs w:val="24"/>
            </w:rPr>
          </w:pPr>
          <w:r w:rsidRPr="00652E0F">
            <w:rPr>
              <w:b/>
              <w:sz w:val="24"/>
              <w:szCs w:val="24"/>
            </w:rPr>
            <w:t>z dnia 30 marca 2016 r.</w:t>
          </w:r>
        </w:p>
        <w:p w:rsidR="00731F53" w:rsidRDefault="00731F53" w:rsidP="00C939B5">
          <w:pPr>
            <w:jc w:val="right"/>
          </w:pPr>
        </w:p>
        <w:p w:rsidR="00731F53" w:rsidRDefault="00731F53" w:rsidP="00C939B5">
          <w:pPr>
            <w:jc w:val="right"/>
          </w:pPr>
        </w:p>
        <w:p w:rsidR="00731F53" w:rsidRDefault="00731F53" w:rsidP="00C939B5">
          <w:pPr>
            <w:jc w:val="right"/>
          </w:pPr>
          <w:r>
            <w:br w:type="page"/>
          </w:r>
        </w:p>
      </w:sdtContent>
    </w:sdt>
    <w:p w:rsidR="00170B29" w:rsidRPr="00775DF8" w:rsidRDefault="00170B29" w:rsidP="00170B29">
      <w:pPr>
        <w:rPr>
          <w:rFonts w:ascii="Times New Roman" w:hAnsi="Times New Roman"/>
          <w:b/>
        </w:rPr>
      </w:pPr>
      <w:r w:rsidRPr="00775DF8">
        <w:rPr>
          <w:rFonts w:ascii="Times New Roman" w:hAnsi="Times New Roman"/>
          <w:b/>
        </w:rPr>
        <w:lastRenderedPageBreak/>
        <w:t>Opracowanie:</w:t>
      </w:r>
    </w:p>
    <w:p w:rsidR="00170B29" w:rsidRPr="00775DF8" w:rsidRDefault="00170B29" w:rsidP="00170B29">
      <w:pPr>
        <w:rPr>
          <w:rFonts w:ascii="Times New Roman" w:hAnsi="Times New Roman"/>
        </w:rPr>
      </w:pPr>
      <w:r>
        <w:rPr>
          <w:rFonts w:ascii="Times New Roman" w:hAnsi="Times New Roman"/>
          <w:noProof/>
          <w:lang w:eastAsia="pl-PL"/>
        </w:rPr>
        <w:drawing>
          <wp:anchor distT="0" distB="0" distL="114300" distR="114300" simplePos="0" relativeHeight="251662336" behindDoc="1" locked="0" layoutInCell="1" allowOverlap="1">
            <wp:simplePos x="0" y="0"/>
            <wp:positionH relativeFrom="column">
              <wp:posOffset>4445</wp:posOffset>
            </wp:positionH>
            <wp:positionV relativeFrom="paragraph">
              <wp:posOffset>222250</wp:posOffset>
            </wp:positionV>
            <wp:extent cx="2145030" cy="760730"/>
            <wp:effectExtent l="19050" t="0" r="7620" b="0"/>
            <wp:wrapNone/>
            <wp:docPr id="3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srcRect/>
                    <a:stretch>
                      <a:fillRect/>
                    </a:stretch>
                  </pic:blipFill>
                  <pic:spPr bwMode="auto">
                    <a:xfrm>
                      <a:off x="0" y="0"/>
                      <a:ext cx="2145030" cy="760730"/>
                    </a:xfrm>
                    <a:prstGeom prst="rect">
                      <a:avLst/>
                    </a:prstGeom>
                    <a:noFill/>
                  </pic:spPr>
                </pic:pic>
              </a:graphicData>
            </a:graphic>
          </wp:anchor>
        </w:drawing>
      </w:r>
    </w:p>
    <w:p w:rsidR="00170B29" w:rsidRPr="00775DF8" w:rsidRDefault="00170B29" w:rsidP="00170B29">
      <w:pPr>
        <w:rPr>
          <w:rFonts w:ascii="Times New Roman" w:hAnsi="Times New Roman"/>
        </w:rPr>
      </w:pPr>
    </w:p>
    <w:p w:rsidR="00170B29" w:rsidRPr="00775DF8" w:rsidRDefault="00170B29" w:rsidP="00170B29">
      <w:pPr>
        <w:rPr>
          <w:rFonts w:ascii="Times New Roman" w:hAnsi="Times New Roman"/>
        </w:rPr>
      </w:pPr>
    </w:p>
    <w:p w:rsidR="00170B29" w:rsidRPr="00775DF8" w:rsidRDefault="00170B29" w:rsidP="00170B29">
      <w:pPr>
        <w:rPr>
          <w:rFonts w:ascii="Times New Roman" w:hAnsi="Times New Roman"/>
        </w:rPr>
      </w:pPr>
    </w:p>
    <w:p w:rsidR="00170B29" w:rsidRPr="00595108" w:rsidRDefault="00170B29" w:rsidP="00170B29">
      <w:pPr>
        <w:rPr>
          <w:b/>
        </w:rPr>
      </w:pPr>
      <w:r w:rsidRPr="00595108">
        <w:rPr>
          <w:b/>
        </w:rPr>
        <w:t>Adres:</w:t>
      </w:r>
    </w:p>
    <w:p w:rsidR="00170B29" w:rsidRPr="00595108" w:rsidRDefault="00170B29" w:rsidP="00170B29">
      <w:r w:rsidRPr="00595108">
        <w:t>PHIN Inwestycje Sp. z o.o., ul. Częstochowska 63, 93-121 Łódź</w:t>
      </w:r>
    </w:p>
    <w:p w:rsidR="00170B29" w:rsidRPr="00595108" w:rsidRDefault="00170B29" w:rsidP="00170B29"/>
    <w:p w:rsidR="00170B29" w:rsidRPr="00595108" w:rsidRDefault="00170B29" w:rsidP="00170B29">
      <w:pPr>
        <w:rPr>
          <w:b/>
        </w:rPr>
      </w:pPr>
      <w:r w:rsidRPr="00595108">
        <w:rPr>
          <w:b/>
        </w:rPr>
        <w:t>Kontakt:</w:t>
      </w:r>
    </w:p>
    <w:p w:rsidR="00170B29" w:rsidRPr="00595108" w:rsidRDefault="00170B29" w:rsidP="00170B29">
      <w:r w:rsidRPr="00595108">
        <w:t>Tel. 42 250 79 91/92</w:t>
      </w:r>
    </w:p>
    <w:p w:rsidR="00170B29" w:rsidRPr="00595108" w:rsidRDefault="00170B29" w:rsidP="00170B29">
      <w:r w:rsidRPr="00595108">
        <w:t>Fax. 42 250 79 94</w:t>
      </w:r>
    </w:p>
    <w:p w:rsidR="00170B29" w:rsidRPr="00595108" w:rsidRDefault="00844CE4" w:rsidP="00170B29">
      <w:hyperlink r:id="rId11" w:history="1">
        <w:r w:rsidR="00170B29" w:rsidRPr="00595108">
          <w:rPr>
            <w:rStyle w:val="Hipercze"/>
          </w:rPr>
          <w:t>sekretariat@phin.pl</w:t>
        </w:r>
      </w:hyperlink>
    </w:p>
    <w:p w:rsidR="00170B29" w:rsidRPr="00595108" w:rsidRDefault="00844CE4" w:rsidP="00170B29">
      <w:hyperlink r:id="rId12" w:history="1">
        <w:r w:rsidR="00170B29" w:rsidRPr="00595108">
          <w:rPr>
            <w:rStyle w:val="Hipercze"/>
          </w:rPr>
          <w:t>www.phin.pl</w:t>
        </w:r>
      </w:hyperlink>
    </w:p>
    <w:p w:rsidR="00170B29" w:rsidRPr="00595108" w:rsidRDefault="00170B29" w:rsidP="00170B29"/>
    <w:p w:rsidR="00170B29" w:rsidRPr="00595108" w:rsidRDefault="00170B29" w:rsidP="00170B29">
      <w:pPr>
        <w:rPr>
          <w:b/>
          <w:bCs/>
        </w:rPr>
      </w:pPr>
      <w:r w:rsidRPr="00595108">
        <w:rPr>
          <w:b/>
          <w:bCs/>
        </w:rPr>
        <w:t>Zespół autorów:</w:t>
      </w:r>
    </w:p>
    <w:p w:rsidR="00170B29" w:rsidRDefault="00202AA2">
      <w:r>
        <w:t>mgr inż. Mariusz Małkowski</w:t>
      </w:r>
    </w:p>
    <w:p w:rsidR="00202AA2" w:rsidRDefault="00202AA2">
      <w:r>
        <w:t>mgr Karolina Kasprzak-Koźlak</w:t>
      </w:r>
    </w:p>
    <w:p w:rsidR="00902FA1" w:rsidRDefault="00902FA1">
      <w:r>
        <w:t>mgr Wojciech Komorowski</w:t>
      </w:r>
    </w:p>
    <w:p w:rsidR="00170B29" w:rsidRPr="00170B29" w:rsidRDefault="00170B29" w:rsidP="00170B29"/>
    <w:p w:rsidR="00170B29" w:rsidRPr="00170B29" w:rsidRDefault="00170B29" w:rsidP="00170B29"/>
    <w:p w:rsidR="00170B29" w:rsidRPr="00170B29" w:rsidRDefault="00170B29" w:rsidP="00170B29"/>
    <w:p w:rsidR="00170B29" w:rsidRPr="00170B29" w:rsidRDefault="00170B29" w:rsidP="00170B29"/>
    <w:p w:rsidR="00170B29" w:rsidRPr="00170B29" w:rsidRDefault="00170B29" w:rsidP="00170B29"/>
    <w:p w:rsidR="00EF0785" w:rsidRDefault="001E65F7" w:rsidP="00CC1388">
      <w:pPr>
        <w:pStyle w:val="Nagwek1"/>
        <w:rPr>
          <w:noProof/>
        </w:rPr>
      </w:pPr>
      <w:bookmarkStart w:id="0" w:name="_Toc429398152"/>
      <w:bookmarkStart w:id="1" w:name="_Toc429726561"/>
      <w:bookmarkStart w:id="2" w:name="_Toc438118345"/>
      <w:r>
        <w:lastRenderedPageBreak/>
        <w:t>SPIS TREŚCI</w:t>
      </w:r>
      <w:bookmarkEnd w:id="0"/>
      <w:bookmarkEnd w:id="1"/>
      <w:bookmarkEnd w:id="2"/>
      <w:r w:rsidR="00844CE4">
        <w:fldChar w:fldCharType="begin"/>
      </w:r>
      <w:r>
        <w:instrText xml:space="preserve"> TOC \o "1-3" \h \z \u </w:instrText>
      </w:r>
      <w:r w:rsidR="00844CE4">
        <w:fldChar w:fldCharType="separate"/>
      </w:r>
    </w:p>
    <w:p w:rsidR="00EF0785" w:rsidRDefault="00844CE4">
      <w:pPr>
        <w:pStyle w:val="Spistreci1"/>
        <w:rPr>
          <w:rFonts w:eastAsiaTheme="minorEastAsia"/>
          <w:noProof/>
          <w:sz w:val="22"/>
          <w:lang w:eastAsia="pl-PL"/>
        </w:rPr>
      </w:pPr>
      <w:hyperlink w:anchor="_Toc438118345" w:history="1">
        <w:r w:rsidR="00EF0785" w:rsidRPr="007E2BD9">
          <w:rPr>
            <w:rStyle w:val="Hipercze"/>
            <w:noProof/>
          </w:rPr>
          <w:t>SPIS TREŚCI</w:t>
        </w:r>
        <w:r w:rsidR="00EF0785">
          <w:rPr>
            <w:noProof/>
            <w:webHidden/>
          </w:rPr>
          <w:tab/>
        </w:r>
        <w:r>
          <w:rPr>
            <w:noProof/>
            <w:webHidden/>
          </w:rPr>
          <w:fldChar w:fldCharType="begin"/>
        </w:r>
        <w:r w:rsidR="00EF0785">
          <w:rPr>
            <w:noProof/>
            <w:webHidden/>
          </w:rPr>
          <w:instrText xml:space="preserve"> PAGEREF _Toc438118345 \h </w:instrText>
        </w:r>
        <w:r>
          <w:rPr>
            <w:noProof/>
            <w:webHidden/>
          </w:rPr>
        </w:r>
        <w:r>
          <w:rPr>
            <w:noProof/>
            <w:webHidden/>
          </w:rPr>
          <w:fldChar w:fldCharType="separate"/>
        </w:r>
        <w:r w:rsidR="005C42FD">
          <w:rPr>
            <w:noProof/>
            <w:webHidden/>
          </w:rPr>
          <w:t>3</w:t>
        </w:r>
        <w:r>
          <w:rPr>
            <w:noProof/>
            <w:webHidden/>
          </w:rPr>
          <w:fldChar w:fldCharType="end"/>
        </w:r>
      </w:hyperlink>
    </w:p>
    <w:p w:rsidR="00EF0785" w:rsidRDefault="00844CE4">
      <w:pPr>
        <w:pStyle w:val="Spistreci1"/>
        <w:rPr>
          <w:rFonts w:eastAsiaTheme="minorEastAsia"/>
          <w:noProof/>
          <w:sz w:val="22"/>
          <w:lang w:eastAsia="pl-PL"/>
        </w:rPr>
      </w:pPr>
      <w:hyperlink w:anchor="_Toc438118346" w:history="1">
        <w:r w:rsidR="00EF0785" w:rsidRPr="007E2BD9">
          <w:rPr>
            <w:rStyle w:val="Hipercze"/>
            <w:noProof/>
          </w:rPr>
          <w:t>STRESZCZENIE</w:t>
        </w:r>
        <w:r w:rsidR="00EF0785">
          <w:rPr>
            <w:noProof/>
            <w:webHidden/>
          </w:rPr>
          <w:tab/>
        </w:r>
        <w:r>
          <w:rPr>
            <w:noProof/>
            <w:webHidden/>
          </w:rPr>
          <w:fldChar w:fldCharType="begin"/>
        </w:r>
        <w:r w:rsidR="00EF0785">
          <w:rPr>
            <w:noProof/>
            <w:webHidden/>
          </w:rPr>
          <w:instrText xml:space="preserve"> PAGEREF _Toc438118346 \h </w:instrText>
        </w:r>
        <w:r>
          <w:rPr>
            <w:noProof/>
            <w:webHidden/>
          </w:rPr>
        </w:r>
        <w:r>
          <w:rPr>
            <w:noProof/>
            <w:webHidden/>
          </w:rPr>
          <w:fldChar w:fldCharType="separate"/>
        </w:r>
        <w:r w:rsidR="005C42FD">
          <w:rPr>
            <w:noProof/>
            <w:webHidden/>
          </w:rPr>
          <w:t>6</w:t>
        </w:r>
        <w:r>
          <w:rPr>
            <w:noProof/>
            <w:webHidden/>
          </w:rPr>
          <w:fldChar w:fldCharType="end"/>
        </w:r>
      </w:hyperlink>
    </w:p>
    <w:p w:rsidR="00EF0785" w:rsidRDefault="00844CE4">
      <w:pPr>
        <w:pStyle w:val="Spistreci1"/>
        <w:rPr>
          <w:rFonts w:eastAsiaTheme="minorEastAsia"/>
          <w:noProof/>
          <w:sz w:val="22"/>
          <w:lang w:eastAsia="pl-PL"/>
        </w:rPr>
      </w:pPr>
      <w:hyperlink w:anchor="_Toc438118347" w:history="1">
        <w:r w:rsidR="00EF0785" w:rsidRPr="007E2BD9">
          <w:rPr>
            <w:rStyle w:val="Hipercze"/>
            <w:noProof/>
          </w:rPr>
          <w:t>1.</w:t>
        </w:r>
        <w:r w:rsidR="00EF0785">
          <w:rPr>
            <w:rFonts w:eastAsiaTheme="minorEastAsia"/>
            <w:noProof/>
            <w:sz w:val="22"/>
            <w:lang w:eastAsia="pl-PL"/>
          </w:rPr>
          <w:tab/>
        </w:r>
        <w:r w:rsidR="00EF0785" w:rsidRPr="007E2BD9">
          <w:rPr>
            <w:rStyle w:val="Hipercze"/>
            <w:noProof/>
          </w:rPr>
          <w:t>Podstawy formalne i prawne opracowania</w:t>
        </w:r>
        <w:r w:rsidR="00EF0785">
          <w:rPr>
            <w:noProof/>
            <w:webHidden/>
          </w:rPr>
          <w:tab/>
        </w:r>
        <w:r>
          <w:rPr>
            <w:noProof/>
            <w:webHidden/>
          </w:rPr>
          <w:fldChar w:fldCharType="begin"/>
        </w:r>
        <w:r w:rsidR="00EF0785">
          <w:rPr>
            <w:noProof/>
            <w:webHidden/>
          </w:rPr>
          <w:instrText xml:space="preserve"> PAGEREF _Toc438118347 \h </w:instrText>
        </w:r>
        <w:r>
          <w:rPr>
            <w:noProof/>
            <w:webHidden/>
          </w:rPr>
        </w:r>
        <w:r>
          <w:rPr>
            <w:noProof/>
            <w:webHidden/>
          </w:rPr>
          <w:fldChar w:fldCharType="separate"/>
        </w:r>
        <w:r w:rsidR="005C42FD">
          <w:rPr>
            <w:noProof/>
            <w:webHidden/>
          </w:rPr>
          <w:t>7</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48" w:history="1">
        <w:r w:rsidR="00EF0785" w:rsidRPr="007E2BD9">
          <w:rPr>
            <w:rStyle w:val="Hipercze"/>
            <w:noProof/>
          </w:rPr>
          <w:t>1.1.</w:t>
        </w:r>
        <w:r w:rsidR="00EF0785">
          <w:rPr>
            <w:rFonts w:eastAsiaTheme="minorEastAsia"/>
            <w:noProof/>
            <w:sz w:val="22"/>
            <w:lang w:eastAsia="pl-PL"/>
          </w:rPr>
          <w:tab/>
        </w:r>
        <w:r w:rsidR="00EF0785" w:rsidRPr="007E2BD9">
          <w:rPr>
            <w:rStyle w:val="Hipercze"/>
            <w:noProof/>
          </w:rPr>
          <w:t>Cel i zakres opracowania</w:t>
        </w:r>
        <w:r w:rsidR="00EF0785">
          <w:rPr>
            <w:noProof/>
            <w:webHidden/>
          </w:rPr>
          <w:tab/>
        </w:r>
        <w:r>
          <w:rPr>
            <w:noProof/>
            <w:webHidden/>
          </w:rPr>
          <w:fldChar w:fldCharType="begin"/>
        </w:r>
        <w:r w:rsidR="00EF0785">
          <w:rPr>
            <w:noProof/>
            <w:webHidden/>
          </w:rPr>
          <w:instrText xml:space="preserve"> PAGEREF _Toc438118348 \h </w:instrText>
        </w:r>
        <w:r>
          <w:rPr>
            <w:noProof/>
            <w:webHidden/>
          </w:rPr>
        </w:r>
        <w:r>
          <w:rPr>
            <w:noProof/>
            <w:webHidden/>
          </w:rPr>
          <w:fldChar w:fldCharType="separate"/>
        </w:r>
        <w:r w:rsidR="005C42FD">
          <w:rPr>
            <w:noProof/>
            <w:webHidden/>
          </w:rPr>
          <w:t>7</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49" w:history="1">
        <w:r w:rsidR="00EF0785" w:rsidRPr="007E2BD9">
          <w:rPr>
            <w:rStyle w:val="Hipercze"/>
            <w:noProof/>
          </w:rPr>
          <w:t>1.2.</w:t>
        </w:r>
        <w:r w:rsidR="00EF0785">
          <w:rPr>
            <w:rFonts w:eastAsiaTheme="minorEastAsia"/>
            <w:noProof/>
            <w:sz w:val="22"/>
            <w:lang w:eastAsia="pl-PL"/>
          </w:rPr>
          <w:tab/>
        </w:r>
        <w:r w:rsidR="00EF0785" w:rsidRPr="007E2BD9">
          <w:rPr>
            <w:rStyle w:val="Hipercze"/>
            <w:noProof/>
          </w:rPr>
          <w:t>Metodologia</w:t>
        </w:r>
        <w:r w:rsidR="00EF0785">
          <w:rPr>
            <w:noProof/>
            <w:webHidden/>
          </w:rPr>
          <w:tab/>
        </w:r>
        <w:r>
          <w:rPr>
            <w:noProof/>
            <w:webHidden/>
          </w:rPr>
          <w:fldChar w:fldCharType="begin"/>
        </w:r>
        <w:r w:rsidR="00EF0785">
          <w:rPr>
            <w:noProof/>
            <w:webHidden/>
          </w:rPr>
          <w:instrText xml:space="preserve"> PAGEREF _Toc438118349 \h </w:instrText>
        </w:r>
        <w:r>
          <w:rPr>
            <w:noProof/>
            <w:webHidden/>
          </w:rPr>
        </w:r>
        <w:r>
          <w:rPr>
            <w:noProof/>
            <w:webHidden/>
          </w:rPr>
          <w:fldChar w:fldCharType="separate"/>
        </w:r>
        <w:r w:rsidR="005C42FD">
          <w:rPr>
            <w:noProof/>
            <w:webHidden/>
          </w:rPr>
          <w:t>7</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50" w:history="1">
        <w:r w:rsidR="00EF0785" w:rsidRPr="007E2BD9">
          <w:rPr>
            <w:rStyle w:val="Hipercze"/>
            <w:noProof/>
          </w:rPr>
          <w:t>1.3.</w:t>
        </w:r>
        <w:r w:rsidR="00EF0785">
          <w:rPr>
            <w:rFonts w:eastAsiaTheme="minorEastAsia"/>
            <w:noProof/>
            <w:sz w:val="22"/>
            <w:lang w:eastAsia="pl-PL"/>
          </w:rPr>
          <w:tab/>
        </w:r>
        <w:r w:rsidR="00EF0785" w:rsidRPr="007E2BD9">
          <w:rPr>
            <w:rStyle w:val="Hipercze"/>
            <w:noProof/>
          </w:rPr>
          <w:t>Założenia polityki energetycznej</w:t>
        </w:r>
        <w:r w:rsidR="00EF0785">
          <w:rPr>
            <w:noProof/>
            <w:webHidden/>
          </w:rPr>
          <w:tab/>
        </w:r>
        <w:r>
          <w:rPr>
            <w:noProof/>
            <w:webHidden/>
          </w:rPr>
          <w:fldChar w:fldCharType="begin"/>
        </w:r>
        <w:r w:rsidR="00EF0785">
          <w:rPr>
            <w:noProof/>
            <w:webHidden/>
          </w:rPr>
          <w:instrText xml:space="preserve"> PAGEREF _Toc438118350 \h </w:instrText>
        </w:r>
        <w:r>
          <w:rPr>
            <w:noProof/>
            <w:webHidden/>
          </w:rPr>
        </w:r>
        <w:r>
          <w:rPr>
            <w:noProof/>
            <w:webHidden/>
          </w:rPr>
          <w:fldChar w:fldCharType="separate"/>
        </w:r>
        <w:r w:rsidR="005C42FD">
          <w:rPr>
            <w:noProof/>
            <w:webHidden/>
          </w:rPr>
          <w:t>9</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51" w:history="1">
        <w:r w:rsidR="00EF0785" w:rsidRPr="007E2BD9">
          <w:rPr>
            <w:rStyle w:val="Hipercze"/>
            <w:noProof/>
          </w:rPr>
          <w:t>1.3.1.</w:t>
        </w:r>
        <w:r w:rsidR="00EF0785">
          <w:rPr>
            <w:rFonts w:eastAsiaTheme="minorEastAsia"/>
            <w:noProof/>
            <w:sz w:val="22"/>
            <w:lang w:eastAsia="pl-PL"/>
          </w:rPr>
          <w:tab/>
        </w:r>
        <w:r w:rsidR="00EF0785" w:rsidRPr="007E2BD9">
          <w:rPr>
            <w:rStyle w:val="Hipercze"/>
            <w:noProof/>
          </w:rPr>
          <w:t>Poziom międzynarodowy</w:t>
        </w:r>
        <w:r w:rsidR="00EF0785">
          <w:rPr>
            <w:noProof/>
            <w:webHidden/>
          </w:rPr>
          <w:tab/>
        </w:r>
        <w:r>
          <w:rPr>
            <w:noProof/>
            <w:webHidden/>
          </w:rPr>
          <w:fldChar w:fldCharType="begin"/>
        </w:r>
        <w:r w:rsidR="00EF0785">
          <w:rPr>
            <w:noProof/>
            <w:webHidden/>
          </w:rPr>
          <w:instrText xml:space="preserve"> PAGEREF _Toc438118351 \h </w:instrText>
        </w:r>
        <w:r>
          <w:rPr>
            <w:noProof/>
            <w:webHidden/>
          </w:rPr>
        </w:r>
        <w:r>
          <w:rPr>
            <w:noProof/>
            <w:webHidden/>
          </w:rPr>
          <w:fldChar w:fldCharType="separate"/>
        </w:r>
        <w:r w:rsidR="005C42FD">
          <w:rPr>
            <w:noProof/>
            <w:webHidden/>
          </w:rPr>
          <w:t>9</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52" w:history="1">
        <w:r w:rsidR="00EF0785" w:rsidRPr="007E2BD9">
          <w:rPr>
            <w:rStyle w:val="Hipercze"/>
            <w:noProof/>
          </w:rPr>
          <w:t>1.3.2.</w:t>
        </w:r>
        <w:r w:rsidR="00EF0785">
          <w:rPr>
            <w:rFonts w:eastAsiaTheme="minorEastAsia"/>
            <w:noProof/>
            <w:sz w:val="22"/>
            <w:lang w:eastAsia="pl-PL"/>
          </w:rPr>
          <w:tab/>
        </w:r>
        <w:r w:rsidR="00EF0785" w:rsidRPr="007E2BD9">
          <w:rPr>
            <w:rStyle w:val="Hipercze"/>
            <w:noProof/>
          </w:rPr>
          <w:t>Poziom krajowy</w:t>
        </w:r>
        <w:r w:rsidR="00EF0785">
          <w:rPr>
            <w:noProof/>
            <w:webHidden/>
          </w:rPr>
          <w:tab/>
        </w:r>
        <w:r>
          <w:rPr>
            <w:noProof/>
            <w:webHidden/>
          </w:rPr>
          <w:fldChar w:fldCharType="begin"/>
        </w:r>
        <w:r w:rsidR="00EF0785">
          <w:rPr>
            <w:noProof/>
            <w:webHidden/>
          </w:rPr>
          <w:instrText xml:space="preserve"> PAGEREF _Toc438118352 \h </w:instrText>
        </w:r>
        <w:r>
          <w:rPr>
            <w:noProof/>
            <w:webHidden/>
          </w:rPr>
        </w:r>
        <w:r>
          <w:rPr>
            <w:noProof/>
            <w:webHidden/>
          </w:rPr>
          <w:fldChar w:fldCharType="separate"/>
        </w:r>
        <w:r w:rsidR="005C42FD">
          <w:rPr>
            <w:noProof/>
            <w:webHidden/>
          </w:rPr>
          <w:t>11</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53" w:history="1">
        <w:r w:rsidR="00EF0785" w:rsidRPr="007E2BD9">
          <w:rPr>
            <w:rStyle w:val="Hipercze"/>
            <w:noProof/>
          </w:rPr>
          <w:t>1.3.3.</w:t>
        </w:r>
        <w:r w:rsidR="00EF0785">
          <w:rPr>
            <w:rFonts w:eastAsiaTheme="minorEastAsia"/>
            <w:noProof/>
            <w:sz w:val="22"/>
            <w:lang w:eastAsia="pl-PL"/>
          </w:rPr>
          <w:tab/>
        </w:r>
        <w:r w:rsidR="00EF0785" w:rsidRPr="007E2BD9">
          <w:rPr>
            <w:rStyle w:val="Hipercze"/>
            <w:noProof/>
          </w:rPr>
          <w:t>Poziom regionalny i lokalny</w:t>
        </w:r>
        <w:r w:rsidR="00EF0785">
          <w:rPr>
            <w:noProof/>
            <w:webHidden/>
          </w:rPr>
          <w:tab/>
        </w:r>
        <w:r>
          <w:rPr>
            <w:noProof/>
            <w:webHidden/>
          </w:rPr>
          <w:fldChar w:fldCharType="begin"/>
        </w:r>
        <w:r w:rsidR="00EF0785">
          <w:rPr>
            <w:noProof/>
            <w:webHidden/>
          </w:rPr>
          <w:instrText xml:space="preserve"> PAGEREF _Toc438118353 \h </w:instrText>
        </w:r>
        <w:r>
          <w:rPr>
            <w:noProof/>
            <w:webHidden/>
          </w:rPr>
        </w:r>
        <w:r>
          <w:rPr>
            <w:noProof/>
            <w:webHidden/>
          </w:rPr>
          <w:fldChar w:fldCharType="separate"/>
        </w:r>
        <w:r w:rsidR="005C42FD">
          <w:rPr>
            <w:noProof/>
            <w:webHidden/>
          </w:rPr>
          <w:t>17</w:t>
        </w:r>
        <w:r>
          <w:rPr>
            <w:noProof/>
            <w:webHidden/>
          </w:rPr>
          <w:fldChar w:fldCharType="end"/>
        </w:r>
      </w:hyperlink>
    </w:p>
    <w:p w:rsidR="00EF0785" w:rsidRDefault="00844CE4">
      <w:pPr>
        <w:pStyle w:val="Spistreci1"/>
        <w:rPr>
          <w:rFonts w:eastAsiaTheme="minorEastAsia"/>
          <w:noProof/>
          <w:sz w:val="22"/>
          <w:lang w:eastAsia="pl-PL"/>
        </w:rPr>
      </w:pPr>
      <w:hyperlink w:anchor="_Toc438118354" w:history="1">
        <w:r w:rsidR="00EF0785" w:rsidRPr="007E2BD9">
          <w:rPr>
            <w:rStyle w:val="Hipercze"/>
            <w:noProof/>
          </w:rPr>
          <w:t>2.</w:t>
        </w:r>
        <w:r w:rsidR="00EF0785">
          <w:rPr>
            <w:rFonts w:eastAsiaTheme="minorEastAsia"/>
            <w:noProof/>
            <w:sz w:val="22"/>
            <w:lang w:eastAsia="pl-PL"/>
          </w:rPr>
          <w:tab/>
        </w:r>
        <w:r w:rsidR="00EF0785" w:rsidRPr="007E2BD9">
          <w:rPr>
            <w:rStyle w:val="Hipercze"/>
            <w:noProof/>
          </w:rPr>
          <w:t>Ogólna charakterystyka obszaru objętego Planem Gospodarki Niskoemisyjnej wraz z uwarunkowaniami związanymi z jakością powietrza atmosferycznego</w:t>
        </w:r>
        <w:r w:rsidR="00EF0785">
          <w:rPr>
            <w:noProof/>
            <w:webHidden/>
          </w:rPr>
          <w:tab/>
        </w:r>
        <w:r>
          <w:rPr>
            <w:noProof/>
            <w:webHidden/>
          </w:rPr>
          <w:fldChar w:fldCharType="begin"/>
        </w:r>
        <w:r w:rsidR="00EF0785">
          <w:rPr>
            <w:noProof/>
            <w:webHidden/>
          </w:rPr>
          <w:instrText xml:space="preserve"> PAGEREF _Toc438118354 \h </w:instrText>
        </w:r>
        <w:r>
          <w:rPr>
            <w:noProof/>
            <w:webHidden/>
          </w:rPr>
        </w:r>
        <w:r>
          <w:rPr>
            <w:noProof/>
            <w:webHidden/>
          </w:rPr>
          <w:fldChar w:fldCharType="separate"/>
        </w:r>
        <w:r w:rsidR="005C42FD">
          <w:rPr>
            <w:noProof/>
            <w:webHidden/>
          </w:rPr>
          <w:t>20</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55" w:history="1">
        <w:r w:rsidR="00EF0785" w:rsidRPr="007E2BD9">
          <w:rPr>
            <w:rStyle w:val="Hipercze"/>
            <w:noProof/>
          </w:rPr>
          <w:t>2.1.</w:t>
        </w:r>
        <w:r w:rsidR="00EF0785">
          <w:rPr>
            <w:rFonts w:eastAsiaTheme="minorEastAsia"/>
            <w:noProof/>
            <w:sz w:val="22"/>
            <w:lang w:eastAsia="pl-PL"/>
          </w:rPr>
          <w:tab/>
        </w:r>
        <w:r w:rsidR="00EF0785" w:rsidRPr="007E2BD9">
          <w:rPr>
            <w:rStyle w:val="Hipercze"/>
            <w:noProof/>
          </w:rPr>
          <w:t>Położenie gminy Herby</w:t>
        </w:r>
        <w:r w:rsidR="00EF0785">
          <w:rPr>
            <w:noProof/>
            <w:webHidden/>
          </w:rPr>
          <w:tab/>
        </w:r>
        <w:r>
          <w:rPr>
            <w:noProof/>
            <w:webHidden/>
          </w:rPr>
          <w:fldChar w:fldCharType="begin"/>
        </w:r>
        <w:r w:rsidR="00EF0785">
          <w:rPr>
            <w:noProof/>
            <w:webHidden/>
          </w:rPr>
          <w:instrText xml:space="preserve"> PAGEREF _Toc438118355 \h </w:instrText>
        </w:r>
        <w:r>
          <w:rPr>
            <w:noProof/>
            <w:webHidden/>
          </w:rPr>
        </w:r>
        <w:r>
          <w:rPr>
            <w:noProof/>
            <w:webHidden/>
          </w:rPr>
          <w:fldChar w:fldCharType="separate"/>
        </w:r>
        <w:r w:rsidR="005C42FD">
          <w:rPr>
            <w:noProof/>
            <w:webHidden/>
          </w:rPr>
          <w:t>20</w:t>
        </w:r>
        <w:r>
          <w:rPr>
            <w:noProof/>
            <w:webHidden/>
          </w:rPr>
          <w:fldChar w:fldCharType="end"/>
        </w:r>
      </w:hyperlink>
    </w:p>
    <w:p w:rsidR="00EF0785" w:rsidRDefault="00844CE4">
      <w:pPr>
        <w:pStyle w:val="Spistreci2"/>
        <w:tabs>
          <w:tab w:val="left" w:pos="1100"/>
          <w:tab w:val="right" w:leader="dot" w:pos="9062"/>
        </w:tabs>
        <w:rPr>
          <w:rFonts w:eastAsiaTheme="minorEastAsia"/>
          <w:noProof/>
          <w:sz w:val="22"/>
          <w:lang w:eastAsia="pl-PL"/>
        </w:rPr>
      </w:pPr>
      <w:hyperlink w:anchor="_Toc438118356" w:history="1">
        <w:r w:rsidR="00EF0785" w:rsidRPr="007E2BD9">
          <w:rPr>
            <w:rStyle w:val="Hipercze"/>
            <w:noProof/>
          </w:rPr>
          <w:t>2.1.1.</w:t>
        </w:r>
        <w:r w:rsidR="00EF0785">
          <w:rPr>
            <w:rFonts w:eastAsiaTheme="minorEastAsia"/>
            <w:noProof/>
            <w:sz w:val="22"/>
            <w:lang w:eastAsia="pl-PL"/>
          </w:rPr>
          <w:tab/>
        </w:r>
        <w:r w:rsidR="00EF0785" w:rsidRPr="007E2BD9">
          <w:rPr>
            <w:rStyle w:val="Hipercze"/>
            <w:noProof/>
          </w:rPr>
          <w:t>Historia gminy Herby</w:t>
        </w:r>
        <w:r w:rsidR="00EF0785">
          <w:rPr>
            <w:noProof/>
            <w:webHidden/>
          </w:rPr>
          <w:tab/>
        </w:r>
        <w:r>
          <w:rPr>
            <w:noProof/>
            <w:webHidden/>
          </w:rPr>
          <w:fldChar w:fldCharType="begin"/>
        </w:r>
        <w:r w:rsidR="00EF0785">
          <w:rPr>
            <w:noProof/>
            <w:webHidden/>
          </w:rPr>
          <w:instrText xml:space="preserve"> PAGEREF _Toc438118356 \h </w:instrText>
        </w:r>
        <w:r>
          <w:rPr>
            <w:noProof/>
            <w:webHidden/>
          </w:rPr>
        </w:r>
        <w:r>
          <w:rPr>
            <w:noProof/>
            <w:webHidden/>
          </w:rPr>
          <w:fldChar w:fldCharType="separate"/>
        </w:r>
        <w:r w:rsidR="005C42FD">
          <w:rPr>
            <w:noProof/>
            <w:webHidden/>
          </w:rPr>
          <w:t>23</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57" w:history="1">
        <w:r w:rsidR="00EF0785" w:rsidRPr="007E2BD9">
          <w:rPr>
            <w:rStyle w:val="Hipercze"/>
            <w:noProof/>
          </w:rPr>
          <w:t>2.2.</w:t>
        </w:r>
        <w:r w:rsidR="00EF0785">
          <w:rPr>
            <w:rFonts w:eastAsiaTheme="minorEastAsia"/>
            <w:noProof/>
            <w:sz w:val="22"/>
            <w:lang w:eastAsia="pl-PL"/>
          </w:rPr>
          <w:tab/>
        </w:r>
        <w:r w:rsidR="00EF0785" w:rsidRPr="007E2BD9">
          <w:rPr>
            <w:rStyle w:val="Hipercze"/>
            <w:noProof/>
          </w:rPr>
          <w:t>Środowisko przyrodnicze i użytkowanie gruntów</w:t>
        </w:r>
        <w:r w:rsidR="00EF0785">
          <w:rPr>
            <w:noProof/>
            <w:webHidden/>
          </w:rPr>
          <w:tab/>
        </w:r>
        <w:r>
          <w:rPr>
            <w:noProof/>
            <w:webHidden/>
          </w:rPr>
          <w:fldChar w:fldCharType="begin"/>
        </w:r>
        <w:r w:rsidR="00EF0785">
          <w:rPr>
            <w:noProof/>
            <w:webHidden/>
          </w:rPr>
          <w:instrText xml:space="preserve"> PAGEREF _Toc438118357 \h </w:instrText>
        </w:r>
        <w:r>
          <w:rPr>
            <w:noProof/>
            <w:webHidden/>
          </w:rPr>
        </w:r>
        <w:r>
          <w:rPr>
            <w:noProof/>
            <w:webHidden/>
          </w:rPr>
          <w:fldChar w:fldCharType="separate"/>
        </w:r>
        <w:r w:rsidR="005C42FD">
          <w:rPr>
            <w:noProof/>
            <w:webHidden/>
          </w:rPr>
          <w:t>23</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58" w:history="1">
        <w:r w:rsidR="00EF0785" w:rsidRPr="007E2BD9">
          <w:rPr>
            <w:rStyle w:val="Hipercze"/>
            <w:noProof/>
          </w:rPr>
          <w:t>2.2.1.</w:t>
        </w:r>
        <w:r w:rsidR="00EF0785">
          <w:rPr>
            <w:rFonts w:eastAsiaTheme="minorEastAsia"/>
            <w:noProof/>
            <w:sz w:val="22"/>
            <w:lang w:eastAsia="pl-PL"/>
          </w:rPr>
          <w:tab/>
        </w:r>
        <w:r w:rsidR="00EF0785" w:rsidRPr="007E2BD9">
          <w:rPr>
            <w:rStyle w:val="Hipercze"/>
            <w:noProof/>
          </w:rPr>
          <w:t>Klimat</w:t>
        </w:r>
        <w:r w:rsidR="00EF0785">
          <w:rPr>
            <w:noProof/>
            <w:webHidden/>
          </w:rPr>
          <w:tab/>
        </w:r>
        <w:r>
          <w:rPr>
            <w:noProof/>
            <w:webHidden/>
          </w:rPr>
          <w:fldChar w:fldCharType="begin"/>
        </w:r>
        <w:r w:rsidR="00EF0785">
          <w:rPr>
            <w:noProof/>
            <w:webHidden/>
          </w:rPr>
          <w:instrText xml:space="preserve"> PAGEREF _Toc438118358 \h </w:instrText>
        </w:r>
        <w:r>
          <w:rPr>
            <w:noProof/>
            <w:webHidden/>
          </w:rPr>
        </w:r>
        <w:r>
          <w:rPr>
            <w:noProof/>
            <w:webHidden/>
          </w:rPr>
          <w:fldChar w:fldCharType="separate"/>
        </w:r>
        <w:r w:rsidR="005C42FD">
          <w:rPr>
            <w:noProof/>
            <w:webHidden/>
          </w:rPr>
          <w:t>23</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59" w:history="1">
        <w:r w:rsidR="00EF0785" w:rsidRPr="007E2BD9">
          <w:rPr>
            <w:rStyle w:val="Hipercze"/>
            <w:noProof/>
          </w:rPr>
          <w:t>2.2.2.</w:t>
        </w:r>
        <w:r w:rsidR="00EF0785">
          <w:rPr>
            <w:rFonts w:eastAsiaTheme="minorEastAsia"/>
            <w:noProof/>
            <w:sz w:val="22"/>
            <w:lang w:eastAsia="pl-PL"/>
          </w:rPr>
          <w:tab/>
        </w:r>
        <w:r w:rsidR="00EF0785" w:rsidRPr="007E2BD9">
          <w:rPr>
            <w:rStyle w:val="Hipercze"/>
            <w:noProof/>
          </w:rPr>
          <w:t>Ukształtowanie terenu</w:t>
        </w:r>
        <w:r w:rsidR="00EF0785">
          <w:rPr>
            <w:noProof/>
            <w:webHidden/>
          </w:rPr>
          <w:tab/>
        </w:r>
        <w:r>
          <w:rPr>
            <w:noProof/>
            <w:webHidden/>
          </w:rPr>
          <w:fldChar w:fldCharType="begin"/>
        </w:r>
        <w:r w:rsidR="00EF0785">
          <w:rPr>
            <w:noProof/>
            <w:webHidden/>
          </w:rPr>
          <w:instrText xml:space="preserve"> PAGEREF _Toc438118359 \h </w:instrText>
        </w:r>
        <w:r>
          <w:rPr>
            <w:noProof/>
            <w:webHidden/>
          </w:rPr>
        </w:r>
        <w:r>
          <w:rPr>
            <w:noProof/>
            <w:webHidden/>
          </w:rPr>
          <w:fldChar w:fldCharType="separate"/>
        </w:r>
        <w:r w:rsidR="005C42FD">
          <w:rPr>
            <w:noProof/>
            <w:webHidden/>
          </w:rPr>
          <w:t>24</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0" w:history="1">
        <w:r w:rsidR="00EF0785" w:rsidRPr="007E2BD9">
          <w:rPr>
            <w:rStyle w:val="Hipercze"/>
            <w:noProof/>
          </w:rPr>
          <w:t>2.2.3.</w:t>
        </w:r>
        <w:r w:rsidR="00EF0785">
          <w:rPr>
            <w:rFonts w:eastAsiaTheme="minorEastAsia"/>
            <w:noProof/>
            <w:sz w:val="22"/>
            <w:lang w:eastAsia="pl-PL"/>
          </w:rPr>
          <w:tab/>
        </w:r>
        <w:r w:rsidR="00EF0785" w:rsidRPr="007E2BD9">
          <w:rPr>
            <w:rStyle w:val="Hipercze"/>
            <w:noProof/>
          </w:rPr>
          <w:t>Gleby</w:t>
        </w:r>
        <w:r w:rsidR="00EF0785">
          <w:rPr>
            <w:noProof/>
            <w:webHidden/>
          </w:rPr>
          <w:tab/>
        </w:r>
        <w:r>
          <w:rPr>
            <w:noProof/>
            <w:webHidden/>
          </w:rPr>
          <w:fldChar w:fldCharType="begin"/>
        </w:r>
        <w:r w:rsidR="00EF0785">
          <w:rPr>
            <w:noProof/>
            <w:webHidden/>
          </w:rPr>
          <w:instrText xml:space="preserve"> PAGEREF _Toc438118360 \h </w:instrText>
        </w:r>
        <w:r>
          <w:rPr>
            <w:noProof/>
            <w:webHidden/>
          </w:rPr>
        </w:r>
        <w:r>
          <w:rPr>
            <w:noProof/>
            <w:webHidden/>
          </w:rPr>
          <w:fldChar w:fldCharType="separate"/>
        </w:r>
        <w:r w:rsidR="005C42FD">
          <w:rPr>
            <w:noProof/>
            <w:webHidden/>
          </w:rPr>
          <w:t>25</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1" w:history="1">
        <w:r w:rsidR="00EF0785" w:rsidRPr="007E2BD9">
          <w:rPr>
            <w:rStyle w:val="Hipercze"/>
            <w:noProof/>
          </w:rPr>
          <w:t>2.2.4.</w:t>
        </w:r>
        <w:r w:rsidR="00EF0785">
          <w:rPr>
            <w:rFonts w:eastAsiaTheme="minorEastAsia"/>
            <w:noProof/>
            <w:sz w:val="22"/>
            <w:lang w:eastAsia="pl-PL"/>
          </w:rPr>
          <w:tab/>
        </w:r>
        <w:r w:rsidR="00EF0785" w:rsidRPr="007E2BD9">
          <w:rPr>
            <w:rStyle w:val="Hipercze"/>
            <w:noProof/>
          </w:rPr>
          <w:t>Sieć wodna</w:t>
        </w:r>
        <w:r w:rsidR="00EF0785">
          <w:rPr>
            <w:noProof/>
            <w:webHidden/>
          </w:rPr>
          <w:tab/>
        </w:r>
        <w:r>
          <w:rPr>
            <w:noProof/>
            <w:webHidden/>
          </w:rPr>
          <w:fldChar w:fldCharType="begin"/>
        </w:r>
        <w:r w:rsidR="00EF0785">
          <w:rPr>
            <w:noProof/>
            <w:webHidden/>
          </w:rPr>
          <w:instrText xml:space="preserve"> PAGEREF _Toc438118361 \h </w:instrText>
        </w:r>
        <w:r>
          <w:rPr>
            <w:noProof/>
            <w:webHidden/>
          </w:rPr>
        </w:r>
        <w:r>
          <w:rPr>
            <w:noProof/>
            <w:webHidden/>
          </w:rPr>
          <w:fldChar w:fldCharType="separate"/>
        </w:r>
        <w:r w:rsidR="005C42FD">
          <w:rPr>
            <w:noProof/>
            <w:webHidden/>
          </w:rPr>
          <w:t>26</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2" w:history="1">
        <w:r w:rsidR="00EF0785" w:rsidRPr="007E2BD9">
          <w:rPr>
            <w:rStyle w:val="Hipercze"/>
            <w:noProof/>
          </w:rPr>
          <w:t>2.2.5.</w:t>
        </w:r>
        <w:r w:rsidR="00EF0785">
          <w:rPr>
            <w:rFonts w:eastAsiaTheme="minorEastAsia"/>
            <w:noProof/>
            <w:sz w:val="22"/>
            <w:lang w:eastAsia="pl-PL"/>
          </w:rPr>
          <w:tab/>
        </w:r>
        <w:r w:rsidR="00EF0785" w:rsidRPr="007E2BD9">
          <w:rPr>
            <w:rStyle w:val="Hipercze"/>
            <w:noProof/>
          </w:rPr>
          <w:t>Roślinność</w:t>
        </w:r>
        <w:r w:rsidR="00EF0785">
          <w:rPr>
            <w:noProof/>
            <w:webHidden/>
          </w:rPr>
          <w:tab/>
        </w:r>
        <w:r>
          <w:rPr>
            <w:noProof/>
            <w:webHidden/>
          </w:rPr>
          <w:fldChar w:fldCharType="begin"/>
        </w:r>
        <w:r w:rsidR="00EF0785">
          <w:rPr>
            <w:noProof/>
            <w:webHidden/>
          </w:rPr>
          <w:instrText xml:space="preserve"> PAGEREF _Toc438118362 \h </w:instrText>
        </w:r>
        <w:r>
          <w:rPr>
            <w:noProof/>
            <w:webHidden/>
          </w:rPr>
        </w:r>
        <w:r>
          <w:rPr>
            <w:noProof/>
            <w:webHidden/>
          </w:rPr>
          <w:fldChar w:fldCharType="separate"/>
        </w:r>
        <w:r w:rsidR="005C42FD">
          <w:rPr>
            <w:noProof/>
            <w:webHidden/>
          </w:rPr>
          <w:t>28</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3" w:history="1">
        <w:r w:rsidR="00EF0785" w:rsidRPr="007E2BD9">
          <w:rPr>
            <w:rStyle w:val="Hipercze"/>
            <w:noProof/>
          </w:rPr>
          <w:t>2.2.6.</w:t>
        </w:r>
        <w:r w:rsidR="00EF0785">
          <w:rPr>
            <w:rFonts w:eastAsiaTheme="minorEastAsia"/>
            <w:noProof/>
            <w:sz w:val="22"/>
            <w:lang w:eastAsia="pl-PL"/>
          </w:rPr>
          <w:tab/>
        </w:r>
        <w:r w:rsidR="00EF0785" w:rsidRPr="007E2BD9">
          <w:rPr>
            <w:rStyle w:val="Hipercze"/>
            <w:noProof/>
          </w:rPr>
          <w:t>Użytkowanie gruntów</w:t>
        </w:r>
        <w:r w:rsidR="00EF0785">
          <w:rPr>
            <w:noProof/>
            <w:webHidden/>
          </w:rPr>
          <w:tab/>
        </w:r>
        <w:r>
          <w:rPr>
            <w:noProof/>
            <w:webHidden/>
          </w:rPr>
          <w:fldChar w:fldCharType="begin"/>
        </w:r>
        <w:r w:rsidR="00EF0785">
          <w:rPr>
            <w:noProof/>
            <w:webHidden/>
          </w:rPr>
          <w:instrText xml:space="preserve"> PAGEREF _Toc438118363 \h </w:instrText>
        </w:r>
        <w:r>
          <w:rPr>
            <w:noProof/>
            <w:webHidden/>
          </w:rPr>
        </w:r>
        <w:r>
          <w:rPr>
            <w:noProof/>
            <w:webHidden/>
          </w:rPr>
          <w:fldChar w:fldCharType="separate"/>
        </w:r>
        <w:r w:rsidR="005C42FD">
          <w:rPr>
            <w:noProof/>
            <w:webHidden/>
          </w:rPr>
          <w:t>29</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64" w:history="1">
        <w:r w:rsidR="00EF0785" w:rsidRPr="007E2BD9">
          <w:rPr>
            <w:rStyle w:val="Hipercze"/>
            <w:noProof/>
          </w:rPr>
          <w:t>2.3.</w:t>
        </w:r>
        <w:r w:rsidR="00EF0785">
          <w:rPr>
            <w:rFonts w:eastAsiaTheme="minorEastAsia"/>
            <w:noProof/>
            <w:sz w:val="22"/>
            <w:lang w:eastAsia="pl-PL"/>
          </w:rPr>
          <w:tab/>
        </w:r>
        <w:r w:rsidR="00EF0785" w:rsidRPr="007E2BD9">
          <w:rPr>
            <w:rStyle w:val="Hipercze"/>
            <w:noProof/>
          </w:rPr>
          <w:t>Otoczenie społeczno-gospodarcze gminy Herby</w:t>
        </w:r>
        <w:r w:rsidR="00EF0785">
          <w:rPr>
            <w:noProof/>
            <w:webHidden/>
          </w:rPr>
          <w:tab/>
        </w:r>
        <w:r>
          <w:rPr>
            <w:noProof/>
            <w:webHidden/>
          </w:rPr>
          <w:fldChar w:fldCharType="begin"/>
        </w:r>
        <w:r w:rsidR="00EF0785">
          <w:rPr>
            <w:noProof/>
            <w:webHidden/>
          </w:rPr>
          <w:instrText xml:space="preserve"> PAGEREF _Toc438118364 \h </w:instrText>
        </w:r>
        <w:r>
          <w:rPr>
            <w:noProof/>
            <w:webHidden/>
          </w:rPr>
        </w:r>
        <w:r>
          <w:rPr>
            <w:noProof/>
            <w:webHidden/>
          </w:rPr>
          <w:fldChar w:fldCharType="separate"/>
        </w:r>
        <w:r w:rsidR="005C42FD">
          <w:rPr>
            <w:noProof/>
            <w:webHidden/>
          </w:rPr>
          <w:t>32</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5" w:history="1">
        <w:r w:rsidR="00EF0785" w:rsidRPr="007E2BD9">
          <w:rPr>
            <w:rStyle w:val="Hipercze"/>
            <w:noProof/>
          </w:rPr>
          <w:t>2.3.1.</w:t>
        </w:r>
        <w:r w:rsidR="00EF0785">
          <w:rPr>
            <w:rFonts w:eastAsiaTheme="minorEastAsia"/>
            <w:noProof/>
            <w:sz w:val="22"/>
            <w:lang w:eastAsia="pl-PL"/>
          </w:rPr>
          <w:tab/>
        </w:r>
        <w:r w:rsidR="00EF0785" w:rsidRPr="007E2BD9">
          <w:rPr>
            <w:rStyle w:val="Hipercze"/>
            <w:noProof/>
          </w:rPr>
          <w:t>Migracje</w:t>
        </w:r>
        <w:r w:rsidR="00EF0785">
          <w:rPr>
            <w:noProof/>
            <w:webHidden/>
          </w:rPr>
          <w:tab/>
        </w:r>
        <w:r>
          <w:rPr>
            <w:noProof/>
            <w:webHidden/>
          </w:rPr>
          <w:fldChar w:fldCharType="begin"/>
        </w:r>
        <w:r w:rsidR="00EF0785">
          <w:rPr>
            <w:noProof/>
            <w:webHidden/>
          </w:rPr>
          <w:instrText xml:space="preserve"> PAGEREF _Toc438118365 \h </w:instrText>
        </w:r>
        <w:r>
          <w:rPr>
            <w:noProof/>
            <w:webHidden/>
          </w:rPr>
        </w:r>
        <w:r>
          <w:rPr>
            <w:noProof/>
            <w:webHidden/>
          </w:rPr>
          <w:fldChar w:fldCharType="separate"/>
        </w:r>
        <w:r w:rsidR="005C42FD">
          <w:rPr>
            <w:noProof/>
            <w:webHidden/>
          </w:rPr>
          <w:t>35</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6" w:history="1">
        <w:r w:rsidR="00EF0785" w:rsidRPr="007E2BD9">
          <w:rPr>
            <w:rStyle w:val="Hipercze"/>
            <w:noProof/>
          </w:rPr>
          <w:t>2.3.2.</w:t>
        </w:r>
        <w:r w:rsidR="00EF0785">
          <w:rPr>
            <w:rFonts w:eastAsiaTheme="minorEastAsia"/>
            <w:noProof/>
            <w:sz w:val="22"/>
            <w:lang w:eastAsia="pl-PL"/>
          </w:rPr>
          <w:tab/>
        </w:r>
        <w:r w:rsidR="00EF0785" w:rsidRPr="007E2BD9">
          <w:rPr>
            <w:rStyle w:val="Hipercze"/>
            <w:noProof/>
          </w:rPr>
          <w:t>Bezrobocie</w:t>
        </w:r>
        <w:r w:rsidR="00EF0785">
          <w:rPr>
            <w:noProof/>
            <w:webHidden/>
          </w:rPr>
          <w:tab/>
        </w:r>
        <w:r>
          <w:rPr>
            <w:noProof/>
            <w:webHidden/>
          </w:rPr>
          <w:fldChar w:fldCharType="begin"/>
        </w:r>
        <w:r w:rsidR="00EF0785">
          <w:rPr>
            <w:noProof/>
            <w:webHidden/>
          </w:rPr>
          <w:instrText xml:space="preserve"> PAGEREF _Toc438118366 \h </w:instrText>
        </w:r>
        <w:r>
          <w:rPr>
            <w:noProof/>
            <w:webHidden/>
          </w:rPr>
        </w:r>
        <w:r>
          <w:rPr>
            <w:noProof/>
            <w:webHidden/>
          </w:rPr>
          <w:fldChar w:fldCharType="separate"/>
        </w:r>
        <w:r w:rsidR="005C42FD">
          <w:rPr>
            <w:noProof/>
            <w:webHidden/>
          </w:rPr>
          <w:t>36</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7" w:history="1">
        <w:r w:rsidR="00EF0785" w:rsidRPr="007E2BD9">
          <w:rPr>
            <w:rStyle w:val="Hipercze"/>
            <w:noProof/>
          </w:rPr>
          <w:t>2.3.3.</w:t>
        </w:r>
        <w:r w:rsidR="00EF0785">
          <w:rPr>
            <w:rFonts w:eastAsiaTheme="minorEastAsia"/>
            <w:noProof/>
            <w:sz w:val="22"/>
            <w:lang w:eastAsia="pl-PL"/>
          </w:rPr>
          <w:tab/>
        </w:r>
        <w:r w:rsidR="00EF0785" w:rsidRPr="007E2BD9">
          <w:rPr>
            <w:rStyle w:val="Hipercze"/>
            <w:noProof/>
          </w:rPr>
          <w:t>Rozwój gospodarczy</w:t>
        </w:r>
        <w:r w:rsidR="00EF0785">
          <w:rPr>
            <w:noProof/>
            <w:webHidden/>
          </w:rPr>
          <w:tab/>
        </w:r>
        <w:r>
          <w:rPr>
            <w:noProof/>
            <w:webHidden/>
          </w:rPr>
          <w:fldChar w:fldCharType="begin"/>
        </w:r>
        <w:r w:rsidR="00EF0785">
          <w:rPr>
            <w:noProof/>
            <w:webHidden/>
          </w:rPr>
          <w:instrText xml:space="preserve"> PAGEREF _Toc438118367 \h </w:instrText>
        </w:r>
        <w:r>
          <w:rPr>
            <w:noProof/>
            <w:webHidden/>
          </w:rPr>
        </w:r>
        <w:r>
          <w:rPr>
            <w:noProof/>
            <w:webHidden/>
          </w:rPr>
          <w:fldChar w:fldCharType="separate"/>
        </w:r>
        <w:r w:rsidR="005C42FD">
          <w:rPr>
            <w:noProof/>
            <w:webHidden/>
          </w:rPr>
          <w:t>40</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68" w:history="1">
        <w:r w:rsidR="00EF0785" w:rsidRPr="007E2BD9">
          <w:rPr>
            <w:rStyle w:val="Hipercze"/>
            <w:noProof/>
          </w:rPr>
          <w:t>2.4.</w:t>
        </w:r>
        <w:r w:rsidR="00EF0785">
          <w:rPr>
            <w:rFonts w:eastAsiaTheme="minorEastAsia"/>
            <w:noProof/>
            <w:sz w:val="22"/>
            <w:lang w:eastAsia="pl-PL"/>
          </w:rPr>
          <w:tab/>
        </w:r>
        <w:r w:rsidR="00EF0785" w:rsidRPr="007E2BD9">
          <w:rPr>
            <w:rStyle w:val="Hipercze"/>
            <w:noProof/>
          </w:rPr>
          <w:t>Infrastruktura</w:t>
        </w:r>
        <w:r w:rsidR="00EF0785">
          <w:rPr>
            <w:noProof/>
            <w:webHidden/>
          </w:rPr>
          <w:tab/>
        </w:r>
        <w:r>
          <w:rPr>
            <w:noProof/>
            <w:webHidden/>
          </w:rPr>
          <w:fldChar w:fldCharType="begin"/>
        </w:r>
        <w:r w:rsidR="00EF0785">
          <w:rPr>
            <w:noProof/>
            <w:webHidden/>
          </w:rPr>
          <w:instrText xml:space="preserve"> PAGEREF _Toc438118368 \h </w:instrText>
        </w:r>
        <w:r>
          <w:rPr>
            <w:noProof/>
            <w:webHidden/>
          </w:rPr>
        </w:r>
        <w:r>
          <w:rPr>
            <w:noProof/>
            <w:webHidden/>
          </w:rPr>
          <w:fldChar w:fldCharType="separate"/>
        </w:r>
        <w:r w:rsidR="005C42FD">
          <w:rPr>
            <w:noProof/>
            <w:webHidden/>
          </w:rPr>
          <w:t>44</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69" w:history="1">
        <w:r w:rsidR="00EF0785" w:rsidRPr="007E2BD9">
          <w:rPr>
            <w:rStyle w:val="Hipercze"/>
            <w:noProof/>
          </w:rPr>
          <w:t>2.4.1.</w:t>
        </w:r>
        <w:r w:rsidR="00EF0785">
          <w:rPr>
            <w:rFonts w:eastAsiaTheme="minorEastAsia"/>
            <w:noProof/>
            <w:sz w:val="22"/>
            <w:lang w:eastAsia="pl-PL"/>
          </w:rPr>
          <w:tab/>
        </w:r>
        <w:r w:rsidR="00EF0785" w:rsidRPr="007E2BD9">
          <w:rPr>
            <w:rStyle w:val="Hipercze"/>
            <w:noProof/>
          </w:rPr>
          <w:t>Komunikacja</w:t>
        </w:r>
        <w:r w:rsidR="00EF0785">
          <w:rPr>
            <w:noProof/>
            <w:webHidden/>
          </w:rPr>
          <w:tab/>
        </w:r>
        <w:r>
          <w:rPr>
            <w:noProof/>
            <w:webHidden/>
          </w:rPr>
          <w:fldChar w:fldCharType="begin"/>
        </w:r>
        <w:r w:rsidR="00EF0785">
          <w:rPr>
            <w:noProof/>
            <w:webHidden/>
          </w:rPr>
          <w:instrText xml:space="preserve"> PAGEREF _Toc438118369 \h </w:instrText>
        </w:r>
        <w:r>
          <w:rPr>
            <w:noProof/>
            <w:webHidden/>
          </w:rPr>
        </w:r>
        <w:r>
          <w:rPr>
            <w:noProof/>
            <w:webHidden/>
          </w:rPr>
          <w:fldChar w:fldCharType="separate"/>
        </w:r>
        <w:r w:rsidR="005C42FD">
          <w:rPr>
            <w:noProof/>
            <w:webHidden/>
          </w:rPr>
          <w:t>44</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0" w:history="1">
        <w:r w:rsidR="00EF0785" w:rsidRPr="007E2BD9">
          <w:rPr>
            <w:rStyle w:val="Hipercze"/>
            <w:noProof/>
          </w:rPr>
          <w:t>2.4.2.</w:t>
        </w:r>
        <w:r w:rsidR="00EF0785">
          <w:rPr>
            <w:rFonts w:eastAsiaTheme="minorEastAsia"/>
            <w:noProof/>
            <w:sz w:val="22"/>
            <w:lang w:eastAsia="pl-PL"/>
          </w:rPr>
          <w:tab/>
        </w:r>
        <w:r w:rsidR="00EF0785" w:rsidRPr="007E2BD9">
          <w:rPr>
            <w:rStyle w:val="Hipercze"/>
            <w:noProof/>
          </w:rPr>
          <w:t>Zaopatrzenie w wodę i gospodarka ściekowa</w:t>
        </w:r>
        <w:r w:rsidR="00EF0785">
          <w:rPr>
            <w:noProof/>
            <w:webHidden/>
          </w:rPr>
          <w:tab/>
        </w:r>
        <w:r>
          <w:rPr>
            <w:noProof/>
            <w:webHidden/>
          </w:rPr>
          <w:fldChar w:fldCharType="begin"/>
        </w:r>
        <w:r w:rsidR="00EF0785">
          <w:rPr>
            <w:noProof/>
            <w:webHidden/>
          </w:rPr>
          <w:instrText xml:space="preserve"> PAGEREF _Toc438118370 \h </w:instrText>
        </w:r>
        <w:r>
          <w:rPr>
            <w:noProof/>
            <w:webHidden/>
          </w:rPr>
        </w:r>
        <w:r>
          <w:rPr>
            <w:noProof/>
            <w:webHidden/>
          </w:rPr>
          <w:fldChar w:fldCharType="separate"/>
        </w:r>
        <w:r w:rsidR="005C42FD">
          <w:rPr>
            <w:noProof/>
            <w:webHidden/>
          </w:rPr>
          <w:t>46</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1" w:history="1">
        <w:r w:rsidR="00EF0785" w:rsidRPr="007E2BD9">
          <w:rPr>
            <w:rStyle w:val="Hipercze"/>
            <w:noProof/>
          </w:rPr>
          <w:t>2.4.3.</w:t>
        </w:r>
        <w:r w:rsidR="00EF0785">
          <w:rPr>
            <w:rFonts w:eastAsiaTheme="minorEastAsia"/>
            <w:noProof/>
            <w:sz w:val="22"/>
            <w:lang w:eastAsia="pl-PL"/>
          </w:rPr>
          <w:tab/>
        </w:r>
        <w:r w:rsidR="00EF0785" w:rsidRPr="007E2BD9">
          <w:rPr>
            <w:rStyle w:val="Hipercze"/>
            <w:noProof/>
          </w:rPr>
          <w:t>Gospodarka odpadami</w:t>
        </w:r>
        <w:r w:rsidR="00EF0785">
          <w:rPr>
            <w:noProof/>
            <w:webHidden/>
          </w:rPr>
          <w:tab/>
        </w:r>
        <w:r>
          <w:rPr>
            <w:noProof/>
            <w:webHidden/>
          </w:rPr>
          <w:fldChar w:fldCharType="begin"/>
        </w:r>
        <w:r w:rsidR="00EF0785">
          <w:rPr>
            <w:noProof/>
            <w:webHidden/>
          </w:rPr>
          <w:instrText xml:space="preserve"> PAGEREF _Toc438118371 \h </w:instrText>
        </w:r>
        <w:r>
          <w:rPr>
            <w:noProof/>
            <w:webHidden/>
          </w:rPr>
        </w:r>
        <w:r>
          <w:rPr>
            <w:noProof/>
            <w:webHidden/>
          </w:rPr>
          <w:fldChar w:fldCharType="separate"/>
        </w:r>
        <w:r w:rsidR="005C42FD">
          <w:rPr>
            <w:noProof/>
            <w:webHidden/>
          </w:rPr>
          <w:t>50</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2" w:history="1">
        <w:r w:rsidR="00EF0785" w:rsidRPr="007E2BD9">
          <w:rPr>
            <w:rStyle w:val="Hipercze"/>
            <w:noProof/>
          </w:rPr>
          <w:t>2.4.4.</w:t>
        </w:r>
        <w:r w:rsidR="00EF0785">
          <w:rPr>
            <w:rFonts w:eastAsiaTheme="minorEastAsia"/>
            <w:noProof/>
            <w:sz w:val="22"/>
            <w:lang w:eastAsia="pl-PL"/>
          </w:rPr>
          <w:tab/>
        </w:r>
        <w:r w:rsidR="00EF0785" w:rsidRPr="007E2BD9">
          <w:rPr>
            <w:rStyle w:val="Hipercze"/>
            <w:noProof/>
          </w:rPr>
          <w:t>Sieć gazowa</w:t>
        </w:r>
        <w:r w:rsidR="00EF0785">
          <w:rPr>
            <w:noProof/>
            <w:webHidden/>
          </w:rPr>
          <w:tab/>
        </w:r>
        <w:r>
          <w:rPr>
            <w:noProof/>
            <w:webHidden/>
          </w:rPr>
          <w:fldChar w:fldCharType="begin"/>
        </w:r>
        <w:r w:rsidR="00EF0785">
          <w:rPr>
            <w:noProof/>
            <w:webHidden/>
          </w:rPr>
          <w:instrText xml:space="preserve"> PAGEREF _Toc438118372 \h </w:instrText>
        </w:r>
        <w:r>
          <w:rPr>
            <w:noProof/>
            <w:webHidden/>
          </w:rPr>
        </w:r>
        <w:r>
          <w:rPr>
            <w:noProof/>
            <w:webHidden/>
          </w:rPr>
          <w:fldChar w:fldCharType="separate"/>
        </w:r>
        <w:r w:rsidR="005C42FD">
          <w:rPr>
            <w:noProof/>
            <w:webHidden/>
          </w:rPr>
          <w:t>51</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3" w:history="1">
        <w:r w:rsidR="00EF0785" w:rsidRPr="007E2BD9">
          <w:rPr>
            <w:rStyle w:val="Hipercze"/>
            <w:noProof/>
          </w:rPr>
          <w:t>2.4.5.</w:t>
        </w:r>
        <w:r w:rsidR="00EF0785">
          <w:rPr>
            <w:rFonts w:eastAsiaTheme="minorEastAsia"/>
            <w:noProof/>
            <w:sz w:val="22"/>
            <w:lang w:eastAsia="pl-PL"/>
          </w:rPr>
          <w:tab/>
        </w:r>
        <w:r w:rsidR="00EF0785" w:rsidRPr="007E2BD9">
          <w:rPr>
            <w:rStyle w:val="Hipercze"/>
            <w:noProof/>
          </w:rPr>
          <w:t>Mieszkalnictwo</w:t>
        </w:r>
        <w:r w:rsidR="00EF0785">
          <w:rPr>
            <w:noProof/>
            <w:webHidden/>
          </w:rPr>
          <w:tab/>
        </w:r>
        <w:r>
          <w:rPr>
            <w:noProof/>
            <w:webHidden/>
          </w:rPr>
          <w:fldChar w:fldCharType="begin"/>
        </w:r>
        <w:r w:rsidR="00EF0785">
          <w:rPr>
            <w:noProof/>
            <w:webHidden/>
          </w:rPr>
          <w:instrText xml:space="preserve"> PAGEREF _Toc438118373 \h </w:instrText>
        </w:r>
        <w:r>
          <w:rPr>
            <w:noProof/>
            <w:webHidden/>
          </w:rPr>
        </w:r>
        <w:r>
          <w:rPr>
            <w:noProof/>
            <w:webHidden/>
          </w:rPr>
          <w:fldChar w:fldCharType="separate"/>
        </w:r>
        <w:r w:rsidR="005C42FD">
          <w:rPr>
            <w:noProof/>
            <w:webHidden/>
          </w:rPr>
          <w:t>51</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4" w:history="1">
        <w:r w:rsidR="00EF0785" w:rsidRPr="007E2BD9">
          <w:rPr>
            <w:rStyle w:val="Hipercze"/>
            <w:noProof/>
          </w:rPr>
          <w:t>2.4.6.</w:t>
        </w:r>
        <w:r w:rsidR="00EF0785">
          <w:rPr>
            <w:rFonts w:eastAsiaTheme="minorEastAsia"/>
            <w:noProof/>
            <w:sz w:val="22"/>
            <w:lang w:eastAsia="pl-PL"/>
          </w:rPr>
          <w:tab/>
        </w:r>
        <w:r w:rsidR="00EF0785" w:rsidRPr="007E2BD9">
          <w:rPr>
            <w:rStyle w:val="Hipercze"/>
            <w:noProof/>
          </w:rPr>
          <w:t>Ciepłownictwo</w:t>
        </w:r>
        <w:r w:rsidR="00EF0785">
          <w:rPr>
            <w:noProof/>
            <w:webHidden/>
          </w:rPr>
          <w:tab/>
        </w:r>
        <w:r>
          <w:rPr>
            <w:noProof/>
            <w:webHidden/>
          </w:rPr>
          <w:fldChar w:fldCharType="begin"/>
        </w:r>
        <w:r w:rsidR="00EF0785">
          <w:rPr>
            <w:noProof/>
            <w:webHidden/>
          </w:rPr>
          <w:instrText xml:space="preserve"> PAGEREF _Toc438118374 \h </w:instrText>
        </w:r>
        <w:r>
          <w:rPr>
            <w:noProof/>
            <w:webHidden/>
          </w:rPr>
        </w:r>
        <w:r>
          <w:rPr>
            <w:noProof/>
            <w:webHidden/>
          </w:rPr>
          <w:fldChar w:fldCharType="separate"/>
        </w:r>
        <w:r w:rsidR="005C42FD">
          <w:rPr>
            <w:noProof/>
            <w:webHidden/>
          </w:rPr>
          <w:t>53</w:t>
        </w:r>
        <w:r>
          <w:rPr>
            <w:noProof/>
            <w:webHidden/>
          </w:rPr>
          <w:fldChar w:fldCharType="end"/>
        </w:r>
      </w:hyperlink>
    </w:p>
    <w:p w:rsidR="00EF0785" w:rsidRDefault="00844CE4">
      <w:pPr>
        <w:pStyle w:val="Spistreci1"/>
        <w:rPr>
          <w:rFonts w:eastAsiaTheme="minorEastAsia"/>
          <w:noProof/>
          <w:sz w:val="22"/>
          <w:lang w:eastAsia="pl-PL"/>
        </w:rPr>
      </w:pPr>
      <w:hyperlink w:anchor="_Toc438118375" w:history="1">
        <w:r w:rsidR="00EF0785" w:rsidRPr="007E2BD9">
          <w:rPr>
            <w:rStyle w:val="Hipercze"/>
            <w:noProof/>
          </w:rPr>
          <w:t>3.</w:t>
        </w:r>
        <w:r w:rsidR="00EF0785">
          <w:rPr>
            <w:rFonts w:eastAsiaTheme="minorEastAsia"/>
            <w:noProof/>
            <w:sz w:val="22"/>
            <w:lang w:eastAsia="pl-PL"/>
          </w:rPr>
          <w:tab/>
        </w:r>
        <w:r w:rsidR="00EF0785" w:rsidRPr="007E2BD9">
          <w:rPr>
            <w:rStyle w:val="Hipercze"/>
            <w:noProof/>
          </w:rPr>
          <w:t>Ogólna strategia</w:t>
        </w:r>
        <w:r w:rsidR="00EF0785">
          <w:rPr>
            <w:noProof/>
            <w:webHidden/>
          </w:rPr>
          <w:tab/>
        </w:r>
        <w:r>
          <w:rPr>
            <w:noProof/>
            <w:webHidden/>
          </w:rPr>
          <w:fldChar w:fldCharType="begin"/>
        </w:r>
        <w:r w:rsidR="00EF0785">
          <w:rPr>
            <w:noProof/>
            <w:webHidden/>
          </w:rPr>
          <w:instrText xml:space="preserve"> PAGEREF _Toc438118375 \h </w:instrText>
        </w:r>
        <w:r>
          <w:rPr>
            <w:noProof/>
            <w:webHidden/>
          </w:rPr>
        </w:r>
        <w:r>
          <w:rPr>
            <w:noProof/>
            <w:webHidden/>
          </w:rPr>
          <w:fldChar w:fldCharType="separate"/>
        </w:r>
        <w:r w:rsidR="005C42FD">
          <w:rPr>
            <w:noProof/>
            <w:webHidden/>
          </w:rPr>
          <w:t>54</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76" w:history="1">
        <w:r w:rsidR="00EF0785" w:rsidRPr="007E2BD9">
          <w:rPr>
            <w:rStyle w:val="Hipercze"/>
            <w:noProof/>
          </w:rPr>
          <w:t>3.1.</w:t>
        </w:r>
        <w:r w:rsidR="00EF0785">
          <w:rPr>
            <w:rFonts w:eastAsiaTheme="minorEastAsia"/>
            <w:noProof/>
            <w:sz w:val="22"/>
            <w:lang w:eastAsia="pl-PL"/>
          </w:rPr>
          <w:tab/>
        </w:r>
        <w:r w:rsidR="00EF0785" w:rsidRPr="007E2BD9">
          <w:rPr>
            <w:rStyle w:val="Hipercze"/>
            <w:noProof/>
          </w:rPr>
          <w:t>Identyfikacja obszarów problemowych</w:t>
        </w:r>
        <w:r w:rsidR="00EF0785">
          <w:rPr>
            <w:noProof/>
            <w:webHidden/>
          </w:rPr>
          <w:tab/>
        </w:r>
        <w:r>
          <w:rPr>
            <w:noProof/>
            <w:webHidden/>
          </w:rPr>
          <w:fldChar w:fldCharType="begin"/>
        </w:r>
        <w:r w:rsidR="00EF0785">
          <w:rPr>
            <w:noProof/>
            <w:webHidden/>
          </w:rPr>
          <w:instrText xml:space="preserve"> PAGEREF _Toc438118376 \h </w:instrText>
        </w:r>
        <w:r>
          <w:rPr>
            <w:noProof/>
            <w:webHidden/>
          </w:rPr>
        </w:r>
        <w:r>
          <w:rPr>
            <w:noProof/>
            <w:webHidden/>
          </w:rPr>
          <w:fldChar w:fldCharType="separate"/>
        </w:r>
        <w:r w:rsidR="005C42FD">
          <w:rPr>
            <w:noProof/>
            <w:webHidden/>
          </w:rPr>
          <w:t>54</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77" w:history="1">
        <w:r w:rsidR="00EF0785" w:rsidRPr="007E2BD9">
          <w:rPr>
            <w:rStyle w:val="Hipercze"/>
            <w:noProof/>
          </w:rPr>
          <w:t>3.2.</w:t>
        </w:r>
        <w:r w:rsidR="00EF0785">
          <w:rPr>
            <w:rFonts w:eastAsiaTheme="minorEastAsia"/>
            <w:noProof/>
            <w:sz w:val="22"/>
            <w:lang w:eastAsia="pl-PL"/>
          </w:rPr>
          <w:tab/>
        </w:r>
        <w:r w:rsidR="00EF0785" w:rsidRPr="007E2BD9">
          <w:rPr>
            <w:rStyle w:val="Hipercze"/>
            <w:noProof/>
          </w:rPr>
          <w:t>Cele strategiczne i szczegółowe</w:t>
        </w:r>
        <w:r w:rsidR="00EF0785">
          <w:rPr>
            <w:noProof/>
            <w:webHidden/>
          </w:rPr>
          <w:tab/>
        </w:r>
        <w:r>
          <w:rPr>
            <w:noProof/>
            <w:webHidden/>
          </w:rPr>
          <w:fldChar w:fldCharType="begin"/>
        </w:r>
        <w:r w:rsidR="00EF0785">
          <w:rPr>
            <w:noProof/>
            <w:webHidden/>
          </w:rPr>
          <w:instrText xml:space="preserve"> PAGEREF _Toc438118377 \h </w:instrText>
        </w:r>
        <w:r>
          <w:rPr>
            <w:noProof/>
            <w:webHidden/>
          </w:rPr>
        </w:r>
        <w:r>
          <w:rPr>
            <w:noProof/>
            <w:webHidden/>
          </w:rPr>
          <w:fldChar w:fldCharType="separate"/>
        </w:r>
        <w:r w:rsidR="005C42FD">
          <w:rPr>
            <w:noProof/>
            <w:webHidden/>
          </w:rPr>
          <w:t>57</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78" w:history="1">
        <w:r w:rsidR="00EF0785" w:rsidRPr="007E2BD9">
          <w:rPr>
            <w:rStyle w:val="Hipercze"/>
            <w:noProof/>
          </w:rPr>
          <w:t>3.3.</w:t>
        </w:r>
        <w:r w:rsidR="00EF0785">
          <w:rPr>
            <w:rFonts w:eastAsiaTheme="minorEastAsia"/>
            <w:noProof/>
            <w:sz w:val="22"/>
            <w:lang w:eastAsia="pl-PL"/>
          </w:rPr>
          <w:tab/>
        </w:r>
        <w:r w:rsidR="00EF0785" w:rsidRPr="007E2BD9">
          <w:rPr>
            <w:rStyle w:val="Hipercze"/>
            <w:noProof/>
          </w:rPr>
          <w:t>Aspekty organizacyjne i finansowe</w:t>
        </w:r>
        <w:r w:rsidR="00EF0785">
          <w:rPr>
            <w:noProof/>
            <w:webHidden/>
          </w:rPr>
          <w:tab/>
        </w:r>
        <w:r>
          <w:rPr>
            <w:noProof/>
            <w:webHidden/>
          </w:rPr>
          <w:fldChar w:fldCharType="begin"/>
        </w:r>
        <w:r w:rsidR="00EF0785">
          <w:rPr>
            <w:noProof/>
            <w:webHidden/>
          </w:rPr>
          <w:instrText xml:space="preserve"> PAGEREF _Toc438118378 \h </w:instrText>
        </w:r>
        <w:r>
          <w:rPr>
            <w:noProof/>
            <w:webHidden/>
          </w:rPr>
        </w:r>
        <w:r>
          <w:rPr>
            <w:noProof/>
            <w:webHidden/>
          </w:rPr>
          <w:fldChar w:fldCharType="separate"/>
        </w:r>
        <w:r w:rsidR="005C42FD">
          <w:rPr>
            <w:noProof/>
            <w:webHidden/>
          </w:rPr>
          <w:t>58</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79" w:history="1">
        <w:r w:rsidR="00EF0785" w:rsidRPr="007E2BD9">
          <w:rPr>
            <w:rStyle w:val="Hipercze"/>
            <w:noProof/>
          </w:rPr>
          <w:t>3.3.1.</w:t>
        </w:r>
        <w:r w:rsidR="00EF0785">
          <w:rPr>
            <w:rFonts w:eastAsiaTheme="minorEastAsia"/>
            <w:noProof/>
            <w:sz w:val="22"/>
            <w:lang w:eastAsia="pl-PL"/>
          </w:rPr>
          <w:tab/>
        </w:r>
        <w:r w:rsidR="00EF0785" w:rsidRPr="007E2BD9">
          <w:rPr>
            <w:rStyle w:val="Hipercze"/>
            <w:noProof/>
          </w:rPr>
          <w:t>Źródła finansowania pozabudżetowego</w:t>
        </w:r>
        <w:r w:rsidR="00EF0785">
          <w:rPr>
            <w:noProof/>
            <w:webHidden/>
          </w:rPr>
          <w:tab/>
        </w:r>
        <w:r>
          <w:rPr>
            <w:noProof/>
            <w:webHidden/>
          </w:rPr>
          <w:fldChar w:fldCharType="begin"/>
        </w:r>
        <w:r w:rsidR="00EF0785">
          <w:rPr>
            <w:noProof/>
            <w:webHidden/>
          </w:rPr>
          <w:instrText xml:space="preserve"> PAGEREF _Toc438118379 \h </w:instrText>
        </w:r>
        <w:r>
          <w:rPr>
            <w:noProof/>
            <w:webHidden/>
          </w:rPr>
        </w:r>
        <w:r>
          <w:rPr>
            <w:noProof/>
            <w:webHidden/>
          </w:rPr>
          <w:fldChar w:fldCharType="separate"/>
        </w:r>
        <w:r w:rsidR="005C42FD">
          <w:rPr>
            <w:noProof/>
            <w:webHidden/>
          </w:rPr>
          <w:t>59</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0" w:history="1">
        <w:r w:rsidR="00EF0785" w:rsidRPr="007E2BD9">
          <w:rPr>
            <w:rStyle w:val="Hipercze"/>
            <w:noProof/>
          </w:rPr>
          <w:t>3.3.2.</w:t>
        </w:r>
        <w:r w:rsidR="00EF0785">
          <w:rPr>
            <w:rFonts w:eastAsiaTheme="minorEastAsia"/>
            <w:noProof/>
            <w:sz w:val="22"/>
            <w:lang w:eastAsia="pl-PL"/>
          </w:rPr>
          <w:tab/>
        </w:r>
        <w:r w:rsidR="00EF0785" w:rsidRPr="007E2BD9">
          <w:rPr>
            <w:rStyle w:val="Hipercze"/>
            <w:noProof/>
          </w:rPr>
          <w:t>Źródła finansowania na poziomie międzynarodowym</w:t>
        </w:r>
        <w:r w:rsidR="00EF0785">
          <w:rPr>
            <w:noProof/>
            <w:webHidden/>
          </w:rPr>
          <w:tab/>
        </w:r>
        <w:r>
          <w:rPr>
            <w:noProof/>
            <w:webHidden/>
          </w:rPr>
          <w:fldChar w:fldCharType="begin"/>
        </w:r>
        <w:r w:rsidR="00EF0785">
          <w:rPr>
            <w:noProof/>
            <w:webHidden/>
          </w:rPr>
          <w:instrText xml:space="preserve"> PAGEREF _Toc438118380 \h </w:instrText>
        </w:r>
        <w:r>
          <w:rPr>
            <w:noProof/>
            <w:webHidden/>
          </w:rPr>
        </w:r>
        <w:r>
          <w:rPr>
            <w:noProof/>
            <w:webHidden/>
          </w:rPr>
          <w:fldChar w:fldCharType="separate"/>
        </w:r>
        <w:r w:rsidR="005C42FD">
          <w:rPr>
            <w:noProof/>
            <w:webHidden/>
          </w:rPr>
          <w:t>60</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1" w:history="1">
        <w:r w:rsidR="00EF0785" w:rsidRPr="007E2BD9">
          <w:rPr>
            <w:rStyle w:val="Hipercze"/>
            <w:noProof/>
          </w:rPr>
          <w:t>3.3.3.</w:t>
        </w:r>
        <w:r w:rsidR="00EF0785">
          <w:rPr>
            <w:rFonts w:eastAsiaTheme="minorEastAsia"/>
            <w:noProof/>
            <w:sz w:val="22"/>
            <w:lang w:eastAsia="pl-PL"/>
          </w:rPr>
          <w:tab/>
        </w:r>
        <w:r w:rsidR="00EF0785" w:rsidRPr="007E2BD9">
          <w:rPr>
            <w:rStyle w:val="Hipercze"/>
            <w:noProof/>
          </w:rPr>
          <w:t>Źródła finansowania na poziomie krajowym</w:t>
        </w:r>
        <w:r w:rsidR="00EF0785">
          <w:rPr>
            <w:noProof/>
            <w:webHidden/>
          </w:rPr>
          <w:tab/>
        </w:r>
        <w:r>
          <w:rPr>
            <w:noProof/>
            <w:webHidden/>
          </w:rPr>
          <w:fldChar w:fldCharType="begin"/>
        </w:r>
        <w:r w:rsidR="00EF0785">
          <w:rPr>
            <w:noProof/>
            <w:webHidden/>
          </w:rPr>
          <w:instrText xml:space="preserve"> PAGEREF _Toc438118381 \h </w:instrText>
        </w:r>
        <w:r>
          <w:rPr>
            <w:noProof/>
            <w:webHidden/>
          </w:rPr>
        </w:r>
        <w:r>
          <w:rPr>
            <w:noProof/>
            <w:webHidden/>
          </w:rPr>
          <w:fldChar w:fldCharType="separate"/>
        </w:r>
        <w:r w:rsidR="005C42FD">
          <w:rPr>
            <w:noProof/>
            <w:webHidden/>
          </w:rPr>
          <w:t>61</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2" w:history="1">
        <w:r w:rsidR="00EF0785" w:rsidRPr="007E2BD9">
          <w:rPr>
            <w:rStyle w:val="Hipercze"/>
            <w:noProof/>
          </w:rPr>
          <w:t>3.3.4.</w:t>
        </w:r>
        <w:r w:rsidR="00EF0785">
          <w:rPr>
            <w:rFonts w:eastAsiaTheme="minorEastAsia"/>
            <w:noProof/>
            <w:sz w:val="22"/>
            <w:lang w:eastAsia="pl-PL"/>
          </w:rPr>
          <w:tab/>
        </w:r>
        <w:r w:rsidR="00EF0785" w:rsidRPr="007E2BD9">
          <w:rPr>
            <w:rStyle w:val="Hipercze"/>
            <w:noProof/>
          </w:rPr>
          <w:t xml:space="preserve">Finansowanie przez Narodowy Fundusz Ochrony Środowiska i Gospodarki </w:t>
        </w:r>
        <w:r w:rsidR="00DA3E63">
          <w:rPr>
            <w:rStyle w:val="Hipercze"/>
            <w:noProof/>
          </w:rPr>
          <w:t xml:space="preserve">                  </w:t>
        </w:r>
        <w:r w:rsidR="00EF0785" w:rsidRPr="007E2BD9">
          <w:rPr>
            <w:rStyle w:val="Hipercze"/>
            <w:noProof/>
          </w:rPr>
          <w:t>Wodnej</w:t>
        </w:r>
        <w:r w:rsidR="00DA3E63">
          <w:rPr>
            <w:rStyle w:val="Hipercze"/>
            <w:noProof/>
          </w:rPr>
          <w:t>………………….</w:t>
        </w:r>
        <w:r w:rsidR="00EF0785">
          <w:rPr>
            <w:noProof/>
            <w:webHidden/>
          </w:rPr>
          <w:tab/>
        </w:r>
        <w:r>
          <w:rPr>
            <w:noProof/>
            <w:webHidden/>
          </w:rPr>
          <w:fldChar w:fldCharType="begin"/>
        </w:r>
        <w:r w:rsidR="00EF0785">
          <w:rPr>
            <w:noProof/>
            <w:webHidden/>
          </w:rPr>
          <w:instrText xml:space="preserve"> PAGEREF _Toc438118382 \h </w:instrText>
        </w:r>
        <w:r>
          <w:rPr>
            <w:noProof/>
            <w:webHidden/>
          </w:rPr>
        </w:r>
        <w:r>
          <w:rPr>
            <w:noProof/>
            <w:webHidden/>
          </w:rPr>
          <w:fldChar w:fldCharType="separate"/>
        </w:r>
        <w:r w:rsidR="005C42FD">
          <w:rPr>
            <w:noProof/>
            <w:webHidden/>
          </w:rPr>
          <w:t>64</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3" w:history="1">
        <w:r w:rsidR="00EF0785" w:rsidRPr="007E2BD9">
          <w:rPr>
            <w:rStyle w:val="Hipercze"/>
            <w:noProof/>
          </w:rPr>
          <w:t>3.3.5.</w:t>
        </w:r>
        <w:r w:rsidR="00EF0785">
          <w:rPr>
            <w:rFonts w:eastAsiaTheme="minorEastAsia"/>
            <w:noProof/>
            <w:sz w:val="22"/>
            <w:lang w:eastAsia="pl-PL"/>
          </w:rPr>
          <w:tab/>
        </w:r>
        <w:r w:rsidR="00EF0785" w:rsidRPr="007E2BD9">
          <w:rPr>
            <w:rStyle w:val="Hipercze"/>
            <w:noProof/>
          </w:rPr>
          <w:t>Źródła finansowania na poziomie wojewódzkim</w:t>
        </w:r>
        <w:r w:rsidR="00EF0785">
          <w:rPr>
            <w:noProof/>
            <w:webHidden/>
          </w:rPr>
          <w:tab/>
        </w:r>
        <w:r>
          <w:rPr>
            <w:noProof/>
            <w:webHidden/>
          </w:rPr>
          <w:fldChar w:fldCharType="begin"/>
        </w:r>
        <w:r w:rsidR="00EF0785">
          <w:rPr>
            <w:noProof/>
            <w:webHidden/>
          </w:rPr>
          <w:instrText xml:space="preserve"> PAGEREF _Toc438118383 \h </w:instrText>
        </w:r>
        <w:r>
          <w:rPr>
            <w:noProof/>
            <w:webHidden/>
          </w:rPr>
        </w:r>
        <w:r>
          <w:rPr>
            <w:noProof/>
            <w:webHidden/>
          </w:rPr>
          <w:fldChar w:fldCharType="separate"/>
        </w:r>
        <w:r w:rsidR="005C42FD">
          <w:rPr>
            <w:noProof/>
            <w:webHidden/>
          </w:rPr>
          <w:t>67</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4" w:history="1">
        <w:r w:rsidR="00EF0785" w:rsidRPr="007E2BD9">
          <w:rPr>
            <w:rStyle w:val="Hipercze"/>
            <w:noProof/>
          </w:rPr>
          <w:t>3.3.6.</w:t>
        </w:r>
        <w:r w:rsidR="00EF0785">
          <w:rPr>
            <w:rFonts w:eastAsiaTheme="minorEastAsia"/>
            <w:noProof/>
            <w:sz w:val="22"/>
            <w:lang w:eastAsia="pl-PL"/>
          </w:rPr>
          <w:tab/>
        </w:r>
        <w:r w:rsidR="00EF0785" w:rsidRPr="007E2BD9">
          <w:rPr>
            <w:rStyle w:val="Hipercze"/>
            <w:noProof/>
          </w:rPr>
          <w:t>Organizacje i instytucje zaangażowane w finansowanie innowacyjnych projektów w zakresie efektywnej energii (EE) i odnawialnych źródeł energii (OZE)</w:t>
        </w:r>
        <w:r w:rsidR="00EF0785">
          <w:rPr>
            <w:noProof/>
            <w:webHidden/>
          </w:rPr>
          <w:tab/>
        </w:r>
        <w:r>
          <w:rPr>
            <w:noProof/>
            <w:webHidden/>
          </w:rPr>
          <w:fldChar w:fldCharType="begin"/>
        </w:r>
        <w:r w:rsidR="00EF0785">
          <w:rPr>
            <w:noProof/>
            <w:webHidden/>
          </w:rPr>
          <w:instrText xml:space="preserve"> PAGEREF _Toc438118384 \h </w:instrText>
        </w:r>
        <w:r>
          <w:rPr>
            <w:noProof/>
            <w:webHidden/>
          </w:rPr>
        </w:r>
        <w:r>
          <w:rPr>
            <w:noProof/>
            <w:webHidden/>
          </w:rPr>
          <w:fldChar w:fldCharType="separate"/>
        </w:r>
        <w:r w:rsidR="005C42FD">
          <w:rPr>
            <w:noProof/>
            <w:webHidden/>
          </w:rPr>
          <w:t>70</w:t>
        </w:r>
        <w:r>
          <w:rPr>
            <w:noProof/>
            <w:webHidden/>
          </w:rPr>
          <w:fldChar w:fldCharType="end"/>
        </w:r>
      </w:hyperlink>
    </w:p>
    <w:p w:rsidR="00EF0785" w:rsidRDefault="00844CE4">
      <w:pPr>
        <w:pStyle w:val="Spistreci1"/>
        <w:rPr>
          <w:rFonts w:eastAsiaTheme="minorEastAsia"/>
          <w:noProof/>
          <w:sz w:val="22"/>
          <w:lang w:eastAsia="pl-PL"/>
        </w:rPr>
      </w:pPr>
      <w:hyperlink w:anchor="_Toc438118385" w:history="1">
        <w:r w:rsidR="00EF0785" w:rsidRPr="007E2BD9">
          <w:rPr>
            <w:rStyle w:val="Hipercze"/>
            <w:noProof/>
          </w:rPr>
          <w:t>4.</w:t>
        </w:r>
        <w:r w:rsidR="00EF0785">
          <w:rPr>
            <w:rFonts w:eastAsiaTheme="minorEastAsia"/>
            <w:noProof/>
            <w:sz w:val="22"/>
            <w:lang w:eastAsia="pl-PL"/>
          </w:rPr>
          <w:tab/>
        </w:r>
        <w:r w:rsidR="00EF0785" w:rsidRPr="007E2BD9">
          <w:rPr>
            <w:rStyle w:val="Hipercze"/>
            <w:noProof/>
          </w:rPr>
          <w:t>Wyniki bazowej inwentaryzacji emisji dwutlenku węgla (CO</w:t>
        </w:r>
        <w:r w:rsidR="00EF0785" w:rsidRPr="007E2BD9">
          <w:rPr>
            <w:rStyle w:val="Hipercze"/>
            <w:noProof/>
            <w:vertAlign w:val="subscript"/>
          </w:rPr>
          <w:t>2</w:t>
        </w:r>
        <w:r w:rsidR="00EF0785" w:rsidRPr="007E2BD9">
          <w:rPr>
            <w:rStyle w:val="Hipercze"/>
            <w:noProof/>
          </w:rPr>
          <w:t>)</w:t>
        </w:r>
        <w:r w:rsidR="00EF0785">
          <w:rPr>
            <w:noProof/>
            <w:webHidden/>
          </w:rPr>
          <w:tab/>
        </w:r>
        <w:r>
          <w:rPr>
            <w:noProof/>
            <w:webHidden/>
          </w:rPr>
          <w:fldChar w:fldCharType="begin"/>
        </w:r>
        <w:r w:rsidR="00EF0785">
          <w:rPr>
            <w:noProof/>
            <w:webHidden/>
          </w:rPr>
          <w:instrText xml:space="preserve"> PAGEREF _Toc438118385 \h </w:instrText>
        </w:r>
        <w:r>
          <w:rPr>
            <w:noProof/>
            <w:webHidden/>
          </w:rPr>
        </w:r>
        <w:r>
          <w:rPr>
            <w:noProof/>
            <w:webHidden/>
          </w:rPr>
          <w:fldChar w:fldCharType="separate"/>
        </w:r>
        <w:r w:rsidR="005C42FD">
          <w:rPr>
            <w:noProof/>
            <w:webHidden/>
          </w:rPr>
          <w:t>73</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86" w:history="1">
        <w:r w:rsidR="00EF0785" w:rsidRPr="007E2BD9">
          <w:rPr>
            <w:rStyle w:val="Hipercze"/>
            <w:noProof/>
          </w:rPr>
          <w:t>4.1.</w:t>
        </w:r>
        <w:r w:rsidR="00EF0785">
          <w:rPr>
            <w:rFonts w:eastAsiaTheme="minorEastAsia"/>
            <w:noProof/>
            <w:sz w:val="22"/>
            <w:lang w:eastAsia="pl-PL"/>
          </w:rPr>
          <w:tab/>
        </w:r>
        <w:r w:rsidR="00EF0785" w:rsidRPr="007E2BD9">
          <w:rPr>
            <w:rStyle w:val="Hipercze"/>
            <w:noProof/>
          </w:rPr>
          <w:t>Metodologia inwentaryzacji źródeł emisji CO</w:t>
        </w:r>
        <w:r w:rsidR="00EF0785" w:rsidRPr="007E2BD9">
          <w:rPr>
            <w:rStyle w:val="Hipercze"/>
            <w:noProof/>
            <w:vertAlign w:val="subscript"/>
          </w:rPr>
          <w:t>2</w:t>
        </w:r>
        <w:r w:rsidR="00EF0785">
          <w:rPr>
            <w:noProof/>
            <w:webHidden/>
          </w:rPr>
          <w:tab/>
        </w:r>
        <w:r>
          <w:rPr>
            <w:noProof/>
            <w:webHidden/>
          </w:rPr>
          <w:fldChar w:fldCharType="begin"/>
        </w:r>
        <w:r w:rsidR="00EF0785">
          <w:rPr>
            <w:noProof/>
            <w:webHidden/>
          </w:rPr>
          <w:instrText xml:space="preserve"> PAGEREF _Toc438118386 \h </w:instrText>
        </w:r>
        <w:r>
          <w:rPr>
            <w:noProof/>
            <w:webHidden/>
          </w:rPr>
        </w:r>
        <w:r>
          <w:rPr>
            <w:noProof/>
            <w:webHidden/>
          </w:rPr>
          <w:fldChar w:fldCharType="separate"/>
        </w:r>
        <w:r w:rsidR="005C42FD">
          <w:rPr>
            <w:noProof/>
            <w:webHidden/>
          </w:rPr>
          <w:t>73</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7" w:history="1">
        <w:r w:rsidR="00EF0785" w:rsidRPr="007E2BD9">
          <w:rPr>
            <w:rStyle w:val="Hipercze"/>
            <w:noProof/>
          </w:rPr>
          <w:t>4.1.1.</w:t>
        </w:r>
        <w:r w:rsidR="00EF0785">
          <w:rPr>
            <w:rFonts w:eastAsiaTheme="minorEastAsia"/>
            <w:noProof/>
            <w:sz w:val="22"/>
            <w:lang w:eastAsia="pl-PL"/>
          </w:rPr>
          <w:tab/>
        </w:r>
        <w:r w:rsidR="00EF0785" w:rsidRPr="007E2BD9">
          <w:rPr>
            <w:rStyle w:val="Hipercze"/>
            <w:noProof/>
          </w:rPr>
          <w:t>Ogólne zasady przeprowadzania inwentaryzacji obiektów (badania ankietowe)</w:t>
        </w:r>
        <w:r w:rsidR="00EF0785">
          <w:rPr>
            <w:noProof/>
            <w:webHidden/>
          </w:rPr>
          <w:tab/>
        </w:r>
        <w:r>
          <w:rPr>
            <w:noProof/>
            <w:webHidden/>
          </w:rPr>
          <w:fldChar w:fldCharType="begin"/>
        </w:r>
        <w:r w:rsidR="00EF0785">
          <w:rPr>
            <w:noProof/>
            <w:webHidden/>
          </w:rPr>
          <w:instrText xml:space="preserve"> PAGEREF _Toc438118387 \h </w:instrText>
        </w:r>
        <w:r>
          <w:rPr>
            <w:noProof/>
            <w:webHidden/>
          </w:rPr>
        </w:r>
        <w:r>
          <w:rPr>
            <w:noProof/>
            <w:webHidden/>
          </w:rPr>
          <w:fldChar w:fldCharType="separate"/>
        </w:r>
        <w:r w:rsidR="005C42FD">
          <w:rPr>
            <w:noProof/>
            <w:webHidden/>
          </w:rPr>
          <w:t>74</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88" w:history="1">
        <w:r w:rsidR="00EF0785" w:rsidRPr="007E2BD9">
          <w:rPr>
            <w:rStyle w:val="Hipercze"/>
            <w:noProof/>
          </w:rPr>
          <w:t>4.1.2.</w:t>
        </w:r>
        <w:r w:rsidR="00EF0785">
          <w:rPr>
            <w:rFonts w:eastAsiaTheme="minorEastAsia"/>
            <w:noProof/>
            <w:sz w:val="22"/>
            <w:lang w:eastAsia="pl-PL"/>
          </w:rPr>
          <w:tab/>
        </w:r>
        <w:r w:rsidR="00EF0785" w:rsidRPr="007E2BD9">
          <w:rPr>
            <w:rStyle w:val="Hipercze"/>
            <w:noProof/>
          </w:rPr>
          <w:t>Inwentaryzacja emisji CO</w:t>
        </w:r>
        <w:r w:rsidR="00EF0785" w:rsidRPr="007E2BD9">
          <w:rPr>
            <w:rStyle w:val="Hipercze"/>
            <w:noProof/>
            <w:vertAlign w:val="subscript"/>
          </w:rPr>
          <w:t>2</w:t>
        </w:r>
        <w:r w:rsidR="00EF0785">
          <w:rPr>
            <w:noProof/>
            <w:webHidden/>
          </w:rPr>
          <w:tab/>
        </w:r>
        <w:r>
          <w:rPr>
            <w:noProof/>
            <w:webHidden/>
          </w:rPr>
          <w:fldChar w:fldCharType="begin"/>
        </w:r>
        <w:r w:rsidR="00EF0785">
          <w:rPr>
            <w:noProof/>
            <w:webHidden/>
          </w:rPr>
          <w:instrText xml:space="preserve"> PAGEREF _Toc438118388 \h </w:instrText>
        </w:r>
        <w:r>
          <w:rPr>
            <w:noProof/>
            <w:webHidden/>
          </w:rPr>
        </w:r>
        <w:r>
          <w:rPr>
            <w:noProof/>
            <w:webHidden/>
          </w:rPr>
          <w:fldChar w:fldCharType="separate"/>
        </w:r>
        <w:r w:rsidR="005C42FD">
          <w:rPr>
            <w:noProof/>
            <w:webHidden/>
          </w:rPr>
          <w:t>75</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89" w:history="1">
        <w:r w:rsidR="00EF0785" w:rsidRPr="007E2BD9">
          <w:rPr>
            <w:rStyle w:val="Hipercze"/>
            <w:noProof/>
          </w:rPr>
          <w:t>4.2.</w:t>
        </w:r>
        <w:r w:rsidR="00EF0785">
          <w:rPr>
            <w:rFonts w:eastAsiaTheme="minorEastAsia"/>
            <w:noProof/>
            <w:sz w:val="22"/>
            <w:lang w:eastAsia="pl-PL"/>
          </w:rPr>
          <w:tab/>
        </w:r>
        <w:r w:rsidR="00EF0785" w:rsidRPr="007E2BD9">
          <w:rPr>
            <w:rStyle w:val="Hipercze"/>
            <w:noProof/>
          </w:rPr>
          <w:t>Charakterystyka głównych sektorów odbiorców energii</w:t>
        </w:r>
        <w:r w:rsidR="00EF0785">
          <w:rPr>
            <w:noProof/>
            <w:webHidden/>
          </w:rPr>
          <w:tab/>
        </w:r>
        <w:r>
          <w:rPr>
            <w:noProof/>
            <w:webHidden/>
          </w:rPr>
          <w:fldChar w:fldCharType="begin"/>
        </w:r>
        <w:r w:rsidR="00EF0785">
          <w:rPr>
            <w:noProof/>
            <w:webHidden/>
          </w:rPr>
          <w:instrText xml:space="preserve"> PAGEREF _Toc438118389 \h </w:instrText>
        </w:r>
        <w:r>
          <w:rPr>
            <w:noProof/>
            <w:webHidden/>
          </w:rPr>
        </w:r>
        <w:r>
          <w:rPr>
            <w:noProof/>
            <w:webHidden/>
          </w:rPr>
          <w:fldChar w:fldCharType="separate"/>
        </w:r>
        <w:r w:rsidR="005C42FD">
          <w:rPr>
            <w:noProof/>
            <w:webHidden/>
          </w:rPr>
          <w:t>78</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90" w:history="1">
        <w:r w:rsidR="00EF0785" w:rsidRPr="007E2BD9">
          <w:rPr>
            <w:rStyle w:val="Hipercze"/>
            <w:noProof/>
          </w:rPr>
          <w:t>4.2.1.</w:t>
        </w:r>
        <w:r w:rsidR="00EF0785">
          <w:rPr>
            <w:rFonts w:eastAsiaTheme="minorEastAsia"/>
            <w:noProof/>
            <w:sz w:val="22"/>
            <w:lang w:eastAsia="pl-PL"/>
          </w:rPr>
          <w:tab/>
        </w:r>
        <w:r w:rsidR="00EF0785" w:rsidRPr="007E2BD9">
          <w:rPr>
            <w:rStyle w:val="Hipercze"/>
            <w:noProof/>
          </w:rPr>
          <w:t>Budynki mieszkalne  jedno- i wielorodzinne</w:t>
        </w:r>
        <w:r w:rsidR="00EF0785">
          <w:rPr>
            <w:noProof/>
            <w:webHidden/>
          </w:rPr>
          <w:tab/>
        </w:r>
        <w:r>
          <w:rPr>
            <w:noProof/>
            <w:webHidden/>
          </w:rPr>
          <w:fldChar w:fldCharType="begin"/>
        </w:r>
        <w:r w:rsidR="00EF0785">
          <w:rPr>
            <w:noProof/>
            <w:webHidden/>
          </w:rPr>
          <w:instrText xml:space="preserve"> PAGEREF _Toc438118390 \h </w:instrText>
        </w:r>
        <w:r>
          <w:rPr>
            <w:noProof/>
            <w:webHidden/>
          </w:rPr>
        </w:r>
        <w:r>
          <w:rPr>
            <w:noProof/>
            <w:webHidden/>
          </w:rPr>
          <w:fldChar w:fldCharType="separate"/>
        </w:r>
        <w:r w:rsidR="005C42FD">
          <w:rPr>
            <w:noProof/>
            <w:webHidden/>
          </w:rPr>
          <w:t>78</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91" w:history="1">
        <w:r w:rsidR="00EF0785" w:rsidRPr="007E2BD9">
          <w:rPr>
            <w:rStyle w:val="Hipercze"/>
            <w:noProof/>
          </w:rPr>
          <w:t>4.2.2.</w:t>
        </w:r>
        <w:r w:rsidR="00EF0785">
          <w:rPr>
            <w:rFonts w:eastAsiaTheme="minorEastAsia"/>
            <w:noProof/>
            <w:sz w:val="22"/>
            <w:lang w:eastAsia="pl-PL"/>
          </w:rPr>
          <w:tab/>
        </w:r>
        <w:r w:rsidR="00EF0785" w:rsidRPr="007E2BD9">
          <w:rPr>
            <w:rStyle w:val="Hipercze"/>
            <w:noProof/>
          </w:rPr>
          <w:t>Obiekty użyteczności publicznej</w:t>
        </w:r>
        <w:r w:rsidR="00EF0785">
          <w:rPr>
            <w:noProof/>
            <w:webHidden/>
          </w:rPr>
          <w:tab/>
        </w:r>
        <w:r>
          <w:rPr>
            <w:noProof/>
            <w:webHidden/>
          </w:rPr>
          <w:fldChar w:fldCharType="begin"/>
        </w:r>
        <w:r w:rsidR="00EF0785">
          <w:rPr>
            <w:noProof/>
            <w:webHidden/>
          </w:rPr>
          <w:instrText xml:space="preserve"> PAGEREF _Toc438118391 \h </w:instrText>
        </w:r>
        <w:r>
          <w:rPr>
            <w:noProof/>
            <w:webHidden/>
          </w:rPr>
        </w:r>
        <w:r>
          <w:rPr>
            <w:noProof/>
            <w:webHidden/>
          </w:rPr>
          <w:fldChar w:fldCharType="separate"/>
        </w:r>
        <w:r w:rsidR="005C42FD">
          <w:rPr>
            <w:noProof/>
            <w:webHidden/>
          </w:rPr>
          <w:t>82</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92" w:history="1">
        <w:r w:rsidR="00EF0785" w:rsidRPr="007E2BD9">
          <w:rPr>
            <w:rStyle w:val="Hipercze"/>
            <w:noProof/>
          </w:rPr>
          <w:t>4.2.3.</w:t>
        </w:r>
        <w:r w:rsidR="00EF0785">
          <w:rPr>
            <w:rFonts w:eastAsiaTheme="minorEastAsia"/>
            <w:noProof/>
            <w:sz w:val="22"/>
            <w:lang w:eastAsia="pl-PL"/>
          </w:rPr>
          <w:tab/>
        </w:r>
        <w:r w:rsidR="00EF0785" w:rsidRPr="007E2BD9">
          <w:rPr>
            <w:rStyle w:val="Hipercze"/>
            <w:noProof/>
          </w:rPr>
          <w:t>Oświetlenie uliczne</w:t>
        </w:r>
        <w:r w:rsidR="00EF0785">
          <w:rPr>
            <w:noProof/>
            <w:webHidden/>
          </w:rPr>
          <w:tab/>
        </w:r>
        <w:r>
          <w:rPr>
            <w:noProof/>
            <w:webHidden/>
          </w:rPr>
          <w:fldChar w:fldCharType="begin"/>
        </w:r>
        <w:r w:rsidR="00EF0785">
          <w:rPr>
            <w:noProof/>
            <w:webHidden/>
          </w:rPr>
          <w:instrText xml:space="preserve"> PAGEREF _Toc438118392 \h </w:instrText>
        </w:r>
        <w:r>
          <w:rPr>
            <w:noProof/>
            <w:webHidden/>
          </w:rPr>
        </w:r>
        <w:r>
          <w:rPr>
            <w:noProof/>
            <w:webHidden/>
          </w:rPr>
          <w:fldChar w:fldCharType="separate"/>
        </w:r>
        <w:r w:rsidR="005C42FD">
          <w:rPr>
            <w:noProof/>
            <w:webHidden/>
          </w:rPr>
          <w:t>85</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93" w:history="1">
        <w:r w:rsidR="00EF0785" w:rsidRPr="007E2BD9">
          <w:rPr>
            <w:rStyle w:val="Hipercze"/>
            <w:noProof/>
          </w:rPr>
          <w:t>4.2.4.</w:t>
        </w:r>
        <w:r w:rsidR="00EF0785">
          <w:rPr>
            <w:rFonts w:eastAsiaTheme="minorEastAsia"/>
            <w:noProof/>
            <w:sz w:val="22"/>
            <w:lang w:eastAsia="pl-PL"/>
          </w:rPr>
          <w:tab/>
        </w:r>
        <w:r w:rsidR="00EF0785" w:rsidRPr="007E2BD9">
          <w:rPr>
            <w:rStyle w:val="Hipercze"/>
            <w:noProof/>
          </w:rPr>
          <w:t>Transport</w:t>
        </w:r>
        <w:r w:rsidR="00EF0785">
          <w:rPr>
            <w:noProof/>
            <w:webHidden/>
          </w:rPr>
          <w:tab/>
        </w:r>
        <w:r>
          <w:rPr>
            <w:noProof/>
            <w:webHidden/>
          </w:rPr>
          <w:fldChar w:fldCharType="begin"/>
        </w:r>
        <w:r w:rsidR="00EF0785">
          <w:rPr>
            <w:noProof/>
            <w:webHidden/>
          </w:rPr>
          <w:instrText xml:space="preserve"> PAGEREF _Toc438118393 \h </w:instrText>
        </w:r>
        <w:r>
          <w:rPr>
            <w:noProof/>
            <w:webHidden/>
          </w:rPr>
        </w:r>
        <w:r>
          <w:rPr>
            <w:noProof/>
            <w:webHidden/>
          </w:rPr>
          <w:fldChar w:fldCharType="separate"/>
        </w:r>
        <w:r w:rsidR="005C42FD">
          <w:rPr>
            <w:noProof/>
            <w:webHidden/>
          </w:rPr>
          <w:t>87</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94" w:history="1">
        <w:r w:rsidR="00EF0785" w:rsidRPr="007E2BD9">
          <w:rPr>
            <w:rStyle w:val="Hipercze"/>
            <w:noProof/>
          </w:rPr>
          <w:t>4.3.</w:t>
        </w:r>
        <w:r w:rsidR="00EF0785">
          <w:rPr>
            <w:rFonts w:eastAsiaTheme="minorEastAsia"/>
            <w:noProof/>
            <w:sz w:val="22"/>
            <w:lang w:eastAsia="pl-PL"/>
          </w:rPr>
          <w:tab/>
        </w:r>
        <w:r w:rsidR="00EF0785" w:rsidRPr="007E2BD9">
          <w:rPr>
            <w:rStyle w:val="Hipercze"/>
            <w:noProof/>
          </w:rPr>
          <w:t>Bazowa inwentaryzacja emisji CO</w:t>
        </w:r>
        <w:r w:rsidR="00EF0785" w:rsidRPr="007E2BD9">
          <w:rPr>
            <w:rStyle w:val="Hipercze"/>
            <w:noProof/>
            <w:vertAlign w:val="subscript"/>
          </w:rPr>
          <w:t>2</w:t>
        </w:r>
        <w:r w:rsidR="00EF0785" w:rsidRPr="007E2BD9">
          <w:rPr>
            <w:rStyle w:val="Hipercze"/>
            <w:noProof/>
          </w:rPr>
          <w:t xml:space="preserve"> – prognoza</w:t>
        </w:r>
        <w:r w:rsidR="00EF0785">
          <w:rPr>
            <w:noProof/>
            <w:webHidden/>
          </w:rPr>
          <w:tab/>
        </w:r>
        <w:r>
          <w:rPr>
            <w:noProof/>
            <w:webHidden/>
          </w:rPr>
          <w:fldChar w:fldCharType="begin"/>
        </w:r>
        <w:r w:rsidR="00EF0785">
          <w:rPr>
            <w:noProof/>
            <w:webHidden/>
          </w:rPr>
          <w:instrText xml:space="preserve"> PAGEREF _Toc438118394 \h </w:instrText>
        </w:r>
        <w:r>
          <w:rPr>
            <w:noProof/>
            <w:webHidden/>
          </w:rPr>
        </w:r>
        <w:r>
          <w:rPr>
            <w:noProof/>
            <w:webHidden/>
          </w:rPr>
          <w:fldChar w:fldCharType="separate"/>
        </w:r>
        <w:r w:rsidR="005C42FD">
          <w:rPr>
            <w:noProof/>
            <w:webHidden/>
          </w:rPr>
          <w:t>89</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95" w:history="1">
        <w:r w:rsidR="00EF0785" w:rsidRPr="007E2BD9">
          <w:rPr>
            <w:rStyle w:val="Hipercze"/>
            <w:noProof/>
          </w:rPr>
          <w:t>4.4.</w:t>
        </w:r>
        <w:r w:rsidR="00EF0785">
          <w:rPr>
            <w:rFonts w:eastAsiaTheme="minorEastAsia"/>
            <w:noProof/>
            <w:sz w:val="22"/>
            <w:lang w:eastAsia="pl-PL"/>
          </w:rPr>
          <w:tab/>
        </w:r>
        <w:r w:rsidR="00EF0785" w:rsidRPr="007E2BD9">
          <w:rPr>
            <w:rStyle w:val="Hipercze"/>
            <w:noProof/>
          </w:rPr>
          <w:t>Podsumowanie wyników badań ankietowych</w:t>
        </w:r>
        <w:r w:rsidR="00EF0785">
          <w:rPr>
            <w:noProof/>
            <w:webHidden/>
          </w:rPr>
          <w:tab/>
        </w:r>
        <w:r>
          <w:rPr>
            <w:noProof/>
            <w:webHidden/>
          </w:rPr>
          <w:fldChar w:fldCharType="begin"/>
        </w:r>
        <w:r w:rsidR="00EF0785">
          <w:rPr>
            <w:noProof/>
            <w:webHidden/>
          </w:rPr>
          <w:instrText xml:space="preserve"> PAGEREF _Toc438118395 \h </w:instrText>
        </w:r>
        <w:r>
          <w:rPr>
            <w:noProof/>
            <w:webHidden/>
          </w:rPr>
        </w:r>
        <w:r>
          <w:rPr>
            <w:noProof/>
            <w:webHidden/>
          </w:rPr>
          <w:fldChar w:fldCharType="separate"/>
        </w:r>
        <w:r w:rsidR="005C42FD">
          <w:rPr>
            <w:noProof/>
            <w:webHidden/>
          </w:rPr>
          <w:t>94</w:t>
        </w:r>
        <w:r>
          <w:rPr>
            <w:noProof/>
            <w:webHidden/>
          </w:rPr>
          <w:fldChar w:fldCharType="end"/>
        </w:r>
      </w:hyperlink>
    </w:p>
    <w:p w:rsidR="00EF0785" w:rsidRDefault="00844CE4">
      <w:pPr>
        <w:pStyle w:val="Spistreci1"/>
        <w:rPr>
          <w:rFonts w:eastAsiaTheme="minorEastAsia"/>
          <w:noProof/>
          <w:sz w:val="22"/>
          <w:lang w:eastAsia="pl-PL"/>
        </w:rPr>
      </w:pPr>
      <w:hyperlink w:anchor="_Toc438118396" w:history="1">
        <w:r w:rsidR="00EF0785" w:rsidRPr="007E2BD9">
          <w:rPr>
            <w:rStyle w:val="Hipercze"/>
            <w:noProof/>
          </w:rPr>
          <w:t>5.</w:t>
        </w:r>
        <w:r w:rsidR="00EF0785">
          <w:rPr>
            <w:rFonts w:eastAsiaTheme="minorEastAsia"/>
            <w:noProof/>
            <w:sz w:val="22"/>
            <w:lang w:eastAsia="pl-PL"/>
          </w:rPr>
          <w:tab/>
        </w:r>
        <w:r w:rsidR="00EF0785" w:rsidRPr="007E2BD9">
          <w:rPr>
            <w:rStyle w:val="Hipercze"/>
            <w:noProof/>
          </w:rPr>
          <w:t>Plan działań na rzecz ograniczenia niskiej emisji do 2020 r.</w:t>
        </w:r>
        <w:r w:rsidR="00EF0785">
          <w:rPr>
            <w:noProof/>
            <w:webHidden/>
          </w:rPr>
          <w:tab/>
        </w:r>
        <w:r>
          <w:rPr>
            <w:noProof/>
            <w:webHidden/>
          </w:rPr>
          <w:fldChar w:fldCharType="begin"/>
        </w:r>
        <w:r w:rsidR="00EF0785">
          <w:rPr>
            <w:noProof/>
            <w:webHidden/>
          </w:rPr>
          <w:instrText xml:space="preserve"> PAGEREF _Toc438118396 \h </w:instrText>
        </w:r>
        <w:r>
          <w:rPr>
            <w:noProof/>
            <w:webHidden/>
          </w:rPr>
        </w:r>
        <w:r>
          <w:rPr>
            <w:noProof/>
            <w:webHidden/>
          </w:rPr>
          <w:fldChar w:fldCharType="separate"/>
        </w:r>
        <w:r w:rsidR="005C42FD">
          <w:rPr>
            <w:noProof/>
            <w:webHidden/>
          </w:rPr>
          <w:t>96</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97" w:history="1">
        <w:r w:rsidR="00EF0785" w:rsidRPr="007E2BD9">
          <w:rPr>
            <w:rStyle w:val="Hipercze"/>
            <w:noProof/>
          </w:rPr>
          <w:t>5.1.</w:t>
        </w:r>
        <w:r w:rsidR="00EF0785">
          <w:rPr>
            <w:rFonts w:eastAsiaTheme="minorEastAsia"/>
            <w:noProof/>
            <w:sz w:val="22"/>
            <w:lang w:eastAsia="pl-PL"/>
          </w:rPr>
          <w:tab/>
        </w:r>
        <w:r w:rsidR="00EF0785" w:rsidRPr="007E2BD9">
          <w:rPr>
            <w:rStyle w:val="Hipercze"/>
            <w:noProof/>
          </w:rPr>
          <w:t>Określenie celu strategicznego do 2020 r.</w:t>
        </w:r>
        <w:r w:rsidR="00EF0785">
          <w:rPr>
            <w:noProof/>
            <w:webHidden/>
          </w:rPr>
          <w:tab/>
        </w:r>
        <w:r>
          <w:rPr>
            <w:noProof/>
            <w:webHidden/>
          </w:rPr>
          <w:fldChar w:fldCharType="begin"/>
        </w:r>
        <w:r w:rsidR="00EF0785">
          <w:rPr>
            <w:noProof/>
            <w:webHidden/>
          </w:rPr>
          <w:instrText xml:space="preserve"> PAGEREF _Toc438118397 \h </w:instrText>
        </w:r>
        <w:r>
          <w:rPr>
            <w:noProof/>
            <w:webHidden/>
          </w:rPr>
        </w:r>
        <w:r>
          <w:rPr>
            <w:noProof/>
            <w:webHidden/>
          </w:rPr>
          <w:fldChar w:fldCharType="separate"/>
        </w:r>
        <w:r w:rsidR="005C42FD">
          <w:rPr>
            <w:noProof/>
            <w:webHidden/>
          </w:rPr>
          <w:t>96</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398" w:history="1">
        <w:r w:rsidR="00EF0785" w:rsidRPr="007E2BD9">
          <w:rPr>
            <w:rStyle w:val="Hipercze"/>
            <w:noProof/>
          </w:rPr>
          <w:t>5.2.</w:t>
        </w:r>
        <w:r w:rsidR="00EF0785">
          <w:rPr>
            <w:rFonts w:eastAsiaTheme="minorEastAsia"/>
            <w:noProof/>
            <w:sz w:val="22"/>
            <w:lang w:eastAsia="pl-PL"/>
          </w:rPr>
          <w:tab/>
        </w:r>
        <w:r w:rsidR="00EF0785" w:rsidRPr="007E2BD9">
          <w:rPr>
            <w:rStyle w:val="Hipercze"/>
            <w:noProof/>
          </w:rPr>
          <w:t>Działania na rzecz osiągnięcia założonego celu</w:t>
        </w:r>
        <w:r w:rsidR="00EF0785">
          <w:rPr>
            <w:noProof/>
            <w:webHidden/>
          </w:rPr>
          <w:tab/>
        </w:r>
        <w:r>
          <w:rPr>
            <w:noProof/>
            <w:webHidden/>
          </w:rPr>
          <w:fldChar w:fldCharType="begin"/>
        </w:r>
        <w:r w:rsidR="00EF0785">
          <w:rPr>
            <w:noProof/>
            <w:webHidden/>
          </w:rPr>
          <w:instrText xml:space="preserve"> PAGEREF _Toc438118398 \h </w:instrText>
        </w:r>
        <w:r>
          <w:rPr>
            <w:noProof/>
            <w:webHidden/>
          </w:rPr>
        </w:r>
        <w:r>
          <w:rPr>
            <w:noProof/>
            <w:webHidden/>
          </w:rPr>
          <w:fldChar w:fldCharType="separate"/>
        </w:r>
        <w:r w:rsidR="005C42FD">
          <w:rPr>
            <w:noProof/>
            <w:webHidden/>
          </w:rPr>
          <w:t>96</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399" w:history="1">
        <w:r w:rsidR="00EF0785" w:rsidRPr="007E2BD9">
          <w:rPr>
            <w:rStyle w:val="Hipercze"/>
            <w:noProof/>
          </w:rPr>
          <w:t>5.2.1.</w:t>
        </w:r>
        <w:r w:rsidR="00EF0785">
          <w:rPr>
            <w:rFonts w:eastAsiaTheme="minorEastAsia"/>
            <w:noProof/>
            <w:sz w:val="22"/>
            <w:lang w:eastAsia="pl-PL"/>
          </w:rPr>
          <w:tab/>
        </w:r>
        <w:r w:rsidR="00EF0785" w:rsidRPr="007E2BD9">
          <w:rPr>
            <w:rStyle w:val="Hipercze"/>
            <w:noProof/>
          </w:rPr>
          <w:t>Termomodernizacje budynków</w:t>
        </w:r>
        <w:r w:rsidR="00EF0785">
          <w:rPr>
            <w:noProof/>
            <w:webHidden/>
          </w:rPr>
          <w:tab/>
        </w:r>
        <w:r>
          <w:rPr>
            <w:noProof/>
            <w:webHidden/>
          </w:rPr>
          <w:fldChar w:fldCharType="begin"/>
        </w:r>
        <w:r w:rsidR="00EF0785">
          <w:rPr>
            <w:noProof/>
            <w:webHidden/>
          </w:rPr>
          <w:instrText xml:space="preserve"> PAGEREF _Toc438118399 \h </w:instrText>
        </w:r>
        <w:r>
          <w:rPr>
            <w:noProof/>
            <w:webHidden/>
          </w:rPr>
        </w:r>
        <w:r>
          <w:rPr>
            <w:noProof/>
            <w:webHidden/>
          </w:rPr>
          <w:fldChar w:fldCharType="separate"/>
        </w:r>
        <w:r w:rsidR="005C42FD">
          <w:rPr>
            <w:noProof/>
            <w:webHidden/>
          </w:rPr>
          <w:t>98</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400" w:history="1">
        <w:r w:rsidR="00EF0785" w:rsidRPr="007E2BD9">
          <w:rPr>
            <w:rStyle w:val="Hipercze"/>
            <w:noProof/>
          </w:rPr>
          <w:t>5.2.2.</w:t>
        </w:r>
        <w:r w:rsidR="00EF0785">
          <w:rPr>
            <w:rFonts w:eastAsiaTheme="minorEastAsia"/>
            <w:noProof/>
            <w:sz w:val="22"/>
            <w:lang w:eastAsia="pl-PL"/>
          </w:rPr>
          <w:tab/>
        </w:r>
        <w:r w:rsidR="00EF0785" w:rsidRPr="007E2BD9">
          <w:rPr>
            <w:rStyle w:val="Hipercze"/>
            <w:noProof/>
          </w:rPr>
          <w:t>Efektywność energetyczna</w:t>
        </w:r>
        <w:r w:rsidR="00EF0785">
          <w:rPr>
            <w:noProof/>
            <w:webHidden/>
          </w:rPr>
          <w:tab/>
        </w:r>
        <w:r>
          <w:rPr>
            <w:noProof/>
            <w:webHidden/>
          </w:rPr>
          <w:fldChar w:fldCharType="begin"/>
        </w:r>
        <w:r w:rsidR="00EF0785">
          <w:rPr>
            <w:noProof/>
            <w:webHidden/>
          </w:rPr>
          <w:instrText xml:space="preserve"> PAGEREF _Toc438118400 \h </w:instrText>
        </w:r>
        <w:r>
          <w:rPr>
            <w:noProof/>
            <w:webHidden/>
          </w:rPr>
        </w:r>
        <w:r>
          <w:rPr>
            <w:noProof/>
            <w:webHidden/>
          </w:rPr>
          <w:fldChar w:fldCharType="separate"/>
        </w:r>
        <w:r w:rsidR="005C42FD">
          <w:rPr>
            <w:noProof/>
            <w:webHidden/>
          </w:rPr>
          <w:t>99</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401" w:history="1">
        <w:r w:rsidR="00EF0785" w:rsidRPr="007E2BD9">
          <w:rPr>
            <w:rStyle w:val="Hipercze"/>
            <w:noProof/>
          </w:rPr>
          <w:t>5.2.3.</w:t>
        </w:r>
        <w:r w:rsidR="00EF0785">
          <w:rPr>
            <w:rFonts w:eastAsiaTheme="minorEastAsia"/>
            <w:noProof/>
            <w:sz w:val="22"/>
            <w:lang w:eastAsia="pl-PL"/>
          </w:rPr>
          <w:tab/>
        </w:r>
        <w:r w:rsidR="00EF0785" w:rsidRPr="007E2BD9">
          <w:rPr>
            <w:rStyle w:val="Hipercze"/>
            <w:noProof/>
          </w:rPr>
          <w:t>Instalacje oświetleniowe i oświetlenie uliczne</w:t>
        </w:r>
        <w:r w:rsidR="00EF0785">
          <w:rPr>
            <w:noProof/>
            <w:webHidden/>
          </w:rPr>
          <w:tab/>
        </w:r>
        <w:r>
          <w:rPr>
            <w:noProof/>
            <w:webHidden/>
          </w:rPr>
          <w:fldChar w:fldCharType="begin"/>
        </w:r>
        <w:r w:rsidR="00EF0785">
          <w:rPr>
            <w:noProof/>
            <w:webHidden/>
          </w:rPr>
          <w:instrText xml:space="preserve"> PAGEREF _Toc438118401 \h </w:instrText>
        </w:r>
        <w:r>
          <w:rPr>
            <w:noProof/>
            <w:webHidden/>
          </w:rPr>
        </w:r>
        <w:r>
          <w:rPr>
            <w:noProof/>
            <w:webHidden/>
          </w:rPr>
          <w:fldChar w:fldCharType="separate"/>
        </w:r>
        <w:r w:rsidR="005C42FD">
          <w:rPr>
            <w:noProof/>
            <w:webHidden/>
          </w:rPr>
          <w:t>100</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402" w:history="1">
        <w:r w:rsidR="00EF0785" w:rsidRPr="007E2BD9">
          <w:rPr>
            <w:rStyle w:val="Hipercze"/>
            <w:noProof/>
          </w:rPr>
          <w:t>5.2.4.</w:t>
        </w:r>
        <w:r w:rsidR="00EF0785">
          <w:rPr>
            <w:rFonts w:eastAsiaTheme="minorEastAsia"/>
            <w:noProof/>
            <w:sz w:val="22"/>
            <w:lang w:eastAsia="pl-PL"/>
          </w:rPr>
          <w:tab/>
        </w:r>
        <w:r w:rsidR="00EF0785" w:rsidRPr="007E2BD9">
          <w:rPr>
            <w:rStyle w:val="Hipercze"/>
            <w:noProof/>
          </w:rPr>
          <w:t>Transport</w:t>
        </w:r>
        <w:r w:rsidR="00EF0785">
          <w:rPr>
            <w:noProof/>
            <w:webHidden/>
          </w:rPr>
          <w:tab/>
        </w:r>
        <w:r>
          <w:rPr>
            <w:noProof/>
            <w:webHidden/>
          </w:rPr>
          <w:fldChar w:fldCharType="begin"/>
        </w:r>
        <w:r w:rsidR="00EF0785">
          <w:rPr>
            <w:noProof/>
            <w:webHidden/>
          </w:rPr>
          <w:instrText xml:space="preserve"> PAGEREF _Toc438118402 \h </w:instrText>
        </w:r>
        <w:r>
          <w:rPr>
            <w:noProof/>
            <w:webHidden/>
          </w:rPr>
        </w:r>
        <w:r>
          <w:rPr>
            <w:noProof/>
            <w:webHidden/>
          </w:rPr>
          <w:fldChar w:fldCharType="separate"/>
        </w:r>
        <w:r w:rsidR="005C42FD">
          <w:rPr>
            <w:noProof/>
            <w:webHidden/>
          </w:rPr>
          <w:t>102</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403" w:history="1">
        <w:r w:rsidR="00EF0785" w:rsidRPr="007E2BD9">
          <w:rPr>
            <w:rStyle w:val="Hipercze"/>
            <w:noProof/>
          </w:rPr>
          <w:t>5.2.5.</w:t>
        </w:r>
        <w:r w:rsidR="00EF0785">
          <w:rPr>
            <w:rFonts w:eastAsiaTheme="minorEastAsia"/>
            <w:noProof/>
            <w:sz w:val="22"/>
            <w:lang w:eastAsia="pl-PL"/>
          </w:rPr>
          <w:tab/>
        </w:r>
        <w:r w:rsidR="00EF0785" w:rsidRPr="007E2BD9">
          <w:rPr>
            <w:rStyle w:val="Hipercze"/>
            <w:noProof/>
          </w:rPr>
          <w:t>Odnawialne źródła energii</w:t>
        </w:r>
        <w:r w:rsidR="00EF0785">
          <w:rPr>
            <w:noProof/>
            <w:webHidden/>
          </w:rPr>
          <w:tab/>
        </w:r>
        <w:r>
          <w:rPr>
            <w:noProof/>
            <w:webHidden/>
          </w:rPr>
          <w:fldChar w:fldCharType="begin"/>
        </w:r>
        <w:r w:rsidR="00EF0785">
          <w:rPr>
            <w:noProof/>
            <w:webHidden/>
          </w:rPr>
          <w:instrText xml:space="preserve"> PAGEREF _Toc438118403 \h </w:instrText>
        </w:r>
        <w:r>
          <w:rPr>
            <w:noProof/>
            <w:webHidden/>
          </w:rPr>
        </w:r>
        <w:r>
          <w:rPr>
            <w:noProof/>
            <w:webHidden/>
          </w:rPr>
          <w:fldChar w:fldCharType="separate"/>
        </w:r>
        <w:r w:rsidR="005C42FD">
          <w:rPr>
            <w:noProof/>
            <w:webHidden/>
          </w:rPr>
          <w:t>102</w:t>
        </w:r>
        <w:r>
          <w:rPr>
            <w:noProof/>
            <w:webHidden/>
          </w:rPr>
          <w:fldChar w:fldCharType="end"/>
        </w:r>
      </w:hyperlink>
    </w:p>
    <w:p w:rsidR="00EF0785" w:rsidRDefault="00844CE4">
      <w:pPr>
        <w:pStyle w:val="Spistreci3"/>
        <w:tabs>
          <w:tab w:val="left" w:pos="1320"/>
          <w:tab w:val="right" w:leader="dot" w:pos="9062"/>
        </w:tabs>
        <w:rPr>
          <w:rFonts w:eastAsiaTheme="minorEastAsia"/>
          <w:noProof/>
          <w:sz w:val="22"/>
          <w:lang w:eastAsia="pl-PL"/>
        </w:rPr>
      </w:pPr>
      <w:hyperlink w:anchor="_Toc438118404" w:history="1">
        <w:r w:rsidR="00EF0785" w:rsidRPr="007E2BD9">
          <w:rPr>
            <w:rStyle w:val="Hipercze"/>
            <w:noProof/>
          </w:rPr>
          <w:t>5.2.6.</w:t>
        </w:r>
        <w:r w:rsidR="00EF0785">
          <w:rPr>
            <w:rFonts w:eastAsiaTheme="minorEastAsia"/>
            <w:noProof/>
            <w:sz w:val="22"/>
            <w:lang w:eastAsia="pl-PL"/>
          </w:rPr>
          <w:tab/>
        </w:r>
        <w:r w:rsidR="00EF0785" w:rsidRPr="007E2BD9">
          <w:rPr>
            <w:rStyle w:val="Hipercze"/>
            <w:noProof/>
          </w:rPr>
          <w:t>Działania edukacyjne – promocja gospodarki niskoemisyjnej</w:t>
        </w:r>
        <w:r w:rsidR="00EF0785">
          <w:rPr>
            <w:noProof/>
            <w:webHidden/>
          </w:rPr>
          <w:tab/>
        </w:r>
        <w:r>
          <w:rPr>
            <w:noProof/>
            <w:webHidden/>
          </w:rPr>
          <w:fldChar w:fldCharType="begin"/>
        </w:r>
        <w:r w:rsidR="00EF0785">
          <w:rPr>
            <w:noProof/>
            <w:webHidden/>
          </w:rPr>
          <w:instrText xml:space="preserve"> PAGEREF _Toc438118404 \h </w:instrText>
        </w:r>
        <w:r>
          <w:rPr>
            <w:noProof/>
            <w:webHidden/>
          </w:rPr>
        </w:r>
        <w:r>
          <w:rPr>
            <w:noProof/>
            <w:webHidden/>
          </w:rPr>
          <w:fldChar w:fldCharType="separate"/>
        </w:r>
        <w:r w:rsidR="005C42FD">
          <w:rPr>
            <w:noProof/>
            <w:webHidden/>
          </w:rPr>
          <w:t>104</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405" w:history="1">
        <w:r w:rsidR="00EF0785" w:rsidRPr="007E2BD9">
          <w:rPr>
            <w:rStyle w:val="Hipercze"/>
            <w:noProof/>
          </w:rPr>
          <w:t>5.3.</w:t>
        </w:r>
        <w:r w:rsidR="00EF0785">
          <w:rPr>
            <w:rFonts w:eastAsiaTheme="minorEastAsia"/>
            <w:noProof/>
            <w:sz w:val="22"/>
            <w:lang w:eastAsia="pl-PL"/>
          </w:rPr>
          <w:tab/>
        </w:r>
        <w:r w:rsidR="00EF0785" w:rsidRPr="007E2BD9">
          <w:rPr>
            <w:rStyle w:val="Hipercze"/>
            <w:noProof/>
          </w:rPr>
          <w:t>Harmonogram realizacji</w:t>
        </w:r>
        <w:r w:rsidR="00EF0785">
          <w:rPr>
            <w:noProof/>
            <w:webHidden/>
          </w:rPr>
          <w:tab/>
        </w:r>
        <w:r>
          <w:rPr>
            <w:noProof/>
            <w:webHidden/>
          </w:rPr>
          <w:fldChar w:fldCharType="begin"/>
        </w:r>
        <w:r w:rsidR="00EF0785">
          <w:rPr>
            <w:noProof/>
            <w:webHidden/>
          </w:rPr>
          <w:instrText xml:space="preserve"> PAGEREF _Toc438118405 \h </w:instrText>
        </w:r>
        <w:r>
          <w:rPr>
            <w:noProof/>
            <w:webHidden/>
          </w:rPr>
        </w:r>
        <w:r>
          <w:rPr>
            <w:noProof/>
            <w:webHidden/>
          </w:rPr>
          <w:fldChar w:fldCharType="separate"/>
        </w:r>
        <w:r w:rsidR="005C42FD">
          <w:rPr>
            <w:noProof/>
            <w:webHidden/>
          </w:rPr>
          <w:t>105</w:t>
        </w:r>
        <w:r>
          <w:rPr>
            <w:noProof/>
            <w:webHidden/>
          </w:rPr>
          <w:fldChar w:fldCharType="end"/>
        </w:r>
      </w:hyperlink>
    </w:p>
    <w:p w:rsidR="00EF0785" w:rsidRDefault="00844CE4">
      <w:pPr>
        <w:pStyle w:val="Spistreci1"/>
        <w:rPr>
          <w:rFonts w:eastAsiaTheme="minorEastAsia"/>
          <w:noProof/>
          <w:sz w:val="22"/>
          <w:lang w:eastAsia="pl-PL"/>
        </w:rPr>
      </w:pPr>
      <w:hyperlink w:anchor="_Toc438118406" w:history="1">
        <w:r w:rsidR="00EF0785" w:rsidRPr="007E2BD9">
          <w:rPr>
            <w:rStyle w:val="Hipercze"/>
            <w:noProof/>
          </w:rPr>
          <w:t>6.</w:t>
        </w:r>
        <w:r w:rsidR="00EF0785">
          <w:rPr>
            <w:rFonts w:eastAsiaTheme="minorEastAsia"/>
            <w:noProof/>
            <w:sz w:val="22"/>
            <w:lang w:eastAsia="pl-PL"/>
          </w:rPr>
          <w:tab/>
        </w:r>
        <w:r w:rsidR="00EF0785" w:rsidRPr="007E2BD9">
          <w:rPr>
            <w:rStyle w:val="Hipercze"/>
            <w:noProof/>
          </w:rPr>
          <w:t>Ocena realizacji i zarządzanie planem</w:t>
        </w:r>
        <w:r w:rsidR="00EF0785">
          <w:rPr>
            <w:noProof/>
            <w:webHidden/>
          </w:rPr>
          <w:tab/>
        </w:r>
        <w:r>
          <w:rPr>
            <w:noProof/>
            <w:webHidden/>
          </w:rPr>
          <w:fldChar w:fldCharType="begin"/>
        </w:r>
        <w:r w:rsidR="00EF0785">
          <w:rPr>
            <w:noProof/>
            <w:webHidden/>
          </w:rPr>
          <w:instrText xml:space="preserve"> PAGEREF _Toc438118406 \h </w:instrText>
        </w:r>
        <w:r>
          <w:rPr>
            <w:noProof/>
            <w:webHidden/>
          </w:rPr>
        </w:r>
        <w:r>
          <w:rPr>
            <w:noProof/>
            <w:webHidden/>
          </w:rPr>
          <w:fldChar w:fldCharType="separate"/>
        </w:r>
        <w:r w:rsidR="005C42FD">
          <w:rPr>
            <w:noProof/>
            <w:webHidden/>
          </w:rPr>
          <w:t>110</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407" w:history="1">
        <w:r w:rsidR="00EF0785" w:rsidRPr="007E2BD9">
          <w:rPr>
            <w:rStyle w:val="Hipercze"/>
            <w:noProof/>
          </w:rPr>
          <w:t>6.1.</w:t>
        </w:r>
        <w:r w:rsidR="00EF0785">
          <w:rPr>
            <w:rFonts w:eastAsiaTheme="minorEastAsia"/>
            <w:noProof/>
            <w:sz w:val="22"/>
            <w:lang w:eastAsia="pl-PL"/>
          </w:rPr>
          <w:tab/>
        </w:r>
        <w:r w:rsidR="00EF0785" w:rsidRPr="007E2BD9">
          <w:rPr>
            <w:rStyle w:val="Hipercze"/>
            <w:noProof/>
          </w:rPr>
          <w:t>Monitoring i wskaźniki</w:t>
        </w:r>
        <w:r w:rsidR="00EF0785">
          <w:rPr>
            <w:noProof/>
            <w:webHidden/>
          </w:rPr>
          <w:tab/>
        </w:r>
        <w:r>
          <w:rPr>
            <w:noProof/>
            <w:webHidden/>
          </w:rPr>
          <w:fldChar w:fldCharType="begin"/>
        </w:r>
        <w:r w:rsidR="00EF0785">
          <w:rPr>
            <w:noProof/>
            <w:webHidden/>
          </w:rPr>
          <w:instrText xml:space="preserve"> PAGEREF _Toc438118407 \h </w:instrText>
        </w:r>
        <w:r>
          <w:rPr>
            <w:noProof/>
            <w:webHidden/>
          </w:rPr>
        </w:r>
        <w:r>
          <w:rPr>
            <w:noProof/>
            <w:webHidden/>
          </w:rPr>
          <w:fldChar w:fldCharType="separate"/>
        </w:r>
        <w:r w:rsidR="005C42FD">
          <w:rPr>
            <w:noProof/>
            <w:webHidden/>
          </w:rPr>
          <w:t>110</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408" w:history="1">
        <w:r w:rsidR="00EF0785" w:rsidRPr="007E2BD9">
          <w:rPr>
            <w:rStyle w:val="Hipercze"/>
            <w:noProof/>
          </w:rPr>
          <w:t>6.2.</w:t>
        </w:r>
        <w:r w:rsidR="00EF0785">
          <w:rPr>
            <w:rFonts w:eastAsiaTheme="minorEastAsia"/>
            <w:noProof/>
            <w:sz w:val="22"/>
            <w:lang w:eastAsia="pl-PL"/>
          </w:rPr>
          <w:tab/>
        </w:r>
        <w:r w:rsidR="00EF0785" w:rsidRPr="007E2BD9">
          <w:rPr>
            <w:rStyle w:val="Hipercze"/>
            <w:noProof/>
          </w:rPr>
          <w:t>Sposób monitorowania realizacji planu gospodarki niskoemisyjnej</w:t>
        </w:r>
        <w:r w:rsidR="00EF0785">
          <w:rPr>
            <w:noProof/>
            <w:webHidden/>
          </w:rPr>
          <w:tab/>
        </w:r>
        <w:r>
          <w:rPr>
            <w:noProof/>
            <w:webHidden/>
          </w:rPr>
          <w:fldChar w:fldCharType="begin"/>
        </w:r>
        <w:r w:rsidR="00EF0785">
          <w:rPr>
            <w:noProof/>
            <w:webHidden/>
          </w:rPr>
          <w:instrText xml:space="preserve"> PAGEREF _Toc438118408 \h </w:instrText>
        </w:r>
        <w:r>
          <w:rPr>
            <w:noProof/>
            <w:webHidden/>
          </w:rPr>
        </w:r>
        <w:r>
          <w:rPr>
            <w:noProof/>
            <w:webHidden/>
          </w:rPr>
          <w:fldChar w:fldCharType="separate"/>
        </w:r>
        <w:r w:rsidR="005C42FD">
          <w:rPr>
            <w:noProof/>
            <w:webHidden/>
          </w:rPr>
          <w:t>111</w:t>
        </w:r>
        <w:r>
          <w:rPr>
            <w:noProof/>
            <w:webHidden/>
          </w:rPr>
          <w:fldChar w:fldCharType="end"/>
        </w:r>
      </w:hyperlink>
    </w:p>
    <w:p w:rsidR="00EF0785" w:rsidRDefault="00844CE4">
      <w:pPr>
        <w:pStyle w:val="Spistreci2"/>
        <w:tabs>
          <w:tab w:val="left" w:pos="880"/>
          <w:tab w:val="right" w:leader="dot" w:pos="9062"/>
        </w:tabs>
        <w:rPr>
          <w:rFonts w:eastAsiaTheme="minorEastAsia"/>
          <w:noProof/>
          <w:sz w:val="22"/>
          <w:lang w:eastAsia="pl-PL"/>
        </w:rPr>
      </w:pPr>
      <w:hyperlink w:anchor="_Toc438118409" w:history="1">
        <w:r w:rsidR="00EF0785" w:rsidRPr="007E2BD9">
          <w:rPr>
            <w:rStyle w:val="Hipercze"/>
            <w:noProof/>
          </w:rPr>
          <w:t>6.3.</w:t>
        </w:r>
        <w:r w:rsidR="00EF0785">
          <w:rPr>
            <w:rFonts w:eastAsiaTheme="minorEastAsia"/>
            <w:noProof/>
            <w:sz w:val="22"/>
            <w:lang w:eastAsia="pl-PL"/>
          </w:rPr>
          <w:tab/>
        </w:r>
        <w:r w:rsidR="00EF0785" w:rsidRPr="007E2BD9">
          <w:rPr>
            <w:rStyle w:val="Hipercze"/>
            <w:noProof/>
          </w:rPr>
          <w:t>Efekt ekologiczny i ekonomiczny wdrażania Planu Gospodarki Niskoemisyjnej</w:t>
        </w:r>
        <w:r w:rsidR="00EF0785">
          <w:rPr>
            <w:noProof/>
            <w:webHidden/>
          </w:rPr>
          <w:tab/>
        </w:r>
        <w:r>
          <w:rPr>
            <w:noProof/>
            <w:webHidden/>
          </w:rPr>
          <w:fldChar w:fldCharType="begin"/>
        </w:r>
        <w:r w:rsidR="00EF0785">
          <w:rPr>
            <w:noProof/>
            <w:webHidden/>
          </w:rPr>
          <w:instrText xml:space="preserve"> PAGEREF _Toc438118409 \h </w:instrText>
        </w:r>
        <w:r>
          <w:rPr>
            <w:noProof/>
            <w:webHidden/>
          </w:rPr>
        </w:r>
        <w:r>
          <w:rPr>
            <w:noProof/>
            <w:webHidden/>
          </w:rPr>
          <w:fldChar w:fldCharType="separate"/>
        </w:r>
        <w:r w:rsidR="005C42FD">
          <w:rPr>
            <w:noProof/>
            <w:webHidden/>
          </w:rPr>
          <w:t>114</w:t>
        </w:r>
        <w:r>
          <w:rPr>
            <w:noProof/>
            <w:webHidden/>
          </w:rPr>
          <w:fldChar w:fldCharType="end"/>
        </w:r>
      </w:hyperlink>
    </w:p>
    <w:p w:rsidR="00EF0785" w:rsidRDefault="00844CE4">
      <w:pPr>
        <w:pStyle w:val="Spistreci1"/>
        <w:rPr>
          <w:rFonts w:eastAsiaTheme="minorEastAsia"/>
          <w:noProof/>
          <w:sz w:val="22"/>
          <w:lang w:eastAsia="pl-PL"/>
        </w:rPr>
      </w:pPr>
      <w:hyperlink w:anchor="_Toc438118410" w:history="1">
        <w:r w:rsidR="00EF0785" w:rsidRPr="007E2BD9">
          <w:rPr>
            <w:rStyle w:val="Hipercze"/>
            <w:noProof/>
          </w:rPr>
          <w:t>SPIS TABEL I WYKRESÓW</w:t>
        </w:r>
        <w:r w:rsidR="00EF0785">
          <w:rPr>
            <w:noProof/>
            <w:webHidden/>
          </w:rPr>
          <w:tab/>
        </w:r>
        <w:r>
          <w:rPr>
            <w:noProof/>
            <w:webHidden/>
          </w:rPr>
          <w:fldChar w:fldCharType="begin"/>
        </w:r>
        <w:r w:rsidR="00EF0785">
          <w:rPr>
            <w:noProof/>
            <w:webHidden/>
          </w:rPr>
          <w:instrText xml:space="preserve"> PAGEREF _Toc438118410 \h </w:instrText>
        </w:r>
        <w:r>
          <w:rPr>
            <w:noProof/>
            <w:webHidden/>
          </w:rPr>
        </w:r>
        <w:r>
          <w:rPr>
            <w:noProof/>
            <w:webHidden/>
          </w:rPr>
          <w:fldChar w:fldCharType="separate"/>
        </w:r>
        <w:r w:rsidR="005C42FD">
          <w:rPr>
            <w:noProof/>
            <w:webHidden/>
          </w:rPr>
          <w:t>116</w:t>
        </w:r>
        <w:r>
          <w:rPr>
            <w:noProof/>
            <w:webHidden/>
          </w:rPr>
          <w:fldChar w:fldCharType="end"/>
        </w:r>
      </w:hyperlink>
    </w:p>
    <w:p w:rsidR="00E625DC" w:rsidRDefault="00844CE4" w:rsidP="001E65F7">
      <w:pPr>
        <w:pStyle w:val="Nagwek1"/>
      </w:pPr>
      <w:r>
        <w:fldChar w:fldCharType="end"/>
      </w:r>
    </w:p>
    <w:p w:rsidR="00E625DC" w:rsidRPr="00E625DC" w:rsidRDefault="00E625DC" w:rsidP="00E625DC"/>
    <w:p w:rsidR="00E625DC" w:rsidRPr="00E625DC" w:rsidRDefault="00E625DC" w:rsidP="00E625DC"/>
    <w:p w:rsidR="00E625DC" w:rsidRPr="00E625DC" w:rsidRDefault="00E625DC" w:rsidP="00E625DC"/>
    <w:p w:rsidR="00E625DC" w:rsidRPr="00E625DC" w:rsidRDefault="00E625DC" w:rsidP="00E625DC"/>
    <w:p w:rsidR="00E625DC" w:rsidRPr="00E625DC" w:rsidRDefault="00E625DC" w:rsidP="00E625DC"/>
    <w:p w:rsidR="00E625DC" w:rsidRPr="00E625DC" w:rsidRDefault="00E625DC" w:rsidP="00E625DC"/>
    <w:p w:rsidR="00E625DC" w:rsidRPr="00E625DC" w:rsidRDefault="00E625DC" w:rsidP="00E625DC"/>
    <w:p w:rsidR="00E625DC" w:rsidRPr="00E625DC" w:rsidRDefault="00E625DC" w:rsidP="00E625DC"/>
    <w:p w:rsidR="00B40803" w:rsidRDefault="00E625DC" w:rsidP="00E625DC">
      <w:pPr>
        <w:pStyle w:val="Nagwek1"/>
      </w:pPr>
      <w:bookmarkStart w:id="3" w:name="_Toc438118346"/>
      <w:r>
        <w:lastRenderedPageBreak/>
        <w:t>STRESZCZENIE</w:t>
      </w:r>
      <w:bookmarkEnd w:id="3"/>
    </w:p>
    <w:p w:rsidR="00E625DC" w:rsidRDefault="00E625DC" w:rsidP="00E625DC"/>
    <w:p w:rsidR="00E625DC" w:rsidRPr="00E625DC" w:rsidRDefault="00E625DC" w:rsidP="00E625DC">
      <w:r w:rsidRPr="00E625DC">
        <w:t>Plan Gospodarki Niskoemisyjnej (PGN) to dokument strategiczny tworzony na poziomie gminy, który ma przyczynić się do osiągnięcia celów określonych w pakiecie klimatyczno-energetycznym do roku 2020 (m.in. redukcji emisji gazów cieplarnianych oraz zwiększenia udziału energii pochodzącej ze źródeł odnawialnych, czyli zagadnień determinujących kierunki rozwoju zarówno Polski jak i Europy). Oprócz korzyści w skali makro, docelowo PGN ma służyć wszystkim mieszkańcom gminy, a zaplanowane w nim działania mają na celu poprawę jakości powietrza oraz zmniejszenie kosztów energii.</w:t>
      </w:r>
    </w:p>
    <w:p w:rsidR="00E625DC" w:rsidRPr="00E625DC" w:rsidRDefault="00E625DC" w:rsidP="00E625DC">
      <w:r w:rsidRPr="00E625DC">
        <w:t>Celem opracowania jest analiza możliwych do realizacji przedsięwzięć, których wcielenie w życie będzie skutkowało zmianą struktury użytkowania nośników energetycznych oraz zmniejszeniem zużycia energii, czego konsekwencją ma być stopniowe obniżanie emisji gazów cieplarnianych (CO</w:t>
      </w:r>
      <w:r w:rsidRPr="00E625DC">
        <w:rPr>
          <w:vertAlign w:val="subscript"/>
        </w:rPr>
        <w:t>2</w:t>
      </w:r>
      <w:r w:rsidRPr="00E625DC">
        <w:t xml:space="preserve">) na terenie gminy </w:t>
      </w:r>
      <w:r>
        <w:t>Herby</w:t>
      </w:r>
      <w:r w:rsidRPr="00E625DC">
        <w:t>. W ramach prac nad niniejszym dokumentem sporządzono „bazową inwentaryzację emisji”, która stanowi warunek wstępny do opracowania PGN, gdyż dostarcza informacji na temat źródeł emisji CO</w:t>
      </w:r>
      <w:r w:rsidRPr="00E625DC">
        <w:rPr>
          <w:vertAlign w:val="subscript"/>
        </w:rPr>
        <w:t>2</w:t>
      </w:r>
      <w:r w:rsidRPr="00E625DC">
        <w:t xml:space="preserve"> występujących na terenie gminy </w:t>
      </w:r>
      <w:r>
        <w:t>Herby</w:t>
      </w:r>
      <w:r w:rsidRPr="00E625DC">
        <w:t xml:space="preserve">. </w:t>
      </w:r>
    </w:p>
    <w:p w:rsidR="00E625DC" w:rsidRPr="00E625DC" w:rsidRDefault="00E625DC" w:rsidP="00E625DC">
      <w:r w:rsidRPr="00E625DC">
        <w:t xml:space="preserve">Realizacja zaplanowanych </w:t>
      </w:r>
      <w:r w:rsidR="009952CA">
        <w:t>do</w:t>
      </w:r>
      <w:r w:rsidR="000B5FE9">
        <w:t xml:space="preserve"> 2020 roku</w:t>
      </w:r>
      <w:r w:rsidRPr="00E625DC">
        <w:t xml:space="preserve"> inwestycji i przedsięwzięć umożliwi osiągnięcie założonych celów uwzględnionych w Planie Gospodarki Niskoemisyjnej. Jego głównym założeniem jest pomoc gminie w zainicjowaniu procesu redukcji niskich emisji. Docelowo doprowadzenie do znaczącej redukcji emisji gazów cieplarnianych i zwiększenie udziału energii pochodzącej ze źródeł odnawialnych, a co za tym idzie poprawa jakości powietrza w gminie </w:t>
      </w:r>
      <w:r>
        <w:t>Herby</w:t>
      </w:r>
      <w:r w:rsidRPr="00E625DC">
        <w:t xml:space="preserve">, stanowi podstawę programową opracowywanego dokumentu. PGN daje większe szanse na uzyskanie </w:t>
      </w:r>
      <w:r w:rsidR="00FB5740">
        <w:t xml:space="preserve"> </w:t>
      </w:r>
      <w:r w:rsidRPr="00E625DC">
        <w:t>dofinansowania</w:t>
      </w:r>
      <w:r w:rsidR="00FB5740">
        <w:t xml:space="preserve"> </w:t>
      </w:r>
      <w:r w:rsidRPr="00E625DC">
        <w:t xml:space="preserve"> na </w:t>
      </w:r>
      <w:r w:rsidR="00FB5740">
        <w:t xml:space="preserve"> </w:t>
      </w:r>
      <w:r w:rsidRPr="00E625DC">
        <w:t xml:space="preserve">działania </w:t>
      </w:r>
      <w:r w:rsidR="00FB5740">
        <w:t xml:space="preserve"> </w:t>
      </w:r>
      <w:r w:rsidRPr="00E625DC">
        <w:t xml:space="preserve">proekologiczne w  perspektywie finansowej </w:t>
      </w:r>
      <w:r w:rsidR="00FB5740">
        <w:t xml:space="preserve">                          </w:t>
      </w:r>
      <w:r w:rsidRPr="00E625DC">
        <w:t>UE 2014-2020.</w:t>
      </w:r>
    </w:p>
    <w:p w:rsidR="00E625DC" w:rsidRDefault="00E625DC" w:rsidP="00E625DC">
      <w:r w:rsidRPr="00E625DC">
        <w:t>Ważnym czynnikiem realizacji działań założonych w Programie Gospodarki Niskoemisyjnej jest podniesienie poziomu świadomości i edukacji społecznej w zakresie zmian klimatycznych, konieczności podejmowania wysiłków podnoszenia efektywności energetycznej, wykorzystywania źródeł energii odnawialnej oraz możliwości odnoszenia wymiernych korzyści z tytułu stosowania nowoczesnych niskoemisyjnych rozwiązań.</w:t>
      </w:r>
    </w:p>
    <w:p w:rsidR="00E625DC" w:rsidRDefault="00E625DC">
      <w:pPr>
        <w:spacing w:line="276" w:lineRule="auto"/>
        <w:jc w:val="left"/>
      </w:pPr>
      <w:r>
        <w:br w:type="page"/>
      </w:r>
    </w:p>
    <w:p w:rsidR="00E625DC" w:rsidRDefault="007774B5" w:rsidP="00802D34">
      <w:pPr>
        <w:pStyle w:val="Nagwek1"/>
        <w:numPr>
          <w:ilvl w:val="0"/>
          <w:numId w:val="1"/>
        </w:numPr>
      </w:pPr>
      <w:bookmarkStart w:id="4" w:name="_Toc438118347"/>
      <w:r>
        <w:lastRenderedPageBreak/>
        <w:t>Podstawy formalne i prawne opracowania</w:t>
      </w:r>
      <w:bookmarkEnd w:id="4"/>
    </w:p>
    <w:p w:rsidR="007774B5" w:rsidRDefault="007774B5" w:rsidP="00802D34">
      <w:pPr>
        <w:pStyle w:val="Nagwek2"/>
        <w:numPr>
          <w:ilvl w:val="1"/>
          <w:numId w:val="2"/>
        </w:numPr>
      </w:pPr>
      <w:bookmarkStart w:id="5" w:name="_Toc438118348"/>
      <w:r>
        <w:t>Cel i zakres opracowania</w:t>
      </w:r>
      <w:bookmarkEnd w:id="5"/>
    </w:p>
    <w:p w:rsidR="007774B5" w:rsidRDefault="007774B5" w:rsidP="007774B5">
      <w:pPr>
        <w:spacing w:after="0"/>
        <w:rPr>
          <w:szCs w:val="23"/>
        </w:rPr>
      </w:pPr>
    </w:p>
    <w:p w:rsidR="007774B5" w:rsidRPr="00436C69" w:rsidRDefault="007774B5" w:rsidP="007774B5">
      <w:pPr>
        <w:spacing w:after="0"/>
        <w:rPr>
          <w:szCs w:val="23"/>
        </w:rPr>
      </w:pPr>
      <w:r w:rsidRPr="00436C69">
        <w:rPr>
          <w:szCs w:val="23"/>
        </w:rPr>
        <w:t>Strategia tematyczna Unii Europejskiej na rzecz środowiska, a także inne polityki, strategie oraz inicjatywy podkreślają rolę samorządów lokalnych w aktywnym przeciwdziałaniu globalnym zmianom klimatu. Gospodarka niskoemisyjna to gospodarka rozwijająca się w sposób zintegrowany przy wykorzystaniu wszystkich dostępnych niskoemisyjnych technologii i praktyk, wykorzystująca energię i</w:t>
      </w:r>
      <w:r w:rsidR="009952CA">
        <w:rPr>
          <w:szCs w:val="23"/>
        </w:rPr>
        <w:t xml:space="preserve"> </w:t>
      </w:r>
      <w:r w:rsidRPr="00436C69">
        <w:rPr>
          <w:szCs w:val="23"/>
        </w:rPr>
        <w:t xml:space="preserve">materiały w sposób efektywny, czyli zapewniający maksymalizację wzrostu gospodarczego przy jednoczesnej minimalizacji zużycia energii i materiałów. Stanowi ona </w:t>
      </w:r>
      <w:r>
        <w:rPr>
          <w:szCs w:val="23"/>
        </w:rPr>
        <w:t xml:space="preserve">jeden z </w:t>
      </w:r>
      <w:r w:rsidRPr="00436C69">
        <w:rPr>
          <w:szCs w:val="23"/>
        </w:rPr>
        <w:t>kluczowych elementów programów Unii Europejskiej w nowej perspektywie finansowej 2014-2020. Wspólnym kierunkiem powinno być wdrażanie wydajnych rozwiązań energetycznych w celu</w:t>
      </w:r>
      <w:r>
        <w:rPr>
          <w:szCs w:val="23"/>
        </w:rPr>
        <w:t xml:space="preserve"> zmniejszenia zużycia energii i </w:t>
      </w:r>
      <w:r w:rsidRPr="00436C69">
        <w:rPr>
          <w:szCs w:val="23"/>
        </w:rPr>
        <w:t>materiałów, zwiększanie wykorzystania energii odnawialnej oraz wprowadzanie proekologicznych innowacji technologicznych. Na płaszczyźnie regionalnej, działania przewidziane w PGN</w:t>
      </w:r>
      <w:r>
        <w:rPr>
          <w:szCs w:val="23"/>
        </w:rPr>
        <w:t xml:space="preserve">, będą zmierzać </w:t>
      </w:r>
      <w:r w:rsidRPr="00436C69">
        <w:rPr>
          <w:szCs w:val="23"/>
        </w:rPr>
        <w:t>do poprawy jakości powietrza na obszarach, na których odnotowano przekroczenia jakości poziomów dopuszczalnych stężeń w powietrzu i realizowane są programy ochrony powietrza oraz plany działań krótkoterminowych.</w:t>
      </w:r>
    </w:p>
    <w:p w:rsidR="007774B5" w:rsidRPr="00436C69" w:rsidRDefault="007774B5" w:rsidP="007774B5">
      <w:pPr>
        <w:spacing w:after="0" w:line="240" w:lineRule="auto"/>
        <w:rPr>
          <w:sz w:val="16"/>
          <w:szCs w:val="16"/>
        </w:rPr>
      </w:pPr>
    </w:p>
    <w:p w:rsidR="007774B5" w:rsidRDefault="007774B5" w:rsidP="007774B5">
      <w:pPr>
        <w:spacing w:after="0"/>
        <w:rPr>
          <w:szCs w:val="23"/>
        </w:rPr>
      </w:pPr>
      <w:r w:rsidRPr="005318C6">
        <w:rPr>
          <w:szCs w:val="23"/>
        </w:rPr>
        <w:t>W ujęciu lokal</w:t>
      </w:r>
      <w:r>
        <w:rPr>
          <w:szCs w:val="23"/>
        </w:rPr>
        <w:t xml:space="preserve">nym zadaniem PGN jest </w:t>
      </w:r>
      <w:r w:rsidRPr="005318C6">
        <w:rPr>
          <w:szCs w:val="23"/>
        </w:rPr>
        <w:t>uporządkowanie i organizacja d</w:t>
      </w:r>
      <w:r>
        <w:rPr>
          <w:szCs w:val="23"/>
        </w:rPr>
        <w:t xml:space="preserve">ziałań </w:t>
      </w:r>
      <w:r w:rsidRPr="005318C6">
        <w:rPr>
          <w:szCs w:val="23"/>
        </w:rPr>
        <w:t>sprzyjających realizacji celów określonych na różnyc</w:t>
      </w:r>
      <w:r>
        <w:rPr>
          <w:szCs w:val="23"/>
        </w:rPr>
        <w:t xml:space="preserve">h szczeblach administracyjnych. Ponadto istotne jest </w:t>
      </w:r>
      <w:r w:rsidRPr="005318C6">
        <w:rPr>
          <w:szCs w:val="23"/>
        </w:rPr>
        <w:t>dokonanie oceny stanu sytuacji w gminie w zakresie emisji gazów cieplarnianych wraz ze wskazaniem tendencji rozwojowych</w:t>
      </w:r>
      <w:r>
        <w:rPr>
          <w:szCs w:val="23"/>
        </w:rPr>
        <w:t>, a także</w:t>
      </w:r>
      <w:r w:rsidRPr="005318C6">
        <w:rPr>
          <w:szCs w:val="23"/>
        </w:rPr>
        <w:t xml:space="preserve"> dobór dział</w:t>
      </w:r>
      <w:r>
        <w:rPr>
          <w:szCs w:val="23"/>
        </w:rPr>
        <w:t>ań, które mogą zostać podjęte w </w:t>
      </w:r>
      <w:r w:rsidRPr="005318C6">
        <w:rPr>
          <w:szCs w:val="23"/>
        </w:rPr>
        <w:t>przyszłości – wraz ze wskazaniem ich źródeł finansowania.</w:t>
      </w:r>
    </w:p>
    <w:p w:rsidR="00236366" w:rsidRPr="005318C6" w:rsidRDefault="00236366" w:rsidP="007774B5">
      <w:pPr>
        <w:spacing w:after="0"/>
        <w:rPr>
          <w:szCs w:val="23"/>
        </w:rPr>
      </w:pPr>
    </w:p>
    <w:p w:rsidR="007774B5" w:rsidRDefault="00236366" w:rsidP="00802D34">
      <w:pPr>
        <w:pStyle w:val="Nagwek2"/>
        <w:numPr>
          <w:ilvl w:val="1"/>
          <w:numId w:val="2"/>
        </w:numPr>
      </w:pPr>
      <w:bookmarkStart w:id="6" w:name="_Toc438118349"/>
      <w:r>
        <w:t>Metodologia</w:t>
      </w:r>
      <w:bookmarkEnd w:id="6"/>
    </w:p>
    <w:p w:rsidR="00236366" w:rsidRDefault="00236366" w:rsidP="00236366"/>
    <w:p w:rsidR="00236366" w:rsidRPr="00236366" w:rsidRDefault="00236366" w:rsidP="00236366">
      <w:pPr>
        <w:rPr>
          <w:bCs/>
        </w:rPr>
      </w:pPr>
      <w:r w:rsidRPr="00236366">
        <w:t xml:space="preserve">Podstawą formalną opracowana planu gospodarki niskoemisyjnej dla gminy </w:t>
      </w:r>
      <w:r>
        <w:t>Herby jest umowa pomiędzy g</w:t>
      </w:r>
      <w:r w:rsidRPr="00236366">
        <w:t xml:space="preserve">miną </w:t>
      </w:r>
      <w:r>
        <w:t>Herby</w:t>
      </w:r>
      <w:r w:rsidRPr="00236366">
        <w:t xml:space="preserve">, a firmą </w:t>
      </w:r>
      <w:r w:rsidRPr="00236366">
        <w:rPr>
          <w:bCs/>
        </w:rPr>
        <w:t>PHIN Inwestycje Sp. z o.o. zawarta</w:t>
      </w:r>
      <w:r w:rsidR="00E964D8">
        <w:rPr>
          <w:bCs/>
        </w:rPr>
        <w:t xml:space="preserve"> dnia 1 czerwca </w:t>
      </w:r>
      <w:r w:rsidRPr="00E964D8">
        <w:rPr>
          <w:bCs/>
        </w:rPr>
        <w:t>2015 r.</w:t>
      </w:r>
    </w:p>
    <w:p w:rsidR="00236366" w:rsidRPr="00236366" w:rsidRDefault="00236366" w:rsidP="00236366">
      <w:r w:rsidRPr="00236366">
        <w:t xml:space="preserve">Przy opracowaniu PGN uwzględniono związane z tematyką dokumenty strategiczne (na poziomie międzynarodowym, UE, krajowym, regionalnym i lokalnym), polityki, konwencje, przepisy </w:t>
      </w:r>
      <w:r w:rsidRPr="00236366">
        <w:lastRenderedPageBreak/>
        <w:t xml:space="preserve">prawne, a także dostępne wytyczne, w tym </w:t>
      </w:r>
      <w:r w:rsidRPr="00236366">
        <w:rPr>
          <w:i/>
          <w:iCs/>
        </w:rPr>
        <w:t>Szczegółowe zalecenia dotyczące struktury planu gospodarki niskoemisyjnej</w:t>
      </w:r>
      <w:r w:rsidRPr="00236366">
        <w:t>.</w:t>
      </w:r>
    </w:p>
    <w:p w:rsidR="00236366" w:rsidRPr="00236366" w:rsidRDefault="00236366" w:rsidP="00236366">
      <w:r w:rsidRPr="00236366">
        <w:t>Przyjęty Plan Gospodarki Niskoemisyjnej (zwanym dalej PGN) będzie miał charakter dokumentu strategicznego, który zawiera cele strategiczne i szczegółowe oraz działania do osiągnięcia w perspektywie krótko-, średnio-, i długoterminowej wraz ze wskazaniem ich szacunkowych kosztów i przewidywanych źródeł finansowania. Ustalone zostaną również zasady monitorowania i raportowania wyników prowadzonej polityki ekologiczno- energetycznej.</w:t>
      </w:r>
    </w:p>
    <w:p w:rsidR="00236366" w:rsidRPr="00236366" w:rsidRDefault="00236366" w:rsidP="00236366">
      <w:r w:rsidRPr="00236366">
        <w:t>Dokument będzie się składał z następujących elementów:</w:t>
      </w:r>
    </w:p>
    <w:p w:rsidR="00236366" w:rsidRPr="00236366" w:rsidRDefault="00236366" w:rsidP="00802D34">
      <w:pPr>
        <w:numPr>
          <w:ilvl w:val="0"/>
          <w:numId w:val="5"/>
        </w:numPr>
        <w:spacing w:line="276" w:lineRule="auto"/>
      </w:pPr>
      <w:r w:rsidRPr="00236366">
        <w:t>Informacje ogólne – charakterystyka gminy, ocena stanu istniejącego;</w:t>
      </w:r>
    </w:p>
    <w:p w:rsidR="00236366" w:rsidRPr="00236366" w:rsidRDefault="00236366" w:rsidP="00802D34">
      <w:pPr>
        <w:numPr>
          <w:ilvl w:val="0"/>
          <w:numId w:val="5"/>
        </w:numPr>
        <w:spacing w:line="276" w:lineRule="auto"/>
      </w:pPr>
      <w:r w:rsidRPr="00236366">
        <w:t>Charakterystyka nośników energetycznych na terenie gminy;</w:t>
      </w:r>
    </w:p>
    <w:p w:rsidR="00236366" w:rsidRPr="00236366" w:rsidRDefault="00236366" w:rsidP="00802D34">
      <w:pPr>
        <w:numPr>
          <w:ilvl w:val="0"/>
          <w:numId w:val="5"/>
        </w:numPr>
        <w:spacing w:line="276" w:lineRule="auto"/>
      </w:pPr>
      <w:r w:rsidRPr="00236366">
        <w:t>Metodologia opracowania dokumentu;</w:t>
      </w:r>
    </w:p>
    <w:p w:rsidR="00236366" w:rsidRPr="00236366" w:rsidRDefault="00236366" w:rsidP="00802D34">
      <w:pPr>
        <w:numPr>
          <w:ilvl w:val="0"/>
          <w:numId w:val="5"/>
        </w:numPr>
        <w:spacing w:line="276" w:lineRule="auto"/>
      </w:pPr>
      <w:r w:rsidRPr="00236366">
        <w:t>Cele strategiczne i szczegółowe;</w:t>
      </w:r>
    </w:p>
    <w:p w:rsidR="00236366" w:rsidRPr="00236366" w:rsidRDefault="00236366" w:rsidP="00802D34">
      <w:pPr>
        <w:numPr>
          <w:ilvl w:val="0"/>
          <w:numId w:val="5"/>
        </w:numPr>
        <w:spacing w:line="276" w:lineRule="auto"/>
      </w:pPr>
      <w:r w:rsidRPr="00236366">
        <w:t>Identyfikacja obszarów problemowych;</w:t>
      </w:r>
    </w:p>
    <w:p w:rsidR="00236366" w:rsidRPr="00236366" w:rsidRDefault="00236366" w:rsidP="00802D34">
      <w:pPr>
        <w:numPr>
          <w:ilvl w:val="0"/>
          <w:numId w:val="5"/>
        </w:numPr>
        <w:spacing w:line="276" w:lineRule="auto"/>
      </w:pPr>
      <w:r w:rsidRPr="00236366">
        <w:t>Ocena stanu aktualnego i przewidywanych zmian w zakresie inwentaryzacji zanieczyszczeń, gazów cieplarnianych;</w:t>
      </w:r>
    </w:p>
    <w:p w:rsidR="00236366" w:rsidRPr="00236366" w:rsidRDefault="00236366" w:rsidP="00802D34">
      <w:pPr>
        <w:numPr>
          <w:ilvl w:val="0"/>
          <w:numId w:val="5"/>
        </w:numPr>
        <w:spacing w:line="276" w:lineRule="auto"/>
      </w:pPr>
      <w:r w:rsidRPr="00236366">
        <w:t>Plan gospodarki niskoemisyjnej – plan przedsięwzięć i ich finansowania;</w:t>
      </w:r>
    </w:p>
    <w:p w:rsidR="00236366" w:rsidRPr="00236366" w:rsidRDefault="00236366" w:rsidP="00802D34">
      <w:pPr>
        <w:numPr>
          <w:ilvl w:val="0"/>
          <w:numId w:val="5"/>
        </w:numPr>
        <w:spacing w:line="276" w:lineRule="auto"/>
      </w:pPr>
      <w:r w:rsidRPr="00236366">
        <w:t xml:space="preserve">Opis realizacji działań zmniejszających emisję gazów cieplarnianych, harmonogram ich wdrażania oraz monitorowanie efektów. </w:t>
      </w:r>
    </w:p>
    <w:p w:rsidR="00236366" w:rsidRPr="00236366" w:rsidRDefault="00236366" w:rsidP="00236366">
      <w:r w:rsidRPr="00236366">
        <w:t xml:space="preserve">Plan Gospodarki Niskoemisyjnej opracowano w oparciu o informacje otrzymane od Urzędu Gminy </w:t>
      </w:r>
      <w:r>
        <w:t>Herby</w:t>
      </w:r>
      <w:r w:rsidRPr="00236366">
        <w:t xml:space="preserve"> w zakresie:</w:t>
      </w:r>
    </w:p>
    <w:p w:rsidR="00236366" w:rsidRPr="00236366" w:rsidRDefault="00236366" w:rsidP="00802D34">
      <w:pPr>
        <w:numPr>
          <w:ilvl w:val="0"/>
          <w:numId w:val="6"/>
        </w:numPr>
        <w:spacing w:line="276" w:lineRule="auto"/>
      </w:pPr>
      <w:r w:rsidRPr="00236366">
        <w:t>sytuacji energetycznej budynków gminnych użyteczności publicznej,</w:t>
      </w:r>
    </w:p>
    <w:p w:rsidR="00236366" w:rsidRPr="00236366" w:rsidRDefault="00236366" w:rsidP="00802D34">
      <w:pPr>
        <w:numPr>
          <w:ilvl w:val="0"/>
          <w:numId w:val="6"/>
        </w:numPr>
        <w:spacing w:line="276" w:lineRule="auto"/>
      </w:pPr>
      <w:r w:rsidRPr="00236366">
        <w:t>danych na temat opłat oświetlenia ulicznego,</w:t>
      </w:r>
    </w:p>
    <w:p w:rsidR="00236366" w:rsidRPr="00236366" w:rsidRDefault="00236366" w:rsidP="00802D34">
      <w:pPr>
        <w:numPr>
          <w:ilvl w:val="0"/>
          <w:numId w:val="6"/>
        </w:numPr>
        <w:spacing w:line="276" w:lineRule="auto"/>
      </w:pPr>
      <w:r w:rsidRPr="00236366">
        <w:t xml:space="preserve">Studium uwarunkowań i kierunków zagospodarowania przestrzennego. </w:t>
      </w:r>
    </w:p>
    <w:p w:rsidR="00236366" w:rsidRPr="00236366" w:rsidRDefault="00236366" w:rsidP="00236366">
      <w:r w:rsidRPr="00236366">
        <w:t xml:space="preserve">W ramach inwentaryzacji emisji w transporcie wykorzystano następujące informacje: </w:t>
      </w:r>
    </w:p>
    <w:p w:rsidR="00236366" w:rsidRPr="00236366" w:rsidRDefault="00236366" w:rsidP="00802D34">
      <w:pPr>
        <w:numPr>
          <w:ilvl w:val="0"/>
          <w:numId w:val="4"/>
        </w:numPr>
        <w:spacing w:line="276" w:lineRule="auto"/>
      </w:pPr>
      <w:r w:rsidRPr="00236366">
        <w:t xml:space="preserve">generalny pomiar ruchu w 2010 roku (Średni Dobowy Ruch), </w:t>
      </w:r>
    </w:p>
    <w:p w:rsidR="00236366" w:rsidRPr="00236366" w:rsidRDefault="00236366" w:rsidP="00802D34">
      <w:pPr>
        <w:numPr>
          <w:ilvl w:val="0"/>
          <w:numId w:val="4"/>
        </w:numPr>
        <w:spacing w:line="276" w:lineRule="auto"/>
      </w:pPr>
      <w:r w:rsidRPr="00236366">
        <w:t xml:space="preserve">pomiar ruchu na drogach wojewódzkich w 2010 roku (Średni Dobowy Ruch w punktach pomiarowych w 2010 roku). </w:t>
      </w:r>
    </w:p>
    <w:p w:rsidR="00236366" w:rsidRPr="00236366" w:rsidRDefault="00236366" w:rsidP="00236366">
      <w:r w:rsidRPr="00236366">
        <w:lastRenderedPageBreak/>
        <w:t>Podstawą niniejszego Planu Gospodarki Niskoemisyjnej jest inwentaryzacja emisji gazów cieplarnianych, a szczególnie CO</w:t>
      </w:r>
      <w:r w:rsidRPr="00236366">
        <w:rPr>
          <w:vertAlign w:val="subscript"/>
        </w:rPr>
        <w:t>2</w:t>
      </w:r>
      <w:r w:rsidRPr="00236366">
        <w:t>, do powietrza. W celu sporządzenia inwentaryzacji wykorzystano wytyczne Porozumienia Burmistrzów „</w:t>
      </w:r>
      <w:proofErr w:type="spellStart"/>
      <w:r w:rsidRPr="00236366">
        <w:t>How</w:t>
      </w:r>
      <w:proofErr w:type="spellEnd"/>
      <w:r w:rsidRPr="00236366">
        <w:t xml:space="preserve"> to </w:t>
      </w:r>
      <w:proofErr w:type="spellStart"/>
      <w:r w:rsidRPr="00236366">
        <w:t>develop</w:t>
      </w:r>
      <w:proofErr w:type="spellEnd"/>
      <w:r w:rsidRPr="00236366">
        <w:t xml:space="preserve"> a </w:t>
      </w:r>
      <w:proofErr w:type="spellStart"/>
      <w:r w:rsidRPr="00236366">
        <w:t>Sustainable</w:t>
      </w:r>
      <w:proofErr w:type="spellEnd"/>
      <w:r w:rsidRPr="00236366">
        <w:t xml:space="preserve"> Energy Action Plan (SEAP)”. Dokument ten, dostępny na stronach Porozumienia (</w:t>
      </w:r>
      <w:proofErr w:type="spellStart"/>
      <w:r w:rsidRPr="00236366">
        <w:t>www.eumayors.eu</w:t>
      </w:r>
      <w:proofErr w:type="spellEnd"/>
      <w:r w:rsidRPr="00236366">
        <w:t>), określa ramy oraz podstawowe założenia dla wykonania inwentaryzacji emisji gazów cieplarnianych do powietrza.</w:t>
      </w:r>
    </w:p>
    <w:p w:rsidR="00236366" w:rsidRPr="00236366" w:rsidRDefault="00236366" w:rsidP="00236366">
      <w:r w:rsidRPr="00236366">
        <w:t>Zgodnie z wytycznymi „Porozumienia Burmistrzów” działaniami objęto zużycie energii i związaną z nim emisję CO</w:t>
      </w:r>
      <w:r w:rsidRPr="00236366">
        <w:rPr>
          <w:vertAlign w:val="subscript"/>
        </w:rPr>
        <w:t>2</w:t>
      </w:r>
      <w:r w:rsidRPr="00236366">
        <w:t xml:space="preserve"> w następujących sektorach: </w:t>
      </w:r>
    </w:p>
    <w:p w:rsidR="00236366" w:rsidRPr="00236366" w:rsidRDefault="00236366" w:rsidP="00236366">
      <w:pPr>
        <w:spacing w:line="276" w:lineRule="auto"/>
      </w:pPr>
      <w:r w:rsidRPr="00236366">
        <w:t xml:space="preserve">- obiekty komunalne, </w:t>
      </w:r>
    </w:p>
    <w:p w:rsidR="00236366" w:rsidRPr="00236366" w:rsidRDefault="00236366" w:rsidP="00236366">
      <w:pPr>
        <w:spacing w:line="276" w:lineRule="auto"/>
      </w:pPr>
      <w:r w:rsidRPr="00236366">
        <w:t xml:space="preserve">- budynki mieszkalne, </w:t>
      </w:r>
    </w:p>
    <w:p w:rsidR="00236366" w:rsidRPr="00236366" w:rsidRDefault="00236366" w:rsidP="00236366">
      <w:pPr>
        <w:spacing w:line="276" w:lineRule="auto"/>
      </w:pPr>
      <w:r w:rsidRPr="00236366">
        <w:t xml:space="preserve">- oświetlenie uliczne, </w:t>
      </w:r>
    </w:p>
    <w:p w:rsidR="00236366" w:rsidRPr="00236366" w:rsidRDefault="00236366" w:rsidP="00236366">
      <w:pPr>
        <w:spacing w:line="276" w:lineRule="auto"/>
      </w:pPr>
      <w:r w:rsidRPr="00236366">
        <w:t xml:space="preserve">- transport. </w:t>
      </w:r>
    </w:p>
    <w:p w:rsidR="00236366" w:rsidRDefault="00236366" w:rsidP="00236366">
      <w:r w:rsidRPr="00236366">
        <w:t>Do sporządzenia dokumentu przeprowadzono badania ankietowe wśród konsumentów energii cieplnej i elektrycznej.</w:t>
      </w:r>
    </w:p>
    <w:p w:rsidR="00814DA7" w:rsidRDefault="00814DA7" w:rsidP="00236366"/>
    <w:p w:rsidR="00236366" w:rsidRDefault="00814DA7" w:rsidP="00802D34">
      <w:pPr>
        <w:pStyle w:val="Nagwek2"/>
        <w:numPr>
          <w:ilvl w:val="1"/>
          <w:numId w:val="2"/>
        </w:numPr>
      </w:pPr>
      <w:bookmarkStart w:id="7" w:name="_Toc438118350"/>
      <w:r>
        <w:t>Założenia polityki energetycznej</w:t>
      </w:r>
      <w:bookmarkEnd w:id="7"/>
    </w:p>
    <w:p w:rsidR="00814DA7" w:rsidRDefault="00814DA7" w:rsidP="00814DA7"/>
    <w:p w:rsidR="00416466" w:rsidRDefault="00416466" w:rsidP="00416466">
      <w:r w:rsidRPr="00416466">
        <w:t>W trakcie tworzenia Planu Gospodarki Niskoemisyjnej przeanalizowano następujące dokumenty oraz przepisy prawa na poziomie globalnym, krajowym i regionalnym. Zapisy zostały przeanalizowane na potrzeby realizacji niniejszej pracy.</w:t>
      </w:r>
    </w:p>
    <w:p w:rsidR="00416466" w:rsidRDefault="00416466" w:rsidP="00416466"/>
    <w:p w:rsidR="00416466" w:rsidRDefault="00416466" w:rsidP="00802D34">
      <w:pPr>
        <w:pStyle w:val="Nagwek3"/>
        <w:numPr>
          <w:ilvl w:val="2"/>
          <w:numId w:val="2"/>
        </w:numPr>
      </w:pPr>
      <w:bookmarkStart w:id="8" w:name="_Toc438118351"/>
      <w:r>
        <w:t>Poziom międzynarodowy</w:t>
      </w:r>
      <w:bookmarkEnd w:id="8"/>
    </w:p>
    <w:p w:rsidR="00416466" w:rsidRPr="00416466" w:rsidRDefault="00416466" w:rsidP="00416466"/>
    <w:p w:rsidR="00BD2DD0" w:rsidRPr="00BD2DD0" w:rsidRDefault="00BD2DD0" w:rsidP="00BD2DD0">
      <w:r w:rsidRPr="00BD2DD0">
        <w:t xml:space="preserve">Idea ograniczenia emisji gazów cieplarnianych wynika z umów i porozumień na arenie międzynarodowej. Ratyfikowana przez 192 państwa, Ramowa Konwencja Klimatyczna UNFCCC, jest podstawą prac nad ogólnoświatową redukcją emisji gazów cieplarnianych. Na mocy porozumień z Kioto (odbyła się w 1997 r.) państwa-sygnatariusze byli zobowiązani do redukcji emisji gazów cieplarnianych średnio o 5,2% do 2012 r. Natomiast od 2020 r. globalna emisja </w:t>
      </w:r>
      <w:r w:rsidRPr="00BD2DD0">
        <w:lastRenderedPageBreak/>
        <w:t xml:space="preserve">powinna spadać rocznie o 1-5%, tak by w 2050 r. osiągnąć poziom niższy od aktualnego poziomu o 25-70%. </w:t>
      </w:r>
    </w:p>
    <w:p w:rsidR="00BD2DD0" w:rsidRPr="00BD2DD0" w:rsidRDefault="00BD2DD0" w:rsidP="00BD2DD0">
      <w:r w:rsidRPr="00BD2DD0">
        <w:t>Zainicjowany w 2000 r. Europejski Program Ochrony Klimatu (ECCP) stanowi podstawę unijnej polityki klimatycznej. Program ten jest połączeniem dobrowolnych działań, dobrych praktyk, mechanizmów rynków, a także programów informacyjnych. Jednym z najistotniejszych instrumentów polityki UE w zakresie ochrony klimatu jest europejski system handlu uprawnieniami do emisji CO</w:t>
      </w:r>
      <w:r w:rsidRPr="00BD2DD0">
        <w:rPr>
          <w:vertAlign w:val="subscript"/>
        </w:rPr>
        <w:t>2</w:t>
      </w:r>
      <w:r w:rsidRPr="00BD2DD0">
        <w:t xml:space="preserve"> (EU ETS), obejmujący większość znaczących emitentów GC, prowadzących działalność opisaną w dyrektywie o zintegrowanej kontroli i zapobieganiu zanieczyszczeniom przemysłowym IPCC, a także spoza niej. Ponadto unijna polityka klimatyczna koncentruje się na wdrożeniu tzw. pakietu klimatyczno-energetycznego przyjętego w grudniu 2008 r. Polityka ta stanowi odzew na potrzebę stworzenia gospodarki niskoemisyjnej, co podkreślono w strategii „Europa 2020”, w pakiecie klimatyczno – energetycznym UE. Zgodnie z tym pakietem do roku 2020 mają zostać osiągnięte poniższe cele:</w:t>
      </w:r>
    </w:p>
    <w:p w:rsidR="00BD2DD0" w:rsidRPr="00BD2DD0" w:rsidRDefault="00BD2DD0" w:rsidP="00802D34">
      <w:pPr>
        <w:numPr>
          <w:ilvl w:val="0"/>
          <w:numId w:val="7"/>
        </w:numPr>
      </w:pPr>
      <w:r w:rsidRPr="00BD2DD0">
        <w:t>redukcja emisji gazów cieplarnianych przynajmniej o 20% w stosunku do poziomów z 1990 r.,</w:t>
      </w:r>
    </w:p>
    <w:p w:rsidR="00BD2DD0" w:rsidRPr="00BD2DD0" w:rsidRDefault="00BD2DD0" w:rsidP="00802D34">
      <w:pPr>
        <w:numPr>
          <w:ilvl w:val="0"/>
          <w:numId w:val="7"/>
        </w:numPr>
      </w:pPr>
      <w:r w:rsidRPr="00BD2DD0">
        <w:t>20% energii zużytej w UE ma pochodzić ze źródeł odnawialnych,</w:t>
      </w:r>
    </w:p>
    <w:p w:rsidR="00BD2DD0" w:rsidRPr="00BD2DD0" w:rsidRDefault="00BD2DD0" w:rsidP="00802D34">
      <w:pPr>
        <w:numPr>
          <w:ilvl w:val="0"/>
          <w:numId w:val="7"/>
        </w:numPr>
      </w:pPr>
      <w:r w:rsidRPr="00BD2DD0">
        <w:t>redukcja zużycia energii pierwotnej o 20% w stosunku do poziomów prognozowanych, co ma zostać zrealizowane poprzez podniesienie efektywności energetycznej.</w:t>
      </w:r>
    </w:p>
    <w:p w:rsidR="00BD2DD0" w:rsidRPr="00BD2DD0" w:rsidRDefault="00BD2DD0" w:rsidP="00BD2DD0">
      <w:r w:rsidRPr="00BD2DD0">
        <w:t>Przekształcenie w kierunku gospodarki niskoemisyjnej stanowi jedno z najważniejszych wyzwań gospodarczych i środowiskowych stojących przed Unią Europejską i państwami członkowskimi. Dokument Europa 2020 jest ważnym krokiem w kierunku wypełnienia zobowiązania Polski w zakresie udziału energii odnawialnej w końcowym zużyciu energii do 2020 r., w podziale na: elektroenergetykę, ciepło, chłód oraz transport. Wymagania te wynikają z dyrektywy 2009/28/WE z 23 kwietnia 2009 r. w sprawie promowania stosowania energii ze źródeł odnawialnych. Celem dla Polski, wynikającym z powyższej dyrektywy, jest osiągnięcie w 2020 r. co najmniej 15% udziału energii z odnawialnych źródeł w zużyciu energii finalnej brutto, w tym co najmniej 10% udziału energii odnawialnej zużywanej w transporcie.</w:t>
      </w:r>
    </w:p>
    <w:p w:rsidR="00BD2DD0" w:rsidRPr="00BD2DD0" w:rsidRDefault="00BD2DD0" w:rsidP="00BD2DD0">
      <w:r w:rsidRPr="00BD2DD0">
        <w:t xml:space="preserve">Plan Gospodarki Niskoemisyjnej jest również zgodny z Dyrektywą 2012/27/UE w sprawie efektywności energetycznej, w której Komisja Europejska nakłada wobec jednostek sektora publicznego obowiązek oszczędnego gospodarowania energią oraz z Dyrektywą Parlamentu </w:t>
      </w:r>
      <w:r w:rsidRPr="00BD2DD0">
        <w:lastRenderedPageBreak/>
        <w:t>Europejskiego i Rady 2010/31/UE w sprawie charakterystyki energetycznej budynków, która zobowiązuje państwa członkowskie UE, aby od końca 2018 r. wszystkie nowo powstające budynki użyteczności publicznej były budynkami „o niemal zerowym zużyciu energii”. Dla osiągnięcia powyższych celów podejmowane są liczne działania w zakresie szeroko rozumianej promocji efektywności energetycznej. Przedsięwzięcia te wymagają zaangażowania nie tylko polityków i decydentów, ale również społeczeństwa oraz wszystkich podmiotów działających na rynku. Zobowiązania dotyczące redukcji emisji gazów cieplarnianych zobowiązują do podjęcia działań, które głównie polegają na przestawieniu gospodarki na gospodarkę niskoemisyjną, co wiąże się z ograniczeniem wytwarzania gazów cieplarnianych i innych szkodliwych substancji. Stanowi to bowiem kluczowy krok w kierunku zapewnienia stabilnego środowiska oraz długoterminowego zrównoważonego rozwoju.</w:t>
      </w:r>
    </w:p>
    <w:p w:rsidR="00814DA7" w:rsidRPr="00814DA7" w:rsidRDefault="00814DA7" w:rsidP="00814DA7"/>
    <w:p w:rsidR="00236366" w:rsidRDefault="00BD2DD0" w:rsidP="00802D34">
      <w:pPr>
        <w:pStyle w:val="Nagwek3"/>
        <w:numPr>
          <w:ilvl w:val="2"/>
          <w:numId w:val="2"/>
        </w:numPr>
      </w:pPr>
      <w:bookmarkStart w:id="9" w:name="_Toc438118352"/>
      <w:r>
        <w:t>Poziom krajowy</w:t>
      </w:r>
      <w:bookmarkEnd w:id="9"/>
    </w:p>
    <w:p w:rsidR="00BD2DD0" w:rsidRDefault="00BD2DD0" w:rsidP="00BD2DD0"/>
    <w:p w:rsidR="002E5423" w:rsidRPr="002E5423" w:rsidRDefault="002E5423" w:rsidP="002E5423">
      <w:r w:rsidRPr="002E5423">
        <w:t>W poniższej Tabeli 1 wyszczególniono kluczowe dokumenty strategiczne i planistyczne, potwierdzające zbieżność niniejszego dokumentu z prowadzoną polityką krajową, regionalną oraz lokalną.</w:t>
      </w:r>
      <w:bookmarkStart w:id="10" w:name="_Toc424644378"/>
    </w:p>
    <w:p w:rsidR="002E5423" w:rsidRPr="002E5423" w:rsidRDefault="002E5423" w:rsidP="002E5423">
      <w:pPr>
        <w:rPr>
          <w:b/>
        </w:rPr>
      </w:pPr>
      <w:r w:rsidRPr="002E5423">
        <w:rPr>
          <w:b/>
        </w:rPr>
        <w:t>Wykaz dokumentów strategicznych i planistycznych</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1034"/>
        <w:gridCol w:w="1102"/>
        <w:gridCol w:w="966"/>
      </w:tblGrid>
      <w:tr w:rsidR="002E5423" w:rsidRPr="00E85829" w:rsidTr="00E85829">
        <w:trPr>
          <w:trHeight w:val="609"/>
          <w:jc w:val="center"/>
        </w:trPr>
        <w:tc>
          <w:tcPr>
            <w:tcW w:w="675" w:type="dxa"/>
          </w:tcPr>
          <w:p w:rsidR="002E5423" w:rsidRPr="00E85829" w:rsidRDefault="002E5423" w:rsidP="00E85829">
            <w:pPr>
              <w:spacing w:line="240" w:lineRule="auto"/>
              <w:rPr>
                <w:sz w:val="20"/>
                <w:szCs w:val="20"/>
              </w:rPr>
            </w:pPr>
            <w:r w:rsidRPr="00E85829">
              <w:rPr>
                <w:sz w:val="20"/>
                <w:szCs w:val="20"/>
              </w:rPr>
              <w:t>L.p.</w:t>
            </w:r>
          </w:p>
        </w:tc>
        <w:tc>
          <w:tcPr>
            <w:tcW w:w="4678" w:type="dxa"/>
          </w:tcPr>
          <w:p w:rsidR="002E5423" w:rsidRPr="00E85829" w:rsidRDefault="002E5423" w:rsidP="00E85829">
            <w:pPr>
              <w:spacing w:line="240" w:lineRule="auto"/>
              <w:rPr>
                <w:sz w:val="20"/>
                <w:szCs w:val="20"/>
              </w:rPr>
            </w:pPr>
            <w:r w:rsidRPr="00E85829">
              <w:rPr>
                <w:sz w:val="20"/>
                <w:szCs w:val="20"/>
              </w:rPr>
              <w:t>Nazwa dokumentu</w:t>
            </w:r>
          </w:p>
        </w:tc>
        <w:tc>
          <w:tcPr>
            <w:tcW w:w="1034" w:type="dxa"/>
          </w:tcPr>
          <w:p w:rsidR="002E5423" w:rsidRPr="00E85829" w:rsidRDefault="002E5423" w:rsidP="00E85829">
            <w:pPr>
              <w:spacing w:line="240" w:lineRule="auto"/>
              <w:rPr>
                <w:sz w:val="20"/>
                <w:szCs w:val="20"/>
              </w:rPr>
            </w:pPr>
            <w:r w:rsidRPr="00E85829">
              <w:rPr>
                <w:sz w:val="20"/>
                <w:szCs w:val="20"/>
              </w:rPr>
              <w:t>Kontekst krajowy</w:t>
            </w:r>
          </w:p>
        </w:tc>
        <w:tc>
          <w:tcPr>
            <w:tcW w:w="1102" w:type="dxa"/>
          </w:tcPr>
          <w:p w:rsidR="002E5423" w:rsidRPr="00E85829" w:rsidRDefault="002E5423" w:rsidP="00E85829">
            <w:pPr>
              <w:spacing w:line="240" w:lineRule="auto"/>
              <w:rPr>
                <w:sz w:val="20"/>
                <w:szCs w:val="20"/>
              </w:rPr>
            </w:pPr>
            <w:r w:rsidRPr="00E85829">
              <w:rPr>
                <w:sz w:val="20"/>
                <w:szCs w:val="20"/>
              </w:rPr>
              <w:t>Kontekst regionalny</w:t>
            </w:r>
          </w:p>
        </w:tc>
        <w:tc>
          <w:tcPr>
            <w:tcW w:w="966" w:type="dxa"/>
          </w:tcPr>
          <w:p w:rsidR="002E5423" w:rsidRPr="00E85829" w:rsidRDefault="002E5423" w:rsidP="00E85829">
            <w:pPr>
              <w:spacing w:line="240" w:lineRule="auto"/>
              <w:rPr>
                <w:sz w:val="20"/>
                <w:szCs w:val="20"/>
              </w:rPr>
            </w:pPr>
            <w:r w:rsidRPr="00E85829">
              <w:rPr>
                <w:sz w:val="20"/>
                <w:szCs w:val="20"/>
              </w:rPr>
              <w:t>Kontekst lokalny</w:t>
            </w:r>
          </w:p>
        </w:tc>
      </w:tr>
      <w:tr w:rsidR="002E5423" w:rsidRPr="00E85829" w:rsidTr="00E85829">
        <w:trPr>
          <w:trHeight w:val="436"/>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1</w:t>
            </w:r>
          </w:p>
        </w:tc>
        <w:tc>
          <w:tcPr>
            <w:tcW w:w="4678" w:type="dxa"/>
            <w:vAlign w:val="center"/>
          </w:tcPr>
          <w:p w:rsidR="002E5423" w:rsidRPr="00E85829" w:rsidRDefault="002E5423" w:rsidP="00E85829">
            <w:pPr>
              <w:spacing w:line="240" w:lineRule="auto"/>
              <w:rPr>
                <w:sz w:val="20"/>
                <w:szCs w:val="20"/>
              </w:rPr>
            </w:pPr>
            <w:r w:rsidRPr="00E85829">
              <w:rPr>
                <w:sz w:val="20"/>
                <w:szCs w:val="20"/>
              </w:rPr>
              <w:t>Strategia Rozwoju Kraju 2020</w:t>
            </w:r>
          </w:p>
        </w:tc>
        <w:tc>
          <w:tcPr>
            <w:tcW w:w="1034" w:type="dxa"/>
            <w:vAlign w:val="center"/>
          </w:tcPr>
          <w:p w:rsidR="002E5423" w:rsidRPr="00E85829" w:rsidRDefault="002E5423" w:rsidP="00E85829">
            <w:pPr>
              <w:spacing w:line="240" w:lineRule="auto"/>
              <w:jc w:val="center"/>
              <w:rPr>
                <w:sz w:val="20"/>
                <w:szCs w:val="20"/>
              </w:rPr>
            </w:pPr>
            <w:r w:rsidRPr="00E85829">
              <w:rPr>
                <w:sz w:val="20"/>
                <w:szCs w:val="20"/>
              </w:rPr>
              <w:t>X</w:t>
            </w:r>
          </w:p>
        </w:tc>
        <w:tc>
          <w:tcPr>
            <w:tcW w:w="1102" w:type="dxa"/>
            <w:vAlign w:val="center"/>
          </w:tcPr>
          <w:p w:rsidR="002E5423" w:rsidRPr="00E85829" w:rsidRDefault="002E5423" w:rsidP="00E85829">
            <w:pPr>
              <w:spacing w:line="240" w:lineRule="auto"/>
              <w:jc w:val="center"/>
              <w:rPr>
                <w:sz w:val="20"/>
                <w:szCs w:val="20"/>
              </w:rPr>
            </w:pPr>
          </w:p>
        </w:tc>
        <w:tc>
          <w:tcPr>
            <w:tcW w:w="966" w:type="dxa"/>
            <w:vAlign w:val="center"/>
          </w:tcPr>
          <w:p w:rsidR="002E5423" w:rsidRPr="00E85829" w:rsidRDefault="002E5423" w:rsidP="00E85829">
            <w:pPr>
              <w:spacing w:line="240" w:lineRule="auto"/>
              <w:jc w:val="center"/>
              <w:rPr>
                <w:sz w:val="20"/>
                <w:szCs w:val="20"/>
              </w:rPr>
            </w:pPr>
          </w:p>
        </w:tc>
      </w:tr>
      <w:tr w:rsidR="002E5423" w:rsidRPr="00E85829" w:rsidTr="00E85829">
        <w:trPr>
          <w:trHeight w:val="388"/>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2</w:t>
            </w:r>
          </w:p>
        </w:tc>
        <w:tc>
          <w:tcPr>
            <w:tcW w:w="4678" w:type="dxa"/>
            <w:vAlign w:val="center"/>
          </w:tcPr>
          <w:p w:rsidR="002E5423" w:rsidRPr="00E85829" w:rsidRDefault="002E5423" w:rsidP="00E85829">
            <w:pPr>
              <w:spacing w:line="240" w:lineRule="auto"/>
              <w:rPr>
                <w:sz w:val="20"/>
                <w:szCs w:val="20"/>
              </w:rPr>
            </w:pPr>
            <w:r w:rsidRPr="00E85829">
              <w:rPr>
                <w:sz w:val="20"/>
                <w:szCs w:val="20"/>
              </w:rPr>
              <w:t>Polityka energetyczna do 2030 roku</w:t>
            </w:r>
          </w:p>
        </w:tc>
        <w:tc>
          <w:tcPr>
            <w:tcW w:w="1034" w:type="dxa"/>
            <w:vAlign w:val="center"/>
          </w:tcPr>
          <w:p w:rsidR="002E5423" w:rsidRPr="00E85829" w:rsidRDefault="002E5423" w:rsidP="00E85829">
            <w:pPr>
              <w:spacing w:line="240" w:lineRule="auto"/>
              <w:jc w:val="center"/>
              <w:rPr>
                <w:sz w:val="20"/>
                <w:szCs w:val="20"/>
              </w:rPr>
            </w:pPr>
            <w:r w:rsidRPr="00E85829">
              <w:rPr>
                <w:sz w:val="20"/>
                <w:szCs w:val="20"/>
              </w:rPr>
              <w:t>X</w:t>
            </w:r>
          </w:p>
        </w:tc>
        <w:tc>
          <w:tcPr>
            <w:tcW w:w="1102" w:type="dxa"/>
            <w:vAlign w:val="center"/>
          </w:tcPr>
          <w:p w:rsidR="002E5423" w:rsidRPr="00E85829" w:rsidRDefault="002E5423" w:rsidP="00E85829">
            <w:pPr>
              <w:spacing w:line="240" w:lineRule="auto"/>
              <w:jc w:val="center"/>
              <w:rPr>
                <w:sz w:val="20"/>
                <w:szCs w:val="20"/>
              </w:rPr>
            </w:pPr>
          </w:p>
        </w:tc>
        <w:tc>
          <w:tcPr>
            <w:tcW w:w="966" w:type="dxa"/>
            <w:vAlign w:val="center"/>
          </w:tcPr>
          <w:p w:rsidR="002E5423" w:rsidRPr="00E85829" w:rsidRDefault="002E5423" w:rsidP="00E85829">
            <w:pPr>
              <w:spacing w:line="240" w:lineRule="auto"/>
              <w:jc w:val="center"/>
              <w:rPr>
                <w:sz w:val="20"/>
                <w:szCs w:val="20"/>
              </w:rPr>
            </w:pPr>
          </w:p>
        </w:tc>
      </w:tr>
      <w:tr w:rsidR="002E5423" w:rsidRPr="00E85829" w:rsidTr="001C28BB">
        <w:trPr>
          <w:trHeight w:val="739"/>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3</w:t>
            </w:r>
          </w:p>
        </w:tc>
        <w:tc>
          <w:tcPr>
            <w:tcW w:w="4678" w:type="dxa"/>
            <w:vAlign w:val="center"/>
          </w:tcPr>
          <w:p w:rsidR="002E5423" w:rsidRPr="00E85829" w:rsidRDefault="002E5423" w:rsidP="00E85829">
            <w:pPr>
              <w:spacing w:line="240" w:lineRule="auto"/>
              <w:rPr>
                <w:sz w:val="20"/>
                <w:szCs w:val="20"/>
              </w:rPr>
            </w:pPr>
            <w:r w:rsidRPr="00E85829">
              <w:rPr>
                <w:sz w:val="20"/>
                <w:szCs w:val="20"/>
              </w:rPr>
              <w:t>Polityka Ekologiczna Państwa na lata 2009 -</w:t>
            </w:r>
            <w:r w:rsidR="00FB5740">
              <w:rPr>
                <w:sz w:val="20"/>
                <w:szCs w:val="20"/>
              </w:rPr>
              <w:t xml:space="preserve"> </w:t>
            </w:r>
            <w:r w:rsidRPr="00E85829">
              <w:rPr>
                <w:sz w:val="20"/>
                <w:szCs w:val="20"/>
              </w:rPr>
              <w:t>2012 z perspektywą do roku 2016</w:t>
            </w:r>
          </w:p>
        </w:tc>
        <w:tc>
          <w:tcPr>
            <w:tcW w:w="1034" w:type="dxa"/>
            <w:vAlign w:val="center"/>
          </w:tcPr>
          <w:p w:rsidR="002E5423" w:rsidRPr="00E85829" w:rsidRDefault="002E5423" w:rsidP="00E85829">
            <w:pPr>
              <w:spacing w:line="240" w:lineRule="auto"/>
              <w:jc w:val="center"/>
              <w:rPr>
                <w:sz w:val="20"/>
                <w:szCs w:val="20"/>
              </w:rPr>
            </w:pPr>
            <w:r w:rsidRPr="00E85829">
              <w:rPr>
                <w:sz w:val="20"/>
                <w:szCs w:val="20"/>
              </w:rPr>
              <w:t>X</w:t>
            </w:r>
          </w:p>
        </w:tc>
        <w:tc>
          <w:tcPr>
            <w:tcW w:w="1102" w:type="dxa"/>
            <w:vAlign w:val="center"/>
          </w:tcPr>
          <w:p w:rsidR="002E5423" w:rsidRPr="00E85829" w:rsidRDefault="002E5423" w:rsidP="00E85829">
            <w:pPr>
              <w:spacing w:line="240" w:lineRule="auto"/>
              <w:jc w:val="center"/>
              <w:rPr>
                <w:sz w:val="20"/>
                <w:szCs w:val="20"/>
              </w:rPr>
            </w:pPr>
          </w:p>
        </w:tc>
        <w:tc>
          <w:tcPr>
            <w:tcW w:w="966" w:type="dxa"/>
            <w:vAlign w:val="center"/>
          </w:tcPr>
          <w:p w:rsidR="002E5423" w:rsidRPr="00E85829" w:rsidRDefault="002E5423" w:rsidP="00E85829">
            <w:pPr>
              <w:spacing w:line="240" w:lineRule="auto"/>
              <w:jc w:val="center"/>
              <w:rPr>
                <w:sz w:val="20"/>
                <w:szCs w:val="20"/>
              </w:rPr>
            </w:pPr>
          </w:p>
        </w:tc>
      </w:tr>
      <w:tr w:rsidR="002E5423" w:rsidRPr="00E85829" w:rsidTr="00E85829">
        <w:trPr>
          <w:trHeight w:val="699"/>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4</w:t>
            </w:r>
          </w:p>
        </w:tc>
        <w:tc>
          <w:tcPr>
            <w:tcW w:w="4678" w:type="dxa"/>
            <w:vAlign w:val="center"/>
          </w:tcPr>
          <w:p w:rsidR="002E5423" w:rsidRPr="00E97626" w:rsidRDefault="002E5423" w:rsidP="001C28BB">
            <w:pPr>
              <w:spacing w:line="240" w:lineRule="auto"/>
              <w:rPr>
                <w:sz w:val="20"/>
                <w:szCs w:val="20"/>
              </w:rPr>
            </w:pPr>
            <w:r w:rsidRPr="00E97626">
              <w:rPr>
                <w:sz w:val="20"/>
                <w:szCs w:val="20"/>
              </w:rPr>
              <w:t>Strategia Rozwoju Województwa</w:t>
            </w:r>
            <w:r w:rsidR="001C28BB" w:rsidRPr="00E97626">
              <w:rPr>
                <w:sz w:val="20"/>
                <w:szCs w:val="20"/>
              </w:rPr>
              <w:t xml:space="preserve"> Śląskiego ŚLĄSKIE 2020 + </w:t>
            </w:r>
          </w:p>
        </w:tc>
        <w:tc>
          <w:tcPr>
            <w:tcW w:w="1034" w:type="dxa"/>
            <w:vAlign w:val="center"/>
          </w:tcPr>
          <w:p w:rsidR="002E5423" w:rsidRPr="00E85829" w:rsidRDefault="002E5423" w:rsidP="00E85829">
            <w:pPr>
              <w:spacing w:line="240" w:lineRule="auto"/>
              <w:jc w:val="center"/>
              <w:rPr>
                <w:sz w:val="20"/>
                <w:szCs w:val="20"/>
              </w:rPr>
            </w:pPr>
          </w:p>
        </w:tc>
        <w:tc>
          <w:tcPr>
            <w:tcW w:w="1102" w:type="dxa"/>
            <w:vAlign w:val="center"/>
          </w:tcPr>
          <w:p w:rsidR="002E5423" w:rsidRPr="00E85829" w:rsidRDefault="002E5423" w:rsidP="00E85829">
            <w:pPr>
              <w:spacing w:line="240" w:lineRule="auto"/>
              <w:jc w:val="center"/>
              <w:rPr>
                <w:sz w:val="20"/>
                <w:szCs w:val="20"/>
              </w:rPr>
            </w:pPr>
            <w:r w:rsidRPr="00E85829">
              <w:rPr>
                <w:sz w:val="20"/>
                <w:szCs w:val="20"/>
              </w:rPr>
              <w:t>X</w:t>
            </w:r>
          </w:p>
        </w:tc>
        <w:tc>
          <w:tcPr>
            <w:tcW w:w="966" w:type="dxa"/>
            <w:vAlign w:val="center"/>
          </w:tcPr>
          <w:p w:rsidR="002E5423" w:rsidRPr="00E85829" w:rsidRDefault="002E5423" w:rsidP="00E85829">
            <w:pPr>
              <w:spacing w:line="240" w:lineRule="auto"/>
              <w:jc w:val="center"/>
              <w:rPr>
                <w:sz w:val="20"/>
                <w:szCs w:val="20"/>
              </w:rPr>
            </w:pPr>
          </w:p>
        </w:tc>
      </w:tr>
      <w:tr w:rsidR="002E5423" w:rsidRPr="00E85829" w:rsidTr="00E85829">
        <w:trPr>
          <w:trHeight w:val="695"/>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5</w:t>
            </w:r>
          </w:p>
        </w:tc>
        <w:tc>
          <w:tcPr>
            <w:tcW w:w="4678" w:type="dxa"/>
            <w:vAlign w:val="center"/>
          </w:tcPr>
          <w:p w:rsidR="002E5423" w:rsidRPr="00E97626" w:rsidRDefault="002E5423" w:rsidP="001C28BB">
            <w:pPr>
              <w:spacing w:line="240" w:lineRule="auto"/>
              <w:jc w:val="left"/>
              <w:rPr>
                <w:sz w:val="20"/>
                <w:szCs w:val="20"/>
              </w:rPr>
            </w:pPr>
            <w:r w:rsidRPr="00E97626">
              <w:rPr>
                <w:sz w:val="20"/>
                <w:szCs w:val="20"/>
              </w:rPr>
              <w:t xml:space="preserve">Regionalny Program Operacyjny Województwa </w:t>
            </w:r>
            <w:r w:rsidR="001C28BB" w:rsidRPr="00E97626">
              <w:rPr>
                <w:sz w:val="20"/>
                <w:szCs w:val="20"/>
              </w:rPr>
              <w:t>Śląskiego</w:t>
            </w:r>
            <w:r w:rsidRPr="00E97626">
              <w:rPr>
                <w:sz w:val="20"/>
                <w:szCs w:val="20"/>
              </w:rPr>
              <w:t xml:space="preserve"> na lata 2014 –2020</w:t>
            </w:r>
          </w:p>
        </w:tc>
        <w:tc>
          <w:tcPr>
            <w:tcW w:w="1034" w:type="dxa"/>
            <w:vAlign w:val="center"/>
          </w:tcPr>
          <w:p w:rsidR="002E5423" w:rsidRPr="00E85829" w:rsidRDefault="002E5423" w:rsidP="00E85829">
            <w:pPr>
              <w:spacing w:line="240" w:lineRule="auto"/>
              <w:jc w:val="center"/>
              <w:rPr>
                <w:sz w:val="20"/>
                <w:szCs w:val="20"/>
              </w:rPr>
            </w:pPr>
          </w:p>
        </w:tc>
        <w:tc>
          <w:tcPr>
            <w:tcW w:w="1102" w:type="dxa"/>
            <w:vAlign w:val="center"/>
          </w:tcPr>
          <w:p w:rsidR="002E5423" w:rsidRPr="00E85829" w:rsidRDefault="002E5423" w:rsidP="00E85829">
            <w:pPr>
              <w:spacing w:line="240" w:lineRule="auto"/>
              <w:jc w:val="center"/>
              <w:rPr>
                <w:sz w:val="20"/>
                <w:szCs w:val="20"/>
              </w:rPr>
            </w:pPr>
            <w:r w:rsidRPr="00E85829">
              <w:rPr>
                <w:sz w:val="20"/>
                <w:szCs w:val="20"/>
              </w:rPr>
              <w:t>X</w:t>
            </w:r>
          </w:p>
        </w:tc>
        <w:tc>
          <w:tcPr>
            <w:tcW w:w="966" w:type="dxa"/>
            <w:vAlign w:val="center"/>
          </w:tcPr>
          <w:p w:rsidR="002E5423" w:rsidRPr="00E85829" w:rsidRDefault="002E5423" w:rsidP="00E85829">
            <w:pPr>
              <w:spacing w:line="240" w:lineRule="auto"/>
              <w:jc w:val="center"/>
              <w:rPr>
                <w:sz w:val="20"/>
                <w:szCs w:val="20"/>
              </w:rPr>
            </w:pPr>
          </w:p>
        </w:tc>
      </w:tr>
      <w:tr w:rsidR="002E5423" w:rsidRPr="00E85829" w:rsidTr="00E85829">
        <w:trPr>
          <w:trHeight w:val="692"/>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6</w:t>
            </w:r>
          </w:p>
        </w:tc>
        <w:tc>
          <w:tcPr>
            <w:tcW w:w="4678" w:type="dxa"/>
            <w:vAlign w:val="center"/>
          </w:tcPr>
          <w:p w:rsidR="002E5423" w:rsidRPr="00E97626" w:rsidRDefault="002E5423" w:rsidP="001C28BB">
            <w:pPr>
              <w:spacing w:line="240" w:lineRule="auto"/>
              <w:jc w:val="left"/>
              <w:rPr>
                <w:i/>
                <w:sz w:val="20"/>
                <w:szCs w:val="20"/>
              </w:rPr>
            </w:pPr>
            <w:r w:rsidRPr="00E97626">
              <w:rPr>
                <w:i/>
                <w:sz w:val="20"/>
                <w:szCs w:val="20"/>
              </w:rPr>
              <w:t xml:space="preserve">Strategia Rozwoju </w:t>
            </w:r>
            <w:r w:rsidR="001C28BB" w:rsidRPr="00E97626">
              <w:rPr>
                <w:i/>
                <w:sz w:val="20"/>
                <w:szCs w:val="20"/>
              </w:rPr>
              <w:t xml:space="preserve">Powiatu Lublinieckiego  </w:t>
            </w:r>
          </w:p>
        </w:tc>
        <w:tc>
          <w:tcPr>
            <w:tcW w:w="1034" w:type="dxa"/>
            <w:vAlign w:val="center"/>
          </w:tcPr>
          <w:p w:rsidR="002E5423" w:rsidRPr="00E85829" w:rsidRDefault="002E5423" w:rsidP="00E85829">
            <w:pPr>
              <w:spacing w:line="240" w:lineRule="auto"/>
              <w:jc w:val="center"/>
              <w:rPr>
                <w:sz w:val="20"/>
                <w:szCs w:val="20"/>
              </w:rPr>
            </w:pPr>
          </w:p>
        </w:tc>
        <w:tc>
          <w:tcPr>
            <w:tcW w:w="1102" w:type="dxa"/>
            <w:vAlign w:val="center"/>
          </w:tcPr>
          <w:p w:rsidR="002E5423" w:rsidRPr="00E85829" w:rsidRDefault="002E5423" w:rsidP="00E85829">
            <w:pPr>
              <w:spacing w:line="240" w:lineRule="auto"/>
              <w:jc w:val="center"/>
              <w:rPr>
                <w:sz w:val="20"/>
                <w:szCs w:val="20"/>
              </w:rPr>
            </w:pPr>
          </w:p>
        </w:tc>
        <w:tc>
          <w:tcPr>
            <w:tcW w:w="966" w:type="dxa"/>
            <w:vAlign w:val="center"/>
          </w:tcPr>
          <w:p w:rsidR="002E5423" w:rsidRPr="00E85829" w:rsidRDefault="002E5423" w:rsidP="00E85829">
            <w:pPr>
              <w:spacing w:line="240" w:lineRule="auto"/>
              <w:jc w:val="center"/>
              <w:rPr>
                <w:sz w:val="20"/>
                <w:szCs w:val="20"/>
              </w:rPr>
            </w:pPr>
            <w:r w:rsidRPr="00E85829">
              <w:rPr>
                <w:sz w:val="20"/>
                <w:szCs w:val="20"/>
              </w:rPr>
              <w:t>X</w:t>
            </w:r>
          </w:p>
        </w:tc>
      </w:tr>
      <w:tr w:rsidR="002E5423" w:rsidRPr="00E85829" w:rsidTr="00E85829">
        <w:trPr>
          <w:trHeight w:val="600"/>
          <w:jc w:val="center"/>
        </w:trPr>
        <w:tc>
          <w:tcPr>
            <w:tcW w:w="675" w:type="dxa"/>
            <w:vAlign w:val="center"/>
          </w:tcPr>
          <w:p w:rsidR="002E5423" w:rsidRPr="00E85829" w:rsidRDefault="002E5423" w:rsidP="00E85829">
            <w:pPr>
              <w:spacing w:line="240" w:lineRule="auto"/>
              <w:rPr>
                <w:sz w:val="20"/>
                <w:szCs w:val="20"/>
              </w:rPr>
            </w:pPr>
            <w:r w:rsidRPr="00E85829">
              <w:rPr>
                <w:sz w:val="20"/>
                <w:szCs w:val="20"/>
              </w:rPr>
              <w:t>7</w:t>
            </w:r>
          </w:p>
        </w:tc>
        <w:tc>
          <w:tcPr>
            <w:tcW w:w="4678" w:type="dxa"/>
            <w:vAlign w:val="center"/>
          </w:tcPr>
          <w:p w:rsidR="002E5423" w:rsidRPr="00E97626" w:rsidRDefault="002E5423" w:rsidP="001C28BB">
            <w:pPr>
              <w:spacing w:line="240" w:lineRule="auto"/>
              <w:jc w:val="left"/>
              <w:rPr>
                <w:sz w:val="20"/>
                <w:szCs w:val="20"/>
              </w:rPr>
            </w:pPr>
            <w:r w:rsidRPr="00E97626">
              <w:rPr>
                <w:sz w:val="20"/>
                <w:szCs w:val="20"/>
              </w:rPr>
              <w:t xml:space="preserve">Strategia </w:t>
            </w:r>
            <w:r w:rsidR="001C28BB" w:rsidRPr="00E97626">
              <w:rPr>
                <w:sz w:val="20"/>
                <w:szCs w:val="20"/>
              </w:rPr>
              <w:t>R</w:t>
            </w:r>
            <w:r w:rsidRPr="00E97626">
              <w:rPr>
                <w:sz w:val="20"/>
                <w:szCs w:val="20"/>
              </w:rPr>
              <w:t>ozwoju</w:t>
            </w:r>
            <w:r w:rsidR="001C28BB" w:rsidRPr="00E97626">
              <w:rPr>
                <w:sz w:val="20"/>
                <w:szCs w:val="20"/>
              </w:rPr>
              <w:t xml:space="preserve"> G</w:t>
            </w:r>
            <w:r w:rsidRPr="00E97626">
              <w:rPr>
                <w:sz w:val="20"/>
                <w:szCs w:val="20"/>
              </w:rPr>
              <w:t xml:space="preserve">miny </w:t>
            </w:r>
            <w:r w:rsidR="007A562D" w:rsidRPr="00E97626">
              <w:rPr>
                <w:sz w:val="20"/>
                <w:szCs w:val="20"/>
              </w:rPr>
              <w:t>Herby</w:t>
            </w:r>
          </w:p>
        </w:tc>
        <w:tc>
          <w:tcPr>
            <w:tcW w:w="1034" w:type="dxa"/>
            <w:vAlign w:val="center"/>
          </w:tcPr>
          <w:p w:rsidR="002E5423" w:rsidRPr="00E85829" w:rsidRDefault="002E5423" w:rsidP="00E85829">
            <w:pPr>
              <w:spacing w:line="240" w:lineRule="auto"/>
              <w:jc w:val="center"/>
              <w:rPr>
                <w:sz w:val="20"/>
                <w:szCs w:val="20"/>
              </w:rPr>
            </w:pPr>
          </w:p>
        </w:tc>
        <w:tc>
          <w:tcPr>
            <w:tcW w:w="1102" w:type="dxa"/>
            <w:vAlign w:val="center"/>
          </w:tcPr>
          <w:p w:rsidR="002E5423" w:rsidRPr="00E85829" w:rsidRDefault="002E5423" w:rsidP="00E85829">
            <w:pPr>
              <w:spacing w:line="240" w:lineRule="auto"/>
              <w:jc w:val="center"/>
              <w:rPr>
                <w:sz w:val="20"/>
                <w:szCs w:val="20"/>
              </w:rPr>
            </w:pPr>
          </w:p>
        </w:tc>
        <w:tc>
          <w:tcPr>
            <w:tcW w:w="966" w:type="dxa"/>
            <w:vAlign w:val="center"/>
          </w:tcPr>
          <w:p w:rsidR="002E5423" w:rsidRPr="00E85829" w:rsidRDefault="002E5423" w:rsidP="00E85829">
            <w:pPr>
              <w:spacing w:line="240" w:lineRule="auto"/>
              <w:jc w:val="center"/>
              <w:rPr>
                <w:sz w:val="20"/>
                <w:szCs w:val="20"/>
              </w:rPr>
            </w:pPr>
            <w:r w:rsidRPr="00E85829">
              <w:rPr>
                <w:sz w:val="20"/>
                <w:szCs w:val="20"/>
              </w:rPr>
              <w:t>X</w:t>
            </w:r>
          </w:p>
        </w:tc>
      </w:tr>
    </w:tbl>
    <w:p w:rsidR="002E5423" w:rsidRPr="002E5423" w:rsidRDefault="002E5423" w:rsidP="002E5423"/>
    <w:p w:rsidR="002E5423" w:rsidRPr="00E85829" w:rsidRDefault="002E5423" w:rsidP="002E5423">
      <w:pPr>
        <w:rPr>
          <w:b/>
        </w:rPr>
      </w:pPr>
      <w:r w:rsidRPr="002E5423">
        <w:lastRenderedPageBreak/>
        <w:t xml:space="preserve">Biorąc pod uwagę malejące zasoby paliw konwencjonalnych oraz konieczność ograniczenia emisji zanieczyszczeń do atmosfery należy stwierdzić, że Polska wchodzi w tzw. epokę </w:t>
      </w:r>
      <w:proofErr w:type="spellStart"/>
      <w:r w:rsidRPr="002E5423">
        <w:t>postcarbon</w:t>
      </w:r>
      <w:proofErr w:type="spellEnd"/>
      <w:r w:rsidRPr="002E5423">
        <w:t>. W konsekwencji zachodzi konieczność racjonalnego użytkowania dostępnych jeszcze zasobów energetycznych oraz wspierania przedsięwzięć na rzecz odnawialnych źródeł energii.</w:t>
      </w:r>
    </w:p>
    <w:p w:rsidR="002E5423" w:rsidRPr="002E5423" w:rsidRDefault="002E5423" w:rsidP="002E5423">
      <w:r w:rsidRPr="002E5423">
        <w:t>Polska będąc sygnatariuszem Protokołu z Kioto do Ramowej Konwencji Narodów Zjednoczonych w sprawie zmian klimatu oraz ratyfikując Ramową Konwencję Narodów Zjednoczonych w sprawie zmian klimatu sporządzoną w Nowym Jorku w dniu 9 maja 1992 r. włączyła się w międzynarodowe działania, które mają na celu zapobieganie zmianom klimatu. Jednym z ważniejszych zobowiązań wynikających z podpisania Protokołu z Kioto jest redukcja emisji gazów cieplarnianych o 6% w okresie od 2008 do 2012 roku (w stosunku do roku bazowego, czyli 1988 r.). Następny krokiem było podpisanie przez Polskę pakietu klimatyczno-energetycznego. W porozumieniu z kilkoma nowymi członkami UE, Polsce udało się uzyskać zgodę na przyjęcie zmodyfikowanej wersji tego pakietu. Modyfikacja ta dotyczyła przede wszystkim skali obniżki emisji CO</w:t>
      </w:r>
      <w:r w:rsidRPr="002E5423">
        <w:rPr>
          <w:vertAlign w:val="subscript"/>
        </w:rPr>
        <w:t>2</w:t>
      </w:r>
      <w:r w:rsidRPr="002E5423">
        <w:t xml:space="preserve"> wraz z uzyskaniem siedmioletniego okresu przejściowego (do 2020 r.) na kupno przez elektrownie 100% zezwoleń na emisję CO</w:t>
      </w:r>
      <w:r w:rsidRPr="002E5423">
        <w:rPr>
          <w:vertAlign w:val="subscript"/>
        </w:rPr>
        <w:t>2</w:t>
      </w:r>
      <w:r w:rsidRPr="002E5423">
        <w:t>. Dodatkowo ustalono, że niektóre państwa członkowskie (w tym Polska) dostaną od 2013 roku specjalne, dodatkowe trzy pule zezwoleń na emisję CO</w:t>
      </w:r>
      <w:r w:rsidRPr="002E5423">
        <w:rPr>
          <w:vertAlign w:val="subscript"/>
        </w:rPr>
        <w:t>2</w:t>
      </w:r>
      <w:r w:rsidRPr="002E5423">
        <w:t>.</w:t>
      </w:r>
    </w:p>
    <w:p w:rsidR="002E5423" w:rsidRPr="002E5423" w:rsidRDefault="002E5423" w:rsidP="002E5423">
      <w:pPr>
        <w:rPr>
          <w:b/>
        </w:rPr>
      </w:pPr>
      <w:r w:rsidRPr="002E5423">
        <w:rPr>
          <w:b/>
        </w:rPr>
        <w:t>Najistotniejsze akty prawne dotyczące energetyki i odnawialnych źródeł energii (OZE)</w:t>
      </w:r>
    </w:p>
    <w:p w:rsidR="002E5423" w:rsidRDefault="002E5423" w:rsidP="002E5423">
      <w:r w:rsidRPr="002E5423">
        <w:t xml:space="preserve">Istotnym krokiem na drodze do uregulowania zakresu odnawialnych źródeł energii oraz uporządkowania aspektu ekonomicznego w jej dystrybucji na terenie kraju jest wejście w życie Ustawy z dnia 20 lutego 2015 r. o odnawialnych źródłach energii (data wejścia w życie maj 2015 r.). Ważnym elementem tej ustawy jest również promocja </w:t>
      </w:r>
      <w:proofErr w:type="spellStart"/>
      <w:r w:rsidRPr="002E5423">
        <w:t>prosumencka</w:t>
      </w:r>
      <w:proofErr w:type="spellEnd"/>
      <w:r w:rsidRPr="002E5423">
        <w:t xml:space="preserve"> (</w:t>
      </w:r>
      <w:proofErr w:type="spellStart"/>
      <w:r w:rsidRPr="002E5423">
        <w:t>prosument</w:t>
      </w:r>
      <w:proofErr w:type="spellEnd"/>
      <w:r w:rsidRPr="002E5423">
        <w:t xml:space="preserve"> to jednocześnie producent i konsument) wytwarzania energii z OZE w mikro- i małych instalacjach. OZE powinny się rozwijać w taki sposób, by uwzględniały interesy przedsiębiorców funkcjonujących w sektorze energetyki odnawialnej, a także innych podmiotów, dla których rozwój tego rodzaju energetyki będzie oddziaływać – w szczególności odbiorców energii, podmiotów działających w sektorze rolniczym, jak również gminy, na terenie których będą powstawać odnawialne źródła energii.</w:t>
      </w:r>
    </w:p>
    <w:p w:rsidR="009E1745" w:rsidRDefault="009E1745">
      <w:pPr>
        <w:spacing w:line="276" w:lineRule="auto"/>
        <w:jc w:val="left"/>
      </w:pPr>
      <w:r>
        <w:br w:type="page"/>
      </w:r>
    </w:p>
    <w:p w:rsidR="002E5423" w:rsidRPr="002E5423" w:rsidRDefault="002E5423" w:rsidP="002E5423">
      <w:r w:rsidRPr="002E5423">
        <w:lastRenderedPageBreak/>
        <w:t>Ustawa ma na celu:</w:t>
      </w:r>
    </w:p>
    <w:p w:rsidR="002E5423" w:rsidRPr="002E5423" w:rsidRDefault="002E5423" w:rsidP="00802D34">
      <w:pPr>
        <w:numPr>
          <w:ilvl w:val="0"/>
          <w:numId w:val="8"/>
        </w:numPr>
        <w:spacing w:line="276" w:lineRule="auto"/>
      </w:pPr>
      <w:r w:rsidRPr="002E5423">
        <w:t>zwiększyć bezpieczeństwo energetyczne o ochronę środowiska, między innymi poprzez efektywne wykorzystywania odnawialnych źródeł energii,</w:t>
      </w:r>
    </w:p>
    <w:p w:rsidR="002E5423" w:rsidRPr="002E5423" w:rsidRDefault="002E5423" w:rsidP="00802D34">
      <w:pPr>
        <w:numPr>
          <w:ilvl w:val="0"/>
          <w:numId w:val="8"/>
        </w:numPr>
        <w:spacing w:line="276" w:lineRule="auto"/>
      </w:pPr>
      <w:r w:rsidRPr="002E5423">
        <w:t>wykorzystywać OZE w sposób racjonalny, uwzględniając realizację długofalowej polityki rozwoju gospodarczego Polski, zobowiązań, które wynikają z podpisanych międzynarodowych umów oraz polepszanie konkurencyjności i innowacyjności gospodarki polskiej,</w:t>
      </w:r>
    </w:p>
    <w:p w:rsidR="002E5423" w:rsidRPr="002E5423" w:rsidRDefault="002E5423" w:rsidP="00802D34">
      <w:pPr>
        <w:numPr>
          <w:ilvl w:val="0"/>
          <w:numId w:val="8"/>
        </w:numPr>
        <w:spacing w:line="276" w:lineRule="auto"/>
      </w:pPr>
      <w:r w:rsidRPr="002E5423">
        <w:t>kształtować mechanizmy oraz narzędzia wspierające wytwarzanie energii elektrycznej, ciepła, chłodu lub biogazu rolniczego w instalacjach odnawialnych źródeł energii,</w:t>
      </w:r>
    </w:p>
    <w:p w:rsidR="002E5423" w:rsidRPr="002E5423" w:rsidRDefault="002E5423" w:rsidP="00802D34">
      <w:pPr>
        <w:numPr>
          <w:ilvl w:val="0"/>
          <w:numId w:val="8"/>
        </w:numPr>
        <w:spacing w:line="276" w:lineRule="auto"/>
      </w:pPr>
      <w:r w:rsidRPr="002E5423">
        <w:t>wypracować optymalny i zrównoważony plan zaopatrzenia odbiorców końcowych w energię elektryczną, ciepło, chłód lub w biogaz rolniczy z instalacji OZE;</w:t>
      </w:r>
    </w:p>
    <w:p w:rsidR="002E5423" w:rsidRPr="002E5423" w:rsidRDefault="002E5423" w:rsidP="00802D34">
      <w:pPr>
        <w:numPr>
          <w:ilvl w:val="0"/>
          <w:numId w:val="8"/>
        </w:numPr>
        <w:spacing w:line="276" w:lineRule="auto"/>
      </w:pPr>
      <w:r w:rsidRPr="002E5423">
        <w:t>stworzyć innowacyjne rozwiązania w zakresie wytwarzania energii elektrycznej, ciepła lub chłodu, biogazu rolniczego w instalacjach odnawialnych źródeł energii,</w:t>
      </w:r>
    </w:p>
    <w:p w:rsidR="002E5423" w:rsidRPr="002E5423" w:rsidRDefault="002E5423" w:rsidP="00802D34">
      <w:pPr>
        <w:numPr>
          <w:ilvl w:val="0"/>
          <w:numId w:val="8"/>
        </w:numPr>
        <w:spacing w:line="276" w:lineRule="auto"/>
      </w:pPr>
      <w:r w:rsidRPr="002E5423">
        <w:t>stworzyć nowe miejsca pracy w wyniku przyrostu liczby oddawanych do użytkowania nowych instalacji odnawialnych źródeł energii,</w:t>
      </w:r>
    </w:p>
    <w:p w:rsidR="002E5423" w:rsidRPr="002E5423" w:rsidRDefault="002E5423" w:rsidP="00802D34">
      <w:pPr>
        <w:numPr>
          <w:ilvl w:val="0"/>
          <w:numId w:val="8"/>
        </w:numPr>
        <w:spacing w:line="276" w:lineRule="auto"/>
      </w:pPr>
      <w:r w:rsidRPr="002E5423">
        <w:t>zapewnić wykorzystanie na cele energetyczne produktów ubocznych i pozostałości z rolnictwa oraz przemysłu wykorzystującego surowce rolnicze.</w:t>
      </w:r>
    </w:p>
    <w:p w:rsidR="002E5423" w:rsidRPr="002E5423" w:rsidRDefault="002E5423" w:rsidP="002E5423"/>
    <w:p w:rsidR="002E5423" w:rsidRPr="002E5423" w:rsidRDefault="002E5423" w:rsidP="002E5423">
      <w:r w:rsidRPr="002E5423">
        <w:t>Efektem priorytetowym ustawy o OZE jest zapewnienie realizacji celów w zakresie rozwoju odnawialnych źródeł energii, które wynikają z dokumentów rządowych przyjętych przez Radę Ministrów, tj. Polityki energetycznej Polski do 2030 roku oraz Krajowego planu działań w zakresie energii ze źródeł odnawialnych, jak również inicjowanie i koordynowanie działań organów administracji rządowej w tym obszarze. Pozwoli to zapewnić spójność i skuteczność podejmowanych przedsięwzięć. Następnym istotnym rezultatem wdrożenia ustawy o OZE będzie wprowadzenie jednolitego i czytelnego systemu wsparcia dla producentów tzw. zielonej energii, stanowiący zachętę inwestycyjną dla budowy nowych jednostek produkcyjnych, ze szczególnym uwzględnieniem generacji rozproszonej opartej o lokalne zasoby OZE.</w:t>
      </w:r>
    </w:p>
    <w:p w:rsidR="002E5423" w:rsidRPr="002E5423" w:rsidRDefault="002E5423" w:rsidP="002E5423">
      <w:pPr>
        <w:rPr>
          <w:b/>
        </w:rPr>
      </w:pPr>
      <w:r w:rsidRPr="002E5423">
        <w:rPr>
          <w:b/>
        </w:rPr>
        <w:t>Nowe prawo dotyczące energii – „</w:t>
      </w:r>
      <w:proofErr w:type="spellStart"/>
      <w:r w:rsidRPr="002E5423">
        <w:rPr>
          <w:b/>
        </w:rPr>
        <w:t>trójpak</w:t>
      </w:r>
      <w:proofErr w:type="spellEnd"/>
      <w:r w:rsidRPr="002E5423">
        <w:rPr>
          <w:b/>
        </w:rPr>
        <w:t xml:space="preserve"> energetyczny”</w:t>
      </w:r>
    </w:p>
    <w:p w:rsidR="002E5423" w:rsidRPr="002E5423" w:rsidRDefault="002E5423" w:rsidP="002E5423">
      <w:r w:rsidRPr="002E5423">
        <w:t xml:space="preserve">Ministerstwo Gospodarki prowadzi obecnie prace legislacyjne, które mają na celu wprowadzenie trzech nowych ustaw (tzw. </w:t>
      </w:r>
      <w:proofErr w:type="spellStart"/>
      <w:r w:rsidRPr="002E5423">
        <w:t>trójpak</w:t>
      </w:r>
      <w:proofErr w:type="spellEnd"/>
      <w:r w:rsidRPr="002E5423">
        <w:t xml:space="preserve"> lub duży </w:t>
      </w:r>
      <w:proofErr w:type="spellStart"/>
      <w:r w:rsidRPr="002E5423">
        <w:t>trójpak</w:t>
      </w:r>
      <w:proofErr w:type="spellEnd"/>
      <w:r w:rsidRPr="002E5423">
        <w:t xml:space="preserve">): prawo energetyczne, prawo gazowe oraz ustawa o OZE. Zastąpić mają one dotychczasowe prawo energetyczne, dostosować je do wymogów Unii Europejskiej oraz wymagań nowoczesnej energetyki, czyli energetyki </w:t>
      </w:r>
      <w:r w:rsidRPr="002E5423">
        <w:lastRenderedPageBreak/>
        <w:t xml:space="preserve">odnawialnej, sieci inteligentnych, energetyki rozproszonej. Nowelizacja ustawy o prawie energetycznym oraz niektórych innych ustaw wprowadza, w sposób bardziej kompleksowy niż dotychczas, unijne przepisy promujące wykorzystywanie energii ze źródeł odnawialnych oraz regulujące wspólne zasady rynku wewnętrznego energii elektrycznej i gazu ziemnego. Nowelizacja ta wprowadza pojęcie odbiorcy wrażliwego, (czyli osoby, która otrzymuje dodatek mieszkaniowy) wraz z określeniem przysługującego mu od 1 stycznia 2014 roku zryczałtowanego dodatku energetycznego. Taki dodatek będzie wynosić rocznie nie więcej niż 30% iloczynu limitu zużycia energii elektrycznej oraz średniej ceny energii elektrycznej dla jednego odbiorcy w gospodarstwie domowym. </w:t>
      </w:r>
    </w:p>
    <w:p w:rsidR="002E5423" w:rsidRPr="002E5423" w:rsidRDefault="002E5423" w:rsidP="002E5423">
      <w:r w:rsidRPr="002E5423">
        <w:t>Określono, zatem następujące limity:</w:t>
      </w:r>
    </w:p>
    <w:p w:rsidR="002E5423" w:rsidRPr="002E5423" w:rsidRDefault="002E5423" w:rsidP="00802D34">
      <w:pPr>
        <w:numPr>
          <w:ilvl w:val="0"/>
          <w:numId w:val="9"/>
        </w:numPr>
        <w:spacing w:line="276" w:lineRule="auto"/>
        <w:jc w:val="left"/>
      </w:pPr>
      <w:r w:rsidRPr="002E5423">
        <w:t xml:space="preserve">900 </w:t>
      </w:r>
      <w:proofErr w:type="spellStart"/>
      <w:r w:rsidRPr="002E5423">
        <w:t>kWh</w:t>
      </w:r>
      <w:proofErr w:type="spellEnd"/>
      <w:r w:rsidRPr="002E5423">
        <w:t>/rok kalendarzowy – dla gospodarstwa domowego prowadzonego przez osobę samotną,</w:t>
      </w:r>
    </w:p>
    <w:p w:rsidR="002E5423" w:rsidRPr="002E5423" w:rsidRDefault="002E5423" w:rsidP="00802D34">
      <w:pPr>
        <w:numPr>
          <w:ilvl w:val="0"/>
          <w:numId w:val="9"/>
        </w:numPr>
        <w:spacing w:line="276" w:lineRule="auto"/>
        <w:jc w:val="left"/>
      </w:pPr>
      <w:r w:rsidRPr="002E5423">
        <w:t xml:space="preserve">1250 </w:t>
      </w:r>
      <w:proofErr w:type="spellStart"/>
      <w:r w:rsidRPr="002E5423">
        <w:t>kWh</w:t>
      </w:r>
      <w:proofErr w:type="spellEnd"/>
      <w:r w:rsidRPr="002E5423">
        <w:t>/rok kalendarzowy – dla gospodarstwa domowego składającego</w:t>
      </w:r>
      <w:r w:rsidRPr="002E5423">
        <w:br/>
        <w:t>się z 2 do 4 osób,</w:t>
      </w:r>
    </w:p>
    <w:p w:rsidR="002E5423" w:rsidRPr="002E5423" w:rsidRDefault="002E5423" w:rsidP="00802D34">
      <w:pPr>
        <w:numPr>
          <w:ilvl w:val="0"/>
          <w:numId w:val="9"/>
        </w:numPr>
        <w:spacing w:line="276" w:lineRule="auto"/>
        <w:jc w:val="left"/>
      </w:pPr>
      <w:r w:rsidRPr="002E5423">
        <w:t xml:space="preserve">1500 </w:t>
      </w:r>
      <w:proofErr w:type="spellStart"/>
      <w:r w:rsidRPr="002E5423">
        <w:t>kWh</w:t>
      </w:r>
      <w:proofErr w:type="spellEnd"/>
      <w:r w:rsidRPr="002E5423">
        <w:t>/rok kalendarzowy – dla gospodarstwa domowego składającego</w:t>
      </w:r>
      <w:r w:rsidRPr="002E5423">
        <w:br/>
        <w:t>się, z co najmniej 5 osób.</w:t>
      </w:r>
    </w:p>
    <w:p w:rsidR="002E5423" w:rsidRPr="002E5423" w:rsidRDefault="002E5423" w:rsidP="002E5423"/>
    <w:p w:rsidR="002E5423" w:rsidRPr="002E5423" w:rsidRDefault="002E5423" w:rsidP="002E5423">
      <w:r w:rsidRPr="002E5423">
        <w:t>Taki dodatek będzie przyznawany przez wójta, burmistrza lub prezydenta miasta, a jego wypłata będzie zadaniem z zakresu administracji rządowej. Ustawa także dodaje przepisy, które regulują wytwarzanie energii elektrycznej w </w:t>
      </w:r>
      <w:proofErr w:type="spellStart"/>
      <w:r w:rsidRPr="002E5423">
        <w:t>mikroinstalacji</w:t>
      </w:r>
      <w:proofErr w:type="spellEnd"/>
      <w:r w:rsidRPr="002E5423">
        <w:t>, (czyli urządzeniach o mocy mniejsze</w:t>
      </w:r>
      <w:r w:rsidR="001C28BB">
        <w:t xml:space="preserve">j </w:t>
      </w:r>
      <w:r w:rsidRPr="002E5423">
        <w:t xml:space="preserve">niż 40 </w:t>
      </w:r>
      <w:proofErr w:type="spellStart"/>
      <w:r w:rsidRPr="002E5423">
        <w:t>kW</w:t>
      </w:r>
      <w:proofErr w:type="spellEnd"/>
      <w:r w:rsidRPr="002E5423">
        <w:t>) przez osobą f</w:t>
      </w:r>
      <w:r w:rsidR="001C28BB">
        <w:t>izyczną niebędącą przedsiębiorcą</w:t>
      </w:r>
      <w:r w:rsidRPr="002E5423">
        <w:t xml:space="preserve"> oraz zasady przyłączania takich instalacji do sieci dystrybucyjnej. Osoby fizyczne chcące produkować energię z OZE w swoich gospodarstwach domowych nie są zobligowani do zakładania działalności gospodarczej i uzyskiwania koncesji. Takie osoby mogą także wprowadzić prąd do sieci i go sprzedawać (po stawce wynoszącej 80% średniej ceny sprzedaży energii elektrycznej w kraju w poprzednim roku). Nowelizacja uzupełnia również przepisy dotyczące gwarancji pochodzenia energii elektrycznej wytwarzanej z OZE.</w:t>
      </w:r>
    </w:p>
    <w:p w:rsidR="002E5423" w:rsidRPr="002E5423" w:rsidRDefault="002E5423" w:rsidP="002E5423">
      <w:r w:rsidRPr="002E5423">
        <w:t xml:space="preserve">Odbiorcy przemysłowi zostaną częściowo zwolnieni z obowiązku rozliczania się z zielonych certyfikatów. Ustawa wprowadza obowiązek sprzedaży przez firmy, które obracają gazem, określonej części surowca za pośrednictwem giełdy (tzw. obligo gazowe). Od 1 stycznia 2015 </w:t>
      </w:r>
      <w:r w:rsidRPr="006F2005">
        <w:t xml:space="preserve">roku przez giełdy </w:t>
      </w:r>
      <w:r w:rsidR="006E6F7F" w:rsidRPr="006F2005">
        <w:t>według przewidywań</w:t>
      </w:r>
      <w:r w:rsidR="00B15E25" w:rsidRPr="006F2005">
        <w:t xml:space="preserve"> </w:t>
      </w:r>
      <w:r w:rsidRPr="006F2005">
        <w:t xml:space="preserve">sprzedawane </w:t>
      </w:r>
      <w:r w:rsidR="00EF0785" w:rsidRPr="006F2005">
        <w:t xml:space="preserve">będzie </w:t>
      </w:r>
      <w:r w:rsidRPr="006F2005">
        <w:t>55% gazu wprowadzonego do sieci</w:t>
      </w:r>
      <w:r w:rsidRPr="002E5423">
        <w:t xml:space="preserve"> przesyłowej. Tzw. mały </w:t>
      </w:r>
      <w:proofErr w:type="spellStart"/>
      <w:r w:rsidRPr="002E5423">
        <w:t>trójpak</w:t>
      </w:r>
      <w:proofErr w:type="spellEnd"/>
      <w:r w:rsidRPr="002E5423">
        <w:t xml:space="preserve"> energetyczny stanowi krok do zmian, które Ministerstwo </w:t>
      </w:r>
      <w:r w:rsidRPr="002E5423">
        <w:lastRenderedPageBreak/>
        <w:t>Gospodarki zamierza wprowadzić w nowych ustawach: prawo energetyczne, prawo gazowe i ustawa o OZE.</w:t>
      </w:r>
    </w:p>
    <w:p w:rsidR="002E5423" w:rsidRPr="002E5423" w:rsidRDefault="002E5423" w:rsidP="002E5423">
      <w:pPr>
        <w:rPr>
          <w:b/>
        </w:rPr>
      </w:pPr>
      <w:r w:rsidRPr="002E5423">
        <w:rPr>
          <w:b/>
        </w:rPr>
        <w:t>Prawo energetyczne</w:t>
      </w:r>
    </w:p>
    <w:p w:rsidR="002E5423" w:rsidRPr="002E5423" w:rsidRDefault="002E5423" w:rsidP="002E5423">
      <w:r w:rsidRPr="002E5423">
        <w:t xml:space="preserve">Celem projektowanej ustawy – prawo energetyczne jest uporządkowanie oraz uproszczenie obowiązujących przepisów, a także wprowadzenie nowatorskich rozwiązań będących odpowiedzią na rozwój rynków energii elektrycznej i rynków ciepła ochroną odbiorców. Ustawa ta powstała również w celu dostosowania przepisów do rozporządzenia (WE) nr 713/2009 z dnia 13 lipca 2009 roku, ustanawiającego Agencję ds. Współpracy Organów Regulacji Energetyki oraz rozporządzenia (WE) nr 714 z dnia 13 lipca 2009 roku w sprawie warunków dostępu do sieci w odniesieniu do </w:t>
      </w:r>
      <w:proofErr w:type="spellStart"/>
      <w:r w:rsidRPr="002E5423">
        <w:t>transgranicznej</w:t>
      </w:r>
      <w:proofErr w:type="spellEnd"/>
      <w:r w:rsidRPr="002E5423">
        <w:t xml:space="preserve"> wymiany energii elektrycznej i uchylającego rozporządzenie nr 1228/2003. Projekt ustawy dotyczący prawa energetycznego tworzy spójne ramy prawne w dziedzinie elektroenergetyki, ciepła oraz instrumentów, które wspierają </w:t>
      </w:r>
      <w:proofErr w:type="spellStart"/>
      <w:r w:rsidRPr="002E5423">
        <w:t>kogenerację</w:t>
      </w:r>
      <w:proofErr w:type="spellEnd"/>
      <w:r w:rsidRPr="002E5423">
        <w:t>, z uwzględnieniem europejskich standardów.</w:t>
      </w:r>
    </w:p>
    <w:p w:rsidR="002E5423" w:rsidRPr="002E5423" w:rsidRDefault="002E5423" w:rsidP="002E5423">
      <w:pPr>
        <w:rPr>
          <w:b/>
        </w:rPr>
      </w:pPr>
      <w:r w:rsidRPr="002E5423">
        <w:rPr>
          <w:b/>
        </w:rPr>
        <w:t>Prawo gazowe</w:t>
      </w:r>
    </w:p>
    <w:p w:rsidR="002E5423" w:rsidRDefault="002E5423" w:rsidP="002E5423">
      <w:r w:rsidRPr="002E5423">
        <w:t xml:space="preserve">Wejście w życie nowej ustawy korzystnie wpłynie na funkcjonowanie przedsiębiorstw z sektora gazowniczego, dzięki stworzeniu kompleksowej regulacji działania rynku gazu ziemnego. Przede wszystkim uprości to prowadzenie działalności gospodarczej. Regulacje, które zostaną wdrożone niniejszym projektem, będą prowadzić do zwiększenia poziomu ochrony prawnej odbiorców energii m.in. dzięki utworzeniu przy Prezesie URE punktu informacyjnego dla odbiorców paliw i energii. Celem takiego punktu będzie zapewnienie konsumentom wszystkich niezbędnych informacji związanych z ich prawami, obecnymi przepisami oraz dostępnymi środkami rozstrzygania ewentualnych sporów. </w:t>
      </w:r>
    </w:p>
    <w:p w:rsidR="00EF0785" w:rsidRPr="002E5423" w:rsidRDefault="00EF0785" w:rsidP="002E5423"/>
    <w:p w:rsidR="002E5423" w:rsidRPr="002E5423" w:rsidRDefault="002E5423" w:rsidP="002E5423">
      <w:pPr>
        <w:rPr>
          <w:b/>
        </w:rPr>
      </w:pPr>
      <w:r w:rsidRPr="002E5423">
        <w:rPr>
          <w:b/>
        </w:rPr>
        <w:t>Dokumenty strategiczne i planistyczne</w:t>
      </w:r>
    </w:p>
    <w:p w:rsidR="002E5423" w:rsidRDefault="002E5423" w:rsidP="002E5423">
      <w:r w:rsidRPr="002E5423">
        <w:t>Poniżej zostały zaprezentowane charakterystyki i najważniejsze założenia dokumentów strategicznych oraz planistycznych na poziomie krajowym, z którymi Plan musi być zbieżny.</w:t>
      </w:r>
    </w:p>
    <w:p w:rsidR="00EF0785" w:rsidRDefault="00EF0785" w:rsidP="002E5423"/>
    <w:p w:rsidR="00EF0785" w:rsidRPr="002E5423" w:rsidRDefault="00EF0785" w:rsidP="002E5423"/>
    <w:p w:rsidR="002E5423" w:rsidRPr="002E5423" w:rsidRDefault="002E5423" w:rsidP="00802D34">
      <w:pPr>
        <w:numPr>
          <w:ilvl w:val="0"/>
          <w:numId w:val="10"/>
        </w:numPr>
        <w:rPr>
          <w:b/>
        </w:rPr>
      </w:pPr>
      <w:r w:rsidRPr="002E5423">
        <w:rPr>
          <w:b/>
        </w:rPr>
        <w:lastRenderedPageBreak/>
        <w:t>Strategia Rozwoju Kraju 2020</w:t>
      </w:r>
    </w:p>
    <w:p w:rsidR="002E5423" w:rsidRPr="002E5423" w:rsidRDefault="002E5423" w:rsidP="002E5423">
      <w:r w:rsidRPr="002E5423">
        <w:t>Dokument ten to wieloletni dokument strategiczny, wskazujący cele i priorytety Polityki w Polsce: kierunki rozwoju społeczno – gospodarczego wraz z warunkami, które powinny ten rozwój zapewnić. SRK stanowi punkt odniesienia dla innych strategii i programów rządowych oraz innych dokumentów opracowywanych przez jednostki samorządu terytorialnego.</w:t>
      </w:r>
    </w:p>
    <w:p w:rsidR="002E5423" w:rsidRPr="002E5423" w:rsidRDefault="002E5423" w:rsidP="002E5423">
      <w:r w:rsidRPr="002E5423">
        <w:t xml:space="preserve">Plan Gospodarki Niskoemisyjnej dla Gminy </w:t>
      </w:r>
      <w:r w:rsidR="001C28BB" w:rsidRPr="00E97626">
        <w:t>Herby</w:t>
      </w:r>
      <w:r w:rsidRPr="002E5423">
        <w:t xml:space="preserve"> jest zbieżny z zapisami SRK określonymi w następującym zakresie:</w:t>
      </w:r>
    </w:p>
    <w:p w:rsidR="002E5423" w:rsidRPr="002E5423" w:rsidRDefault="002E5423" w:rsidP="00802D34">
      <w:pPr>
        <w:numPr>
          <w:ilvl w:val="0"/>
          <w:numId w:val="12"/>
        </w:numPr>
        <w:spacing w:line="276" w:lineRule="auto"/>
      </w:pPr>
      <w:r w:rsidRPr="002E5423">
        <w:t>II.6.2. Poprawa efektywności energetycznej poprzez m.in.: wsparcie termomodernizacji budynków i modernizacji istniejących systemów ciepłowniczych z zastosowaniem dostępnych i sprawdzonych technologii, rozwój energetyki rozproszonej poza istniejącą siecią energetyczną z wykorzystaniem lokalnych odnawialnych źródeł energii,</w:t>
      </w:r>
    </w:p>
    <w:p w:rsidR="002E5423" w:rsidRPr="002E5423" w:rsidRDefault="002E5423" w:rsidP="00802D34">
      <w:pPr>
        <w:numPr>
          <w:ilvl w:val="0"/>
          <w:numId w:val="12"/>
        </w:numPr>
        <w:spacing w:line="276" w:lineRule="auto"/>
      </w:pPr>
      <w:r w:rsidRPr="002E5423">
        <w:t>II.6.3. Zwiększenie dywersyfikacji dostaw paliw i energii poprzez m.in. zwiększenie wykorzystywania odnawialnych źródeł energii,</w:t>
      </w:r>
    </w:p>
    <w:p w:rsidR="002E5423" w:rsidRPr="002E5423" w:rsidRDefault="002E5423" w:rsidP="00802D34">
      <w:pPr>
        <w:numPr>
          <w:ilvl w:val="0"/>
          <w:numId w:val="12"/>
        </w:numPr>
        <w:spacing w:line="276" w:lineRule="auto"/>
      </w:pPr>
      <w:r w:rsidRPr="002E5423">
        <w:t>II.6.4. Poprawa stanu środowiska poprzez m.in. prowadzenie długofalowej polityki ograniczenia emisji w sposób zachęcający do zmian technologii produkcyjnych, poprawa efektywności infrastruktury ciepłowniczej, modernizacji oświetlenia ulicznego.</w:t>
      </w:r>
    </w:p>
    <w:p w:rsidR="002E5423" w:rsidRPr="002E5423" w:rsidRDefault="002E5423" w:rsidP="002E5423"/>
    <w:p w:rsidR="002E5423" w:rsidRPr="002E5423" w:rsidRDefault="002E5423" w:rsidP="00802D34">
      <w:pPr>
        <w:numPr>
          <w:ilvl w:val="0"/>
          <w:numId w:val="10"/>
        </w:numPr>
        <w:rPr>
          <w:b/>
        </w:rPr>
      </w:pPr>
      <w:r w:rsidRPr="002E5423">
        <w:rPr>
          <w:b/>
        </w:rPr>
        <w:t xml:space="preserve"> Polityka energetyczna do 2030 roku</w:t>
      </w:r>
    </w:p>
    <w:p w:rsidR="002E5423" w:rsidRPr="002E5423" w:rsidRDefault="002E5423" w:rsidP="002E5423">
      <w:r w:rsidRPr="002E5423">
        <w:t>Dokument ten przedstawia strategię państwa, która ma na celu odpowiedzenie na najważniejsze wyzwania stojące przed polską energetyką, zarówno w perspektywie krótkoterminowej, jak i w perspektywie do 2030 roku.</w:t>
      </w:r>
    </w:p>
    <w:p w:rsidR="002E5423" w:rsidRPr="002E5423" w:rsidRDefault="002E5423" w:rsidP="002E5423">
      <w:r w:rsidRPr="002E5423">
        <w:t>Podstawowymi kierunkami polskiej polityki energetycznej są:</w:t>
      </w:r>
    </w:p>
    <w:p w:rsidR="002E5423" w:rsidRPr="002E5423" w:rsidRDefault="002E5423" w:rsidP="00802D34">
      <w:pPr>
        <w:numPr>
          <w:ilvl w:val="0"/>
          <w:numId w:val="11"/>
        </w:numPr>
        <w:spacing w:line="276" w:lineRule="auto"/>
      </w:pPr>
      <w:r w:rsidRPr="002E5423">
        <w:t>poprawa efektywności energetycznej,</w:t>
      </w:r>
    </w:p>
    <w:p w:rsidR="002E5423" w:rsidRPr="002E5423" w:rsidRDefault="002E5423" w:rsidP="00802D34">
      <w:pPr>
        <w:numPr>
          <w:ilvl w:val="0"/>
          <w:numId w:val="11"/>
        </w:numPr>
        <w:spacing w:line="276" w:lineRule="auto"/>
      </w:pPr>
      <w:r w:rsidRPr="002E5423">
        <w:t>wzrost bezpieczeństwa dostaw paliw i energii,</w:t>
      </w:r>
    </w:p>
    <w:p w:rsidR="002E5423" w:rsidRPr="002E5423" w:rsidRDefault="002E5423" w:rsidP="00802D34">
      <w:pPr>
        <w:numPr>
          <w:ilvl w:val="0"/>
          <w:numId w:val="11"/>
        </w:numPr>
        <w:spacing w:line="276" w:lineRule="auto"/>
      </w:pPr>
      <w:r w:rsidRPr="002E5423">
        <w:t>dywersyfikacja struktury wytwarzania energii elektrycznej poprzez wprowadzanie energetyki jądrowej,</w:t>
      </w:r>
    </w:p>
    <w:p w:rsidR="002E5423" w:rsidRPr="002E5423" w:rsidRDefault="002E5423" w:rsidP="00802D34">
      <w:pPr>
        <w:numPr>
          <w:ilvl w:val="0"/>
          <w:numId w:val="11"/>
        </w:numPr>
        <w:spacing w:line="276" w:lineRule="auto"/>
      </w:pPr>
      <w:r w:rsidRPr="002E5423">
        <w:t xml:space="preserve">rozwój wykorzystania odnawialnych źródeł energii, w tym </w:t>
      </w:r>
      <w:proofErr w:type="spellStart"/>
      <w:r w:rsidRPr="002E5423">
        <w:t>biopaliw</w:t>
      </w:r>
      <w:proofErr w:type="spellEnd"/>
      <w:r w:rsidRPr="002E5423">
        <w:t>,</w:t>
      </w:r>
    </w:p>
    <w:p w:rsidR="002E5423" w:rsidRPr="002E5423" w:rsidRDefault="002E5423" w:rsidP="00802D34">
      <w:pPr>
        <w:numPr>
          <w:ilvl w:val="0"/>
          <w:numId w:val="11"/>
        </w:numPr>
        <w:spacing w:line="276" w:lineRule="auto"/>
      </w:pPr>
      <w:r w:rsidRPr="002E5423">
        <w:t>rozwój konkurencyjnych rynków paliw i energii,</w:t>
      </w:r>
    </w:p>
    <w:p w:rsidR="002E5423" w:rsidRPr="002E5423" w:rsidRDefault="002E5423" w:rsidP="00802D34">
      <w:pPr>
        <w:numPr>
          <w:ilvl w:val="0"/>
          <w:numId w:val="11"/>
        </w:numPr>
        <w:spacing w:line="276" w:lineRule="auto"/>
      </w:pPr>
      <w:r w:rsidRPr="002E5423">
        <w:t>ograniczenie oddziaływania energetyki na środowisko.</w:t>
      </w:r>
    </w:p>
    <w:p w:rsidR="00E85829" w:rsidRDefault="002E5423" w:rsidP="002E5423">
      <w:r w:rsidRPr="002E5423">
        <w:lastRenderedPageBreak/>
        <w:t>Aktywne włączanie się władz regionalnych w realizację celów polskiej polityki energetycznej (m.in. poprzez przygotowywanie na szczeblu wojewódzkim, powiatowym lub gminnym strategii rozwoju energetyki) uznano za istotne działania wspomagające realizację tej polityki. PGN wykazuje zbieżność z zapisami zawartymi w Polityce energetycznej do 2030 roku w zakresie poprawy efektywności energetycznej, która jest traktowana w sposób priorytetowy.</w:t>
      </w:r>
    </w:p>
    <w:p w:rsidR="00EF0785" w:rsidRPr="002E5423" w:rsidRDefault="00EF0785" w:rsidP="002E5423"/>
    <w:p w:rsidR="002E5423" w:rsidRPr="002E5423" w:rsidRDefault="002E5423" w:rsidP="00802D34">
      <w:pPr>
        <w:numPr>
          <w:ilvl w:val="0"/>
          <w:numId w:val="10"/>
        </w:numPr>
        <w:rPr>
          <w:b/>
        </w:rPr>
      </w:pPr>
      <w:r w:rsidRPr="002E5423">
        <w:rPr>
          <w:b/>
        </w:rPr>
        <w:t>Polityka Ekologiczna Państwa na lata 2009-2012 z perspektywą do roku 2016</w:t>
      </w:r>
    </w:p>
    <w:p w:rsidR="002E5423" w:rsidRDefault="002E5423" w:rsidP="002E5423">
      <w:r w:rsidRPr="002E5423">
        <w:t>Stanowi ona aktualizację polityki ekologicznej na lata 2007-2010. Celem priorytetowym tej polityki jest zapewnienie bezpieczeństwa ekologicznego kraju i tworzenie podstaw do zrównoważonego rozwoju społeczno – gospodarczego. Kierunki działań w ramach tego priorytetu wskazują m.in. nieodzowność dalszego zmniejszania emisji zanieczyszczeń w procesie wytwarzania energii, co wpisuje się w założenia niniejszego Programu. Ponadto PGN wykazuje spójność z analizowanym dokumentem w zakresie m.in. działań redukcyjnych emisję zanieczyszczeń powietrza oraz wsparcia i rozwoju OZE.</w:t>
      </w:r>
    </w:p>
    <w:p w:rsidR="00165173" w:rsidRPr="002E5423" w:rsidRDefault="00165173" w:rsidP="002E5423"/>
    <w:p w:rsidR="002E5423" w:rsidRDefault="00165173" w:rsidP="00802D34">
      <w:pPr>
        <w:pStyle w:val="Nagwek3"/>
        <w:numPr>
          <w:ilvl w:val="2"/>
          <w:numId w:val="2"/>
        </w:numPr>
      </w:pPr>
      <w:bookmarkStart w:id="11" w:name="_Toc438118353"/>
      <w:r>
        <w:t>Poziom regionalny i lokalny</w:t>
      </w:r>
      <w:bookmarkEnd w:id="11"/>
    </w:p>
    <w:p w:rsidR="00165173" w:rsidRDefault="00165173" w:rsidP="00165173"/>
    <w:p w:rsidR="00065E0A" w:rsidRDefault="00065E0A" w:rsidP="00165173">
      <w:r>
        <w:t xml:space="preserve">Na poziomie regionalnym Plan Gospodarki Niskoemisyjnej dla gminy Herby wykazuje zgodność w swoich zapisach z poniższymi dokumentami: </w:t>
      </w:r>
    </w:p>
    <w:p w:rsidR="00C17D73" w:rsidRPr="00C17D73" w:rsidRDefault="00C17D73" w:rsidP="00C17D73">
      <w:pPr>
        <w:spacing w:line="240" w:lineRule="auto"/>
      </w:pPr>
    </w:p>
    <w:p w:rsidR="00626767" w:rsidRPr="00EF0785" w:rsidRDefault="007D7939" w:rsidP="00802D34">
      <w:pPr>
        <w:pStyle w:val="Akapitzlist"/>
        <w:numPr>
          <w:ilvl w:val="0"/>
          <w:numId w:val="13"/>
        </w:numPr>
      </w:pPr>
      <w:r w:rsidRPr="00EF0785">
        <w:t>Strategia Rozwoju Województwa Ś</w:t>
      </w:r>
      <w:r w:rsidR="00626767" w:rsidRPr="00EF0785">
        <w:t>ląskiego</w:t>
      </w:r>
      <w:r w:rsidRPr="00EF0785">
        <w:t xml:space="preserve"> ŚLĄSKIE 2020+</w:t>
      </w:r>
      <w:r w:rsidR="00065E0A" w:rsidRPr="00EF0785">
        <w:t>.</w:t>
      </w:r>
    </w:p>
    <w:p w:rsidR="00065E0A" w:rsidRPr="00065E0A" w:rsidRDefault="00065E0A" w:rsidP="00065E0A">
      <w:pPr>
        <w:spacing w:line="240" w:lineRule="auto"/>
        <w:rPr>
          <w:b/>
          <w:sz w:val="16"/>
          <w:szCs w:val="16"/>
        </w:rPr>
      </w:pPr>
    </w:p>
    <w:p w:rsidR="00065E0A" w:rsidRDefault="007D7939" w:rsidP="00065E0A">
      <w:r>
        <w:rPr>
          <w:b/>
        </w:rPr>
        <w:t>Wizja Województwa Ś</w:t>
      </w:r>
      <w:r w:rsidR="00065E0A" w:rsidRPr="00065E0A">
        <w:rPr>
          <w:b/>
        </w:rPr>
        <w:t>ląskiego do 2020 roku</w:t>
      </w:r>
      <w:r w:rsidR="00065E0A">
        <w:t>:</w:t>
      </w:r>
    </w:p>
    <w:p w:rsidR="00065E0A" w:rsidRDefault="00065E0A" w:rsidP="00065E0A">
      <w:r>
        <w:t xml:space="preserve">WOJEWÓDZTWO ŚLĄSKIE BĘDZIE REGIONEM ZAPEWNIAJĄCYM DOSTĘP DO USŁUG PUBLICZNYCH O WYSOKIM STANDARDZIE, O NOWOCZESNEJ I ZAAWANSOWANEJ TECHNOLOGICZNIE GOSPODARCE ORAZ ISTOTNYM PARTENERM W PROCESIE ROZWOJU EUROPY. </w:t>
      </w:r>
    </w:p>
    <w:p w:rsidR="00065E0A" w:rsidRDefault="000A1703" w:rsidP="00065E0A">
      <w:r>
        <w:lastRenderedPageBreak/>
        <w:t xml:space="preserve">Dla realizacji wizji wyznaczono kierunki interwencji, obejmujące typy działań, które przyczynią się do osiągnięcia strategicznych celów rozwoju województwa. Jednym z planowanych przedsięwzięć jest </w:t>
      </w:r>
      <w:r w:rsidRPr="000A1703">
        <w:rPr>
          <w:b/>
          <w:i/>
        </w:rPr>
        <w:t>technologiczna przebudowa systemu energetycznego</w:t>
      </w:r>
      <w:r>
        <w:t xml:space="preserve">. W ramach przedsięwzięcia planuje się podjęcie zadań i projektów o charakterze planistycznym, organizacyjnym i wdrożeniowym. Planuje się utworzenie platformy współpracy pomiędzy jednostkami badawczo-rozwojowymi, uczelniami i podmiotami </w:t>
      </w:r>
      <w:r w:rsidR="0058319B">
        <w:t>gospodarczymi w celu podjęcia i </w:t>
      </w:r>
      <w:r>
        <w:t>rozwoju badań dla stosowania technologii energetycznych nowej generacji, tzw. czystych technologii węglowych w celu ograniczania emisji dwutlenku wę</w:t>
      </w:r>
      <w:r w:rsidR="0058319B">
        <w:t>gla. Działania te wpisują się w </w:t>
      </w:r>
      <w:r>
        <w:t xml:space="preserve">realizację polityki energetycznej dla Europy. W ramach przedsięwzięcia uwzględniane będą programy oszczędności energii, programy termo modernizacyjne. </w:t>
      </w:r>
    </w:p>
    <w:p w:rsidR="000A1703" w:rsidRDefault="000A1703" w:rsidP="00065E0A">
      <w:r>
        <w:t>Efekty realizacji przedsięwzięcia:</w:t>
      </w:r>
    </w:p>
    <w:p w:rsidR="000A1703" w:rsidRDefault="0058319B" w:rsidP="0058319B">
      <w:pPr>
        <w:pStyle w:val="Akapitzlist"/>
        <w:numPr>
          <w:ilvl w:val="0"/>
          <w:numId w:val="65"/>
        </w:numPr>
      </w:pPr>
      <w:r>
        <w:t>zwiększenie bezpieczeństwa dostaw energii,</w:t>
      </w:r>
    </w:p>
    <w:p w:rsidR="0058319B" w:rsidRDefault="0058319B" w:rsidP="0058319B">
      <w:pPr>
        <w:pStyle w:val="Akapitzlist"/>
        <w:numPr>
          <w:ilvl w:val="0"/>
          <w:numId w:val="65"/>
        </w:numPr>
      </w:pPr>
      <w:r>
        <w:t>dostosowanie do regulacji Unii Europejskiej,</w:t>
      </w:r>
    </w:p>
    <w:p w:rsidR="0058319B" w:rsidRDefault="0058319B" w:rsidP="0058319B">
      <w:pPr>
        <w:pStyle w:val="Akapitzlist"/>
        <w:numPr>
          <w:ilvl w:val="0"/>
          <w:numId w:val="65"/>
        </w:numPr>
      </w:pPr>
      <w:r>
        <w:t>poprawa efektywności energetycznej i ekologicznej,</w:t>
      </w:r>
    </w:p>
    <w:p w:rsidR="0058319B" w:rsidRDefault="0058319B" w:rsidP="0058319B">
      <w:pPr>
        <w:pStyle w:val="Akapitzlist"/>
        <w:numPr>
          <w:ilvl w:val="0"/>
          <w:numId w:val="65"/>
        </w:numPr>
      </w:pPr>
      <w:r>
        <w:t>wytworzenie środowiska ekspertów i wysokospecjalistycznych fachowców,</w:t>
      </w:r>
    </w:p>
    <w:p w:rsidR="0058319B" w:rsidRDefault="0058319B" w:rsidP="0058319B">
      <w:pPr>
        <w:pStyle w:val="Akapitzlist"/>
        <w:numPr>
          <w:ilvl w:val="0"/>
          <w:numId w:val="65"/>
        </w:numPr>
      </w:pPr>
      <w:r>
        <w:t>poprawa stanu środowiska,</w:t>
      </w:r>
    </w:p>
    <w:p w:rsidR="0058319B" w:rsidRDefault="0058319B" w:rsidP="0058319B">
      <w:pPr>
        <w:pStyle w:val="Akapitzlist"/>
        <w:numPr>
          <w:ilvl w:val="0"/>
          <w:numId w:val="65"/>
        </w:numPr>
      </w:pPr>
      <w:r>
        <w:t>efektywne wykorzystanie energii pierwotnej,</w:t>
      </w:r>
    </w:p>
    <w:p w:rsidR="0058319B" w:rsidRDefault="0058319B" w:rsidP="0058319B">
      <w:pPr>
        <w:pStyle w:val="Akapitzlist"/>
        <w:numPr>
          <w:ilvl w:val="0"/>
          <w:numId w:val="65"/>
        </w:numPr>
      </w:pPr>
      <w:r>
        <w:t xml:space="preserve">wzrost atrakcyjności inwestycyjnej województwa. </w:t>
      </w:r>
    </w:p>
    <w:p w:rsidR="0058319B" w:rsidRDefault="0058319B" w:rsidP="0058319B">
      <w:pPr>
        <w:pStyle w:val="Akapitzlist"/>
      </w:pPr>
    </w:p>
    <w:p w:rsidR="00626767" w:rsidRPr="00E97626" w:rsidRDefault="00626767" w:rsidP="00802D34">
      <w:pPr>
        <w:pStyle w:val="Akapitzlist"/>
        <w:numPr>
          <w:ilvl w:val="0"/>
          <w:numId w:val="13"/>
        </w:numPr>
      </w:pPr>
      <w:r w:rsidRPr="00E97626">
        <w:t xml:space="preserve">Regionalny Program </w:t>
      </w:r>
      <w:r w:rsidR="007D7939" w:rsidRPr="00E97626">
        <w:t xml:space="preserve">Operacyjny </w:t>
      </w:r>
      <w:r w:rsidRPr="00E97626">
        <w:t>Województwa Śląskiego</w:t>
      </w:r>
      <w:r w:rsidR="007D7939" w:rsidRPr="00E97626">
        <w:t xml:space="preserve"> na lata 2014 - 2020</w:t>
      </w:r>
    </w:p>
    <w:p w:rsidR="00EB3202" w:rsidRDefault="00EB3202" w:rsidP="00EB3202">
      <w:r>
        <w:t>Zwiększenie efektywności energetycznej w przedsiębiorstwach, mieszkalnictwie i budynkach publicznych jest wymogiem stawianym przez Unię Europejską. Celem nadrzędnym jest potrzeba zwiększenia efektywności zużycia energii w krajach UE, jak również potrzeba stworzenia narzędzia zarządzania popytem na energię. Wyzwaniem dla województwa śląskiego jest wysoka emisyjność gospodarki generowana w sektorze transportu, sektorze publicznym, mieszkaniowym i w przemyśle, a także wysokie zużycie energii na potrzeby gospodarki i niski udział energii ze źródeł odnawialnych w produkcji energii</w:t>
      </w:r>
      <w:r w:rsidR="006C1EF3">
        <w:t xml:space="preserve">. Interwencja w ramach osi priorytetowej IV </w:t>
      </w:r>
      <w:r w:rsidR="006C1EF3" w:rsidRPr="006C1EF3">
        <w:rPr>
          <w:i/>
        </w:rPr>
        <w:t>Wspieranie przejścia na gospodarkę niskoemisyjną we wszystkich sektorach</w:t>
      </w:r>
      <w:r w:rsidR="006C1EF3">
        <w:t xml:space="preserve"> wpisuje się </w:t>
      </w:r>
      <w:r w:rsidR="00B9620C">
        <w:t>zidentyfikowane</w:t>
      </w:r>
      <w:r w:rsidR="006C1EF3">
        <w:t xml:space="preserve"> potencjały i wyzwania stojące przed województwem śląskim. </w:t>
      </w:r>
      <w:r w:rsidR="00B9620C">
        <w:t xml:space="preserve">Realizacja idei zrównoważonego rozwoju, wspierania gospodarki efektywniej korzystającej z zasobów, bardziej przyjaznej </w:t>
      </w:r>
      <w:r w:rsidR="00B9620C">
        <w:lastRenderedPageBreak/>
        <w:t xml:space="preserve">środowisku i bardziej konkurencyjnej przyczyni się do osiągnięcia celów w zakresie klimatu i energii. </w:t>
      </w:r>
    </w:p>
    <w:p w:rsidR="00EF0785" w:rsidRPr="006C1EF3" w:rsidRDefault="00EF0785" w:rsidP="00EB3202"/>
    <w:p w:rsidR="00626767" w:rsidRDefault="00626767" w:rsidP="00802D34">
      <w:pPr>
        <w:pStyle w:val="Akapitzlist"/>
        <w:numPr>
          <w:ilvl w:val="0"/>
          <w:numId w:val="13"/>
        </w:numPr>
      </w:pPr>
      <w:r>
        <w:t>Strategia Rozwoju Powiatu Lublinieckiego</w:t>
      </w:r>
    </w:p>
    <w:p w:rsidR="00165173" w:rsidRDefault="00096897" w:rsidP="00165173">
      <w:r>
        <w:t xml:space="preserve">Celem nadrzędnym wynikającym z deklaracji władz samorządowych powiatu jest osiągnięcie trwałego, akceptowanego społecznie i bezpiecznego ekologicznie rozwoju pozwalającego dorównać europejskim standardom życia, przy pełnym wykorzystaniu zasobów przyrodniczych, ludzkich i kapitałowych oraz walorów położenia powiatu. </w:t>
      </w:r>
    </w:p>
    <w:p w:rsidR="00096897" w:rsidRDefault="00432D13" w:rsidP="00165173">
      <w:r>
        <w:t>Jednym z kierunków rozwoju jest stworzenie obszaru czystego środowiska. Poprawa jakości po</w:t>
      </w:r>
      <w:r w:rsidR="00C967B0">
        <w:t xml:space="preserve">wietrza atmosferycznego stanowi, a także rozbudowa infrastruktury technicznej przyczynią się do realizacji celu PGN – ograniczania emisji dwutlenku węgla i wdrażania rozwiązań technologicznych w zakresie odnawialnych źródeł energii. </w:t>
      </w:r>
    </w:p>
    <w:p w:rsidR="00A4714C" w:rsidRDefault="00A4714C">
      <w:pPr>
        <w:spacing w:line="276" w:lineRule="auto"/>
        <w:jc w:val="left"/>
      </w:pPr>
      <w:r>
        <w:br w:type="page"/>
      </w:r>
    </w:p>
    <w:p w:rsidR="00626767" w:rsidRDefault="004549A2" w:rsidP="00A10D06">
      <w:pPr>
        <w:pStyle w:val="Nagwek1"/>
        <w:numPr>
          <w:ilvl w:val="0"/>
          <w:numId w:val="1"/>
        </w:numPr>
        <w:jc w:val="left"/>
      </w:pPr>
      <w:bookmarkStart w:id="12" w:name="_Toc438118354"/>
      <w:r>
        <w:lastRenderedPageBreak/>
        <w:t>Ogólna charakterystyka obszaru objętego Planem Gospodarki Niskoemisyjnej wraz z uwarunkowaniami związanymi z jakością powietrza atmosferycznego</w:t>
      </w:r>
      <w:bookmarkEnd w:id="12"/>
    </w:p>
    <w:p w:rsidR="004549A2" w:rsidRDefault="004549A2" w:rsidP="004549A2"/>
    <w:p w:rsidR="00EC2C17" w:rsidRDefault="00EC2C17" w:rsidP="00A10D06">
      <w:pPr>
        <w:pStyle w:val="Nagwek2"/>
        <w:numPr>
          <w:ilvl w:val="1"/>
          <w:numId w:val="1"/>
        </w:numPr>
      </w:pPr>
      <w:bookmarkStart w:id="13" w:name="_Toc438118355"/>
      <w:r>
        <w:t>Położenie gminy Herby</w:t>
      </w:r>
      <w:bookmarkEnd w:id="13"/>
    </w:p>
    <w:p w:rsidR="00EC2C17" w:rsidRDefault="00EC2C17" w:rsidP="00EC2C17">
      <w:pPr>
        <w:rPr>
          <w:rFonts w:cs="Arial"/>
        </w:rPr>
      </w:pPr>
    </w:p>
    <w:p w:rsidR="00EC2C17" w:rsidRPr="00535255" w:rsidRDefault="00EC2C17" w:rsidP="00EC2C17">
      <w:pPr>
        <w:rPr>
          <w:rFonts w:cs="Arial"/>
        </w:rPr>
      </w:pPr>
      <w:r w:rsidRPr="00535255">
        <w:rPr>
          <w:rFonts w:cs="Arial"/>
        </w:rPr>
        <w:t>Gmina Herby jest jedną ze 167 gmin województwa śląskiego położoną w jego północno-wschodniej części, w dorzeczu rzeki Liswarty. Zajmuje powierzchnię 87,8 km</w:t>
      </w:r>
      <w:r w:rsidRPr="00535255">
        <w:rPr>
          <w:rFonts w:cs="Arial"/>
          <w:vertAlign w:val="superscript"/>
        </w:rPr>
        <w:t xml:space="preserve">2 </w:t>
      </w:r>
      <w:r w:rsidRPr="00535255">
        <w:rPr>
          <w:rFonts w:cs="Arial"/>
        </w:rPr>
        <w:t xml:space="preserve">powiatu lublinieckiego. Gmina umiejscowiona jest w odległości około 18 km od Częstochowy, oraz około 70 km od miasta wojewódzkiego – Katowic. </w:t>
      </w:r>
    </w:p>
    <w:p w:rsidR="00EC2C17" w:rsidRDefault="00EC2C17" w:rsidP="00EC2C17">
      <w:pPr>
        <w:rPr>
          <w:rFonts w:cs="Arial"/>
          <w:b/>
          <w:sz w:val="20"/>
          <w:szCs w:val="20"/>
        </w:rPr>
      </w:pPr>
    </w:p>
    <w:p w:rsidR="00EC2C17" w:rsidRPr="005A5E1A" w:rsidRDefault="00EC2C17" w:rsidP="00EC2C17">
      <w:pPr>
        <w:rPr>
          <w:rFonts w:cs="Arial"/>
          <w:b/>
          <w:sz w:val="20"/>
          <w:szCs w:val="20"/>
        </w:rPr>
      </w:pPr>
      <w:r w:rsidRPr="005A5E1A">
        <w:rPr>
          <w:rFonts w:cs="Arial"/>
          <w:b/>
          <w:sz w:val="20"/>
          <w:szCs w:val="20"/>
        </w:rPr>
        <w:t>POŁOŻENIE POWIATU LUBLINIECKIEGO NA MAPIE WOJEWÓDZTWA</w:t>
      </w:r>
    </w:p>
    <w:p w:rsidR="00EC2C17" w:rsidRPr="00535255" w:rsidRDefault="00EC2C17" w:rsidP="00EC2C17">
      <w:pPr>
        <w:rPr>
          <w:rFonts w:cs="Arial"/>
          <w:b/>
        </w:rPr>
      </w:pPr>
    </w:p>
    <w:p w:rsidR="00EC2C17" w:rsidRPr="00535255" w:rsidRDefault="00EC2C17" w:rsidP="00EC2C17">
      <w:pPr>
        <w:rPr>
          <w:rFonts w:cs="Arial"/>
        </w:rPr>
      </w:pPr>
      <w:r>
        <w:rPr>
          <w:rFonts w:cs="Arial"/>
          <w:noProof/>
          <w:lang w:eastAsia="pl-PL"/>
        </w:rPr>
        <w:drawing>
          <wp:inline distT="0" distB="0" distL="0" distR="0">
            <wp:extent cx="2667000" cy="3632932"/>
            <wp:effectExtent l="19050" t="0" r="0" b="0"/>
            <wp:docPr id="1" name="Obraz 3" descr="Śląskie_lublinie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Śląskie_lubliniecki.png"/>
                    <pic:cNvPicPr>
                      <a:picLocks noChangeAspect="1" noChangeArrowheads="1"/>
                    </pic:cNvPicPr>
                  </pic:nvPicPr>
                  <pic:blipFill>
                    <a:blip r:embed="rId13" cstate="print"/>
                    <a:srcRect/>
                    <a:stretch>
                      <a:fillRect/>
                    </a:stretch>
                  </pic:blipFill>
                  <pic:spPr bwMode="auto">
                    <a:xfrm>
                      <a:off x="0" y="0"/>
                      <a:ext cx="2668358" cy="3634781"/>
                    </a:xfrm>
                    <a:prstGeom prst="rect">
                      <a:avLst/>
                    </a:prstGeom>
                    <a:noFill/>
                    <a:ln w="9525">
                      <a:noFill/>
                      <a:miter lim="800000"/>
                      <a:headEnd/>
                      <a:tailEnd/>
                    </a:ln>
                  </pic:spPr>
                </pic:pic>
              </a:graphicData>
            </a:graphic>
          </wp:inline>
        </w:drawing>
      </w:r>
    </w:p>
    <w:p w:rsidR="00EC2C17" w:rsidRPr="00885BE2" w:rsidRDefault="00EC2C17" w:rsidP="00EC2C17">
      <w:pPr>
        <w:rPr>
          <w:rFonts w:cs="Arial"/>
          <w:i/>
          <w:sz w:val="18"/>
          <w:szCs w:val="18"/>
        </w:rPr>
      </w:pPr>
      <w:r w:rsidRPr="00885BE2">
        <w:rPr>
          <w:rFonts w:cs="Arial"/>
          <w:i/>
          <w:sz w:val="18"/>
          <w:szCs w:val="18"/>
        </w:rPr>
        <w:t>Źródło: wikipedia.org</w:t>
      </w:r>
    </w:p>
    <w:p w:rsidR="00EC2C17" w:rsidRPr="00535255" w:rsidRDefault="00EC2C17" w:rsidP="00EC2C17">
      <w:pPr>
        <w:rPr>
          <w:rFonts w:cs="Arial"/>
        </w:rPr>
      </w:pPr>
    </w:p>
    <w:p w:rsidR="00EC2C17" w:rsidRPr="00535255" w:rsidRDefault="00EC2C17" w:rsidP="00EC2C17">
      <w:pPr>
        <w:rPr>
          <w:rFonts w:cs="Arial"/>
        </w:rPr>
      </w:pPr>
      <w:r w:rsidRPr="00535255">
        <w:rPr>
          <w:rFonts w:cs="Arial"/>
        </w:rPr>
        <w:lastRenderedPageBreak/>
        <w:t>Obszar gminy jest dość zwarty. Rozległość gminy z północy na poł</w:t>
      </w:r>
      <w:r>
        <w:rPr>
          <w:rFonts w:cs="Arial"/>
        </w:rPr>
        <w:t>udnie wynosi  około 13 km,  a z </w:t>
      </w:r>
      <w:r w:rsidRPr="00535255">
        <w:rPr>
          <w:rFonts w:cs="Arial"/>
        </w:rPr>
        <w:t xml:space="preserve">zachodu na wschód </w:t>
      </w:r>
      <w:smartTag w:uri="urn:schemas-microsoft-com:office:smarttags" w:element="metricconverter">
        <w:smartTagPr>
          <w:attr w:name="ProductID" w:val="15 km"/>
        </w:smartTagPr>
        <w:r w:rsidRPr="00535255">
          <w:rPr>
            <w:rFonts w:cs="Arial"/>
          </w:rPr>
          <w:t xml:space="preserve">15 </w:t>
        </w:r>
        <w:proofErr w:type="spellStart"/>
        <w:r w:rsidRPr="00535255">
          <w:rPr>
            <w:rFonts w:cs="Arial"/>
          </w:rPr>
          <w:t>km</w:t>
        </w:r>
      </w:smartTag>
      <w:proofErr w:type="spellEnd"/>
      <w:r w:rsidRPr="00535255">
        <w:rPr>
          <w:rFonts w:cs="Arial"/>
        </w:rPr>
        <w:t>.</w:t>
      </w:r>
    </w:p>
    <w:p w:rsidR="00556D68" w:rsidRPr="00556D68" w:rsidRDefault="00556D68" w:rsidP="00556D68">
      <w:pPr>
        <w:spacing w:line="240" w:lineRule="auto"/>
        <w:rPr>
          <w:rFonts w:cs="Arial"/>
          <w:sz w:val="16"/>
          <w:szCs w:val="16"/>
        </w:rPr>
      </w:pPr>
    </w:p>
    <w:p w:rsidR="00EC2C17" w:rsidRPr="00535255" w:rsidRDefault="00EC2C17" w:rsidP="00EC2C17">
      <w:pPr>
        <w:rPr>
          <w:rFonts w:cs="Arial"/>
        </w:rPr>
      </w:pPr>
      <w:r w:rsidRPr="00535255">
        <w:rPr>
          <w:rFonts w:cs="Arial"/>
        </w:rPr>
        <w:t>Punkty skrajne gminy położone są:</w:t>
      </w:r>
    </w:p>
    <w:p w:rsidR="00EC2C17" w:rsidRPr="00535255" w:rsidRDefault="00EC2C17" w:rsidP="00EC2C17">
      <w:pPr>
        <w:spacing w:line="276" w:lineRule="auto"/>
        <w:rPr>
          <w:rFonts w:cs="Arial"/>
        </w:rPr>
      </w:pPr>
      <w:r w:rsidRPr="00535255">
        <w:rPr>
          <w:rFonts w:cs="Arial"/>
        </w:rPr>
        <w:t xml:space="preserve">na północy           50° </w:t>
      </w:r>
      <w:smartTag w:uri="urn:schemas-microsoft-com:office:smarttags" w:element="metricconverter">
        <w:smartTagPr>
          <w:attr w:name="ProductID" w:val="47’"/>
        </w:smartTagPr>
        <w:r w:rsidRPr="00535255">
          <w:rPr>
            <w:rFonts w:cs="Arial"/>
          </w:rPr>
          <w:t>47’</w:t>
        </w:r>
      </w:smartTag>
      <w:smartTag w:uri="urn:schemas-microsoft-com:office:smarttags" w:element="metricconverter">
        <w:smartTagPr>
          <w:attr w:name="ProductID" w:val="51”"/>
        </w:smartTagPr>
        <w:r w:rsidRPr="00535255">
          <w:rPr>
            <w:rFonts w:cs="Arial"/>
          </w:rPr>
          <w:t>51”</w:t>
        </w:r>
      </w:smartTag>
      <w:r w:rsidRPr="00535255">
        <w:rPr>
          <w:rFonts w:cs="Arial"/>
        </w:rPr>
        <w:t xml:space="preserve"> N</w:t>
      </w:r>
    </w:p>
    <w:p w:rsidR="00EC2C17" w:rsidRPr="00535255" w:rsidRDefault="00EC2C17" w:rsidP="00EC2C17">
      <w:pPr>
        <w:spacing w:line="276" w:lineRule="auto"/>
        <w:rPr>
          <w:rFonts w:cs="Arial"/>
        </w:rPr>
      </w:pPr>
      <w:r w:rsidRPr="00535255">
        <w:rPr>
          <w:rFonts w:cs="Arial"/>
        </w:rPr>
        <w:t xml:space="preserve">na południu         50° </w:t>
      </w:r>
      <w:smartTag w:uri="urn:schemas-microsoft-com:office:smarttags" w:element="metricconverter">
        <w:smartTagPr>
          <w:attr w:name="ProductID" w:val="41’"/>
        </w:smartTagPr>
        <w:r w:rsidRPr="00535255">
          <w:rPr>
            <w:rFonts w:cs="Arial"/>
          </w:rPr>
          <w:t>41’</w:t>
        </w:r>
      </w:smartTag>
      <w:smartTag w:uri="urn:schemas-microsoft-com:office:smarttags" w:element="metricconverter">
        <w:smartTagPr>
          <w:attr w:name="ProductID" w:val="04”"/>
        </w:smartTagPr>
        <w:r w:rsidRPr="00535255">
          <w:rPr>
            <w:rFonts w:cs="Arial"/>
          </w:rPr>
          <w:t>04”</w:t>
        </w:r>
      </w:smartTag>
      <w:r w:rsidRPr="00535255">
        <w:rPr>
          <w:rFonts w:cs="Arial"/>
        </w:rPr>
        <w:t xml:space="preserve"> N</w:t>
      </w:r>
    </w:p>
    <w:p w:rsidR="00EC2C17" w:rsidRPr="00535255" w:rsidRDefault="00EC2C17" w:rsidP="00EC2C17">
      <w:pPr>
        <w:spacing w:line="276" w:lineRule="auto"/>
        <w:rPr>
          <w:rFonts w:cs="Arial"/>
        </w:rPr>
      </w:pPr>
      <w:r w:rsidRPr="00535255">
        <w:rPr>
          <w:rFonts w:cs="Arial"/>
        </w:rPr>
        <w:t xml:space="preserve">na zachodzie        18° </w:t>
      </w:r>
      <w:smartTag w:uri="urn:schemas-microsoft-com:office:smarttags" w:element="metricconverter">
        <w:smartTagPr>
          <w:attr w:name="ProductID" w:val="43’"/>
        </w:smartTagPr>
        <w:r w:rsidRPr="00535255">
          <w:rPr>
            <w:rFonts w:cs="Arial"/>
          </w:rPr>
          <w:t>43’</w:t>
        </w:r>
      </w:smartTag>
      <w:smartTag w:uri="urn:schemas-microsoft-com:office:smarttags" w:element="metricconverter">
        <w:smartTagPr>
          <w:attr w:name="ProductID" w:val="56”"/>
        </w:smartTagPr>
        <w:r w:rsidRPr="00535255">
          <w:rPr>
            <w:rFonts w:cs="Arial"/>
          </w:rPr>
          <w:t>56”</w:t>
        </w:r>
      </w:smartTag>
      <w:r w:rsidRPr="00535255">
        <w:rPr>
          <w:rFonts w:cs="Arial"/>
        </w:rPr>
        <w:t xml:space="preserve"> E</w:t>
      </w:r>
    </w:p>
    <w:p w:rsidR="00EC2C17" w:rsidRPr="00535255" w:rsidRDefault="00EC2C17" w:rsidP="00EC2C17">
      <w:pPr>
        <w:spacing w:line="276" w:lineRule="auto"/>
        <w:rPr>
          <w:rFonts w:cs="Arial"/>
        </w:rPr>
      </w:pPr>
      <w:r w:rsidRPr="00535255">
        <w:rPr>
          <w:rFonts w:cs="Arial"/>
        </w:rPr>
        <w:t xml:space="preserve">na wschodzie       18° </w:t>
      </w:r>
      <w:smartTag w:uri="urn:schemas-microsoft-com:office:smarttags" w:element="metricconverter">
        <w:smartTagPr>
          <w:attr w:name="ProductID" w:val="45’"/>
        </w:smartTagPr>
        <w:r w:rsidRPr="00535255">
          <w:rPr>
            <w:rFonts w:cs="Arial"/>
          </w:rPr>
          <w:t>45’</w:t>
        </w:r>
      </w:smartTag>
      <w:smartTag w:uri="urn:schemas-microsoft-com:office:smarttags" w:element="metricconverter">
        <w:smartTagPr>
          <w:attr w:name="ProductID" w:val="35”"/>
        </w:smartTagPr>
        <w:r w:rsidRPr="00535255">
          <w:rPr>
            <w:rFonts w:cs="Arial"/>
          </w:rPr>
          <w:t>35”</w:t>
        </w:r>
      </w:smartTag>
      <w:r w:rsidRPr="00535255">
        <w:rPr>
          <w:rFonts w:cs="Arial"/>
        </w:rPr>
        <w:t xml:space="preserve"> E</w:t>
      </w:r>
    </w:p>
    <w:p w:rsidR="00E35ABF" w:rsidRDefault="00E35ABF" w:rsidP="00E35ABF">
      <w:pPr>
        <w:rPr>
          <w:rFonts w:cs="Arial"/>
          <w:b/>
          <w:sz w:val="20"/>
          <w:szCs w:val="20"/>
        </w:rPr>
      </w:pPr>
    </w:p>
    <w:p w:rsidR="00E35ABF" w:rsidRPr="005A5E1A" w:rsidRDefault="00E35ABF" w:rsidP="00E35ABF">
      <w:pPr>
        <w:rPr>
          <w:rFonts w:cs="Arial"/>
          <w:b/>
          <w:sz w:val="20"/>
          <w:szCs w:val="20"/>
        </w:rPr>
      </w:pPr>
      <w:r w:rsidRPr="005A5E1A">
        <w:rPr>
          <w:rFonts w:cs="Arial"/>
          <w:b/>
          <w:sz w:val="20"/>
          <w:szCs w:val="20"/>
        </w:rPr>
        <w:t>POŁOŻENIE GMINY HERBY NA TLE POWIATU LUBLINIECKIEGO</w:t>
      </w:r>
    </w:p>
    <w:p w:rsidR="00E35ABF" w:rsidRPr="00535255" w:rsidRDefault="00E35ABF" w:rsidP="00E35ABF">
      <w:pPr>
        <w:rPr>
          <w:rFonts w:cs="Arial"/>
        </w:rPr>
      </w:pPr>
    </w:p>
    <w:p w:rsidR="00E35ABF" w:rsidRPr="00535255" w:rsidRDefault="00E35ABF" w:rsidP="00E35ABF">
      <w:pPr>
        <w:rPr>
          <w:rFonts w:cs="Arial"/>
        </w:rPr>
      </w:pPr>
      <w:r>
        <w:rPr>
          <w:rFonts w:cs="Arial"/>
          <w:noProof/>
          <w:lang w:eastAsia="pl-PL"/>
        </w:rPr>
        <w:drawing>
          <wp:inline distT="0" distB="0" distL="0" distR="0">
            <wp:extent cx="2676525" cy="2447925"/>
            <wp:effectExtent l="19050" t="0" r="9525" b="0"/>
            <wp:docPr id="16" name="Obraz 2" descr="Herby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y_map.svg.png"/>
                    <pic:cNvPicPr>
                      <a:picLocks noChangeAspect="1" noChangeArrowheads="1"/>
                    </pic:cNvPicPr>
                  </pic:nvPicPr>
                  <pic:blipFill>
                    <a:blip r:embed="rId14" cstate="print"/>
                    <a:srcRect/>
                    <a:stretch>
                      <a:fillRect/>
                    </a:stretch>
                  </pic:blipFill>
                  <pic:spPr bwMode="auto">
                    <a:xfrm>
                      <a:off x="0" y="0"/>
                      <a:ext cx="2676525" cy="2447925"/>
                    </a:xfrm>
                    <a:prstGeom prst="rect">
                      <a:avLst/>
                    </a:prstGeom>
                    <a:noFill/>
                    <a:ln w="9525">
                      <a:noFill/>
                      <a:miter lim="800000"/>
                      <a:headEnd/>
                      <a:tailEnd/>
                    </a:ln>
                  </pic:spPr>
                </pic:pic>
              </a:graphicData>
            </a:graphic>
          </wp:inline>
        </w:drawing>
      </w:r>
    </w:p>
    <w:p w:rsidR="00E35ABF" w:rsidRPr="00885BE2" w:rsidRDefault="00E35ABF" w:rsidP="00E35ABF">
      <w:pPr>
        <w:rPr>
          <w:rFonts w:cs="Arial"/>
          <w:i/>
          <w:sz w:val="18"/>
          <w:szCs w:val="18"/>
        </w:rPr>
      </w:pPr>
      <w:r w:rsidRPr="00885BE2">
        <w:rPr>
          <w:rFonts w:cs="Arial"/>
          <w:i/>
          <w:sz w:val="18"/>
          <w:szCs w:val="18"/>
        </w:rPr>
        <w:t>Źródło: wikipedia.org</w:t>
      </w:r>
    </w:p>
    <w:p w:rsidR="00E35ABF" w:rsidRPr="00535255" w:rsidRDefault="00E35ABF" w:rsidP="00E35ABF">
      <w:pPr>
        <w:rPr>
          <w:rFonts w:cs="Arial"/>
        </w:rPr>
      </w:pPr>
    </w:p>
    <w:p w:rsidR="00E35ABF" w:rsidRPr="00535255" w:rsidRDefault="00E35ABF" w:rsidP="00E35ABF">
      <w:pPr>
        <w:rPr>
          <w:rFonts w:cs="Arial"/>
        </w:rPr>
      </w:pPr>
      <w:r w:rsidRPr="00535255">
        <w:rPr>
          <w:rFonts w:cs="Arial"/>
        </w:rPr>
        <w:t>Według podziału fizyczno-geograf</w:t>
      </w:r>
      <w:r>
        <w:rPr>
          <w:rFonts w:cs="Arial"/>
        </w:rPr>
        <w:t>icznego gmina położona jest na W</w:t>
      </w:r>
      <w:r w:rsidRPr="00535255">
        <w:rPr>
          <w:rFonts w:cs="Arial"/>
        </w:rPr>
        <w:t xml:space="preserve">yżynie Woźnicko-Wieluńskiej w obrębie dwóch regionów: Obniżenia Liswarty i Progu Herbskiego. Główną rzeką gminy jest Liswarta, należąca do zlewni Warty. Przepływa przez zachodnią część gminy, obierając kierunek południowego-wschodu na północny-zachód. W dolinie rzeki i jej dopływów występują liczne stawy. Pierwotnie pełniły one funkcję zbiorników przemysłowych, obecnie wykorzystywane są </w:t>
      </w:r>
      <w:r w:rsidRPr="00535255">
        <w:rPr>
          <w:rFonts w:cs="Arial"/>
        </w:rPr>
        <w:lastRenderedPageBreak/>
        <w:t xml:space="preserve">do celów hodowlanych. W górnej części doliny, w rejonie wsi Kierzki, Mochała i Hadra występują obszary bagienne. </w:t>
      </w:r>
    </w:p>
    <w:p w:rsidR="00E35ABF" w:rsidRPr="00535255" w:rsidRDefault="00E35ABF" w:rsidP="00E35ABF">
      <w:pPr>
        <w:rPr>
          <w:rFonts w:cs="Arial"/>
        </w:rPr>
      </w:pPr>
      <w:r w:rsidRPr="00535255">
        <w:rPr>
          <w:rFonts w:cs="Arial"/>
        </w:rPr>
        <w:t>Rzeźba terenu charakteryzuje się małym zróżnicowaniem, jest lekko falista z niewielkimi wzniesieniami osiągającymi wysokości względne do kilkunastu metrów. Lasy na terenie gminy zajmują ponad 70% jej powierzchni, co sprawia, że należy ona do</w:t>
      </w:r>
      <w:r>
        <w:rPr>
          <w:rFonts w:cs="Arial"/>
        </w:rPr>
        <w:t xml:space="preserve"> najbardziej zalesionych gmin w </w:t>
      </w:r>
      <w:r w:rsidRPr="00535255">
        <w:rPr>
          <w:rFonts w:cs="Arial"/>
        </w:rPr>
        <w:t>regionie. W większości są to sztuczne monokultury sosnowe z małą domieszką innych gatunków – dębu, brzozy, modrzewia i świerku. Gmina należy do ubogich w surowce mineralne. Jedyną grupą są liasowe oraz czwartorzędowe piaski i żwiry. Ponadto wokół wsi Mochała, Hadra, Chwostek, Tanina i Łebki tylko niewielkie obszary wykorzystywane są w celach uprawnych. Przy miejscowości gminnej nie ma użytków rolnych w ogóle. Kompleks pół uprawnych znajduje się jedynie w sąsiedztwie wsi Olszyna i Kalina. Gleby należą w większości do klas V i VI, użytki wyższych klas bonitacyjnych tworzą kilka skupisk w dolinie Liswarty, między Lisowem a Hadrą.</w:t>
      </w:r>
    </w:p>
    <w:p w:rsidR="00E35ABF" w:rsidRDefault="00E35ABF" w:rsidP="00E35ABF">
      <w:pPr>
        <w:rPr>
          <w:rFonts w:cs="Arial"/>
        </w:rPr>
      </w:pPr>
      <w:r w:rsidRPr="00535255">
        <w:rPr>
          <w:rFonts w:cs="Arial"/>
        </w:rPr>
        <w:t>Rzeźba terenu, w większości naturalny charakter rzek i strumieni, jak również duży udział powierzchni zalesionych</w:t>
      </w:r>
      <w:r>
        <w:rPr>
          <w:rFonts w:cs="Arial"/>
        </w:rPr>
        <w:t>,</w:t>
      </w:r>
      <w:r w:rsidRPr="00535255">
        <w:rPr>
          <w:rFonts w:cs="Arial"/>
        </w:rPr>
        <w:t xml:space="preserve"> są cennym walorem krajobrazowym, który spowodował włączenie terenu gminy do Parku Krajobrazowego „Lasy nad Górną Liswartą”. </w:t>
      </w:r>
    </w:p>
    <w:p w:rsidR="00E35ABF" w:rsidRPr="00EF0785" w:rsidRDefault="00E35ABF" w:rsidP="00E35ABF">
      <w:pPr>
        <w:pStyle w:val="Legenda"/>
        <w:keepNext/>
        <w:ind w:firstLine="0"/>
        <w:rPr>
          <w:color w:val="auto"/>
          <w:sz w:val="22"/>
          <w:szCs w:val="22"/>
        </w:rPr>
      </w:pPr>
      <w:bookmarkStart w:id="14" w:name="_Toc436586223"/>
      <w:r w:rsidRPr="00EF0785">
        <w:rPr>
          <w:color w:val="auto"/>
          <w:sz w:val="22"/>
          <w:szCs w:val="22"/>
        </w:rPr>
        <w:t xml:space="preserve">Tabela </w:t>
      </w:r>
      <w:r w:rsidR="00844CE4" w:rsidRPr="00EF0785">
        <w:rPr>
          <w:color w:val="auto"/>
          <w:sz w:val="22"/>
          <w:szCs w:val="22"/>
        </w:rPr>
        <w:fldChar w:fldCharType="begin"/>
      </w:r>
      <w:r w:rsidR="00387EC7" w:rsidRPr="00EF0785">
        <w:rPr>
          <w:color w:val="auto"/>
          <w:sz w:val="22"/>
          <w:szCs w:val="22"/>
        </w:rPr>
        <w:instrText xml:space="preserve"> SEQ Tabela \* ARABIC </w:instrText>
      </w:r>
      <w:r w:rsidR="00844CE4" w:rsidRPr="00EF0785">
        <w:rPr>
          <w:color w:val="auto"/>
          <w:sz w:val="22"/>
          <w:szCs w:val="22"/>
        </w:rPr>
        <w:fldChar w:fldCharType="separate"/>
      </w:r>
      <w:r w:rsidR="005C42FD">
        <w:rPr>
          <w:noProof/>
          <w:color w:val="auto"/>
          <w:sz w:val="22"/>
          <w:szCs w:val="22"/>
        </w:rPr>
        <w:t>1</w:t>
      </w:r>
      <w:r w:rsidR="00844CE4" w:rsidRPr="00EF0785">
        <w:rPr>
          <w:color w:val="auto"/>
          <w:sz w:val="22"/>
          <w:szCs w:val="22"/>
        </w:rPr>
        <w:fldChar w:fldCharType="end"/>
      </w:r>
      <w:r w:rsidRPr="00EF0785">
        <w:rPr>
          <w:color w:val="auto"/>
          <w:sz w:val="22"/>
          <w:szCs w:val="22"/>
        </w:rPr>
        <w:t xml:space="preserve"> Sołectwa gminy Herby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690"/>
      </w:tblGrid>
      <w:tr w:rsidR="00E35ABF" w:rsidRPr="00535255" w:rsidTr="00BB5F46">
        <w:trPr>
          <w:trHeight w:val="557"/>
        </w:trPr>
        <w:tc>
          <w:tcPr>
            <w:tcW w:w="1668" w:type="dxa"/>
            <w:shd w:val="clear" w:color="auto" w:fill="D9D9D9"/>
            <w:vAlign w:val="center"/>
          </w:tcPr>
          <w:p w:rsidR="00E35ABF" w:rsidRPr="00232F4D" w:rsidRDefault="00E35ABF" w:rsidP="00BB5F46">
            <w:pPr>
              <w:rPr>
                <w:rFonts w:cs="Arial"/>
                <w:b/>
                <w:sz w:val="20"/>
                <w:szCs w:val="20"/>
              </w:rPr>
            </w:pPr>
            <w:r w:rsidRPr="00232F4D">
              <w:rPr>
                <w:rFonts w:cs="Arial"/>
                <w:b/>
                <w:sz w:val="20"/>
                <w:szCs w:val="20"/>
              </w:rPr>
              <w:t>SOŁECTWO</w:t>
            </w:r>
          </w:p>
        </w:tc>
        <w:tc>
          <w:tcPr>
            <w:tcW w:w="4690" w:type="dxa"/>
            <w:shd w:val="clear" w:color="auto" w:fill="D9D9D9"/>
            <w:vAlign w:val="center"/>
          </w:tcPr>
          <w:p w:rsidR="00E35ABF" w:rsidRPr="00232F4D" w:rsidRDefault="00E35ABF" w:rsidP="00BB5F46">
            <w:pPr>
              <w:rPr>
                <w:rFonts w:cs="Arial"/>
                <w:b/>
                <w:sz w:val="20"/>
                <w:szCs w:val="20"/>
              </w:rPr>
            </w:pPr>
            <w:r w:rsidRPr="00232F4D">
              <w:rPr>
                <w:rFonts w:cs="Arial"/>
                <w:b/>
                <w:sz w:val="20"/>
                <w:szCs w:val="20"/>
              </w:rPr>
              <w:t>MIEJSCOWOŚCI</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CHWOSTEK</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 xml:space="preserve">miejscowości: Chwostek, Drapacz, </w:t>
            </w:r>
            <w:proofErr w:type="spellStart"/>
            <w:r w:rsidRPr="00232F4D">
              <w:rPr>
                <w:rFonts w:cs="Arial"/>
                <w:sz w:val="20"/>
                <w:szCs w:val="20"/>
              </w:rPr>
              <w:t>Oleksiki</w:t>
            </w:r>
            <w:proofErr w:type="spellEnd"/>
            <w:r w:rsidRPr="00232F4D">
              <w:rPr>
                <w:rFonts w:cs="Arial"/>
                <w:sz w:val="20"/>
                <w:szCs w:val="20"/>
              </w:rPr>
              <w:t>, Otrzęsie</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HADRA</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miejscowości: Hadra, Kierzki, Mochała , Piłka</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HERBY</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miejscowości: Herby, Pietrzaki, Cztery Kopy</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KALINA</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miejscowość: Kalina</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LISÓW</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miejscowości: Lisów, Kolonia Lisów, Głąby, Pustkowie</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ŁEBKI</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miejscowość: Łebki</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OLSZYNA</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miejscowość: Olszyna</w:t>
            </w:r>
          </w:p>
        </w:tc>
      </w:tr>
      <w:tr w:rsidR="00E35ABF" w:rsidRPr="00535255" w:rsidTr="00BB5F46">
        <w:trPr>
          <w:trHeight w:val="557"/>
        </w:trPr>
        <w:tc>
          <w:tcPr>
            <w:tcW w:w="1668" w:type="dxa"/>
            <w:vAlign w:val="center"/>
          </w:tcPr>
          <w:p w:rsidR="00E35ABF" w:rsidRPr="00232F4D" w:rsidRDefault="00E35ABF" w:rsidP="00E35ABF">
            <w:pPr>
              <w:spacing w:line="240" w:lineRule="auto"/>
              <w:rPr>
                <w:rFonts w:cs="Arial"/>
                <w:sz w:val="20"/>
                <w:szCs w:val="20"/>
              </w:rPr>
            </w:pPr>
            <w:r w:rsidRPr="00232F4D">
              <w:rPr>
                <w:rFonts w:cs="Arial"/>
                <w:sz w:val="20"/>
                <w:szCs w:val="20"/>
              </w:rPr>
              <w:t>TANINA</w:t>
            </w:r>
          </w:p>
        </w:tc>
        <w:tc>
          <w:tcPr>
            <w:tcW w:w="4690" w:type="dxa"/>
            <w:vAlign w:val="center"/>
          </w:tcPr>
          <w:p w:rsidR="00E35ABF" w:rsidRPr="00232F4D" w:rsidRDefault="00E35ABF" w:rsidP="00E35ABF">
            <w:pPr>
              <w:spacing w:line="240" w:lineRule="auto"/>
              <w:jc w:val="left"/>
              <w:rPr>
                <w:rFonts w:cs="Arial"/>
                <w:sz w:val="20"/>
                <w:szCs w:val="20"/>
              </w:rPr>
            </w:pPr>
            <w:r w:rsidRPr="00232F4D">
              <w:rPr>
                <w:rFonts w:cs="Arial"/>
                <w:sz w:val="20"/>
                <w:szCs w:val="20"/>
              </w:rPr>
              <w:t xml:space="preserve">miejscowości: Tanina, </w:t>
            </w:r>
            <w:proofErr w:type="spellStart"/>
            <w:r w:rsidRPr="00232F4D">
              <w:rPr>
                <w:rFonts w:cs="Arial"/>
                <w:sz w:val="20"/>
                <w:szCs w:val="20"/>
              </w:rPr>
              <w:t>Brasowe</w:t>
            </w:r>
            <w:proofErr w:type="spellEnd"/>
            <w:r w:rsidRPr="00232F4D">
              <w:rPr>
                <w:rFonts w:cs="Arial"/>
                <w:sz w:val="20"/>
                <w:szCs w:val="20"/>
              </w:rPr>
              <w:t xml:space="preserve">, </w:t>
            </w:r>
            <w:proofErr w:type="spellStart"/>
            <w:r w:rsidRPr="00232F4D">
              <w:rPr>
                <w:rFonts w:cs="Arial"/>
                <w:sz w:val="20"/>
                <w:szCs w:val="20"/>
              </w:rPr>
              <w:t>Braszczok</w:t>
            </w:r>
            <w:proofErr w:type="spellEnd"/>
            <w:r w:rsidRPr="00232F4D">
              <w:rPr>
                <w:rFonts w:cs="Arial"/>
                <w:sz w:val="20"/>
                <w:szCs w:val="20"/>
              </w:rPr>
              <w:t>, Łęg, Niwy, Turza</w:t>
            </w:r>
          </w:p>
        </w:tc>
      </w:tr>
    </w:tbl>
    <w:p w:rsidR="00E35ABF" w:rsidRPr="00EF0785" w:rsidRDefault="006C120E" w:rsidP="00EF0785">
      <w:pPr>
        <w:pStyle w:val="Legenda"/>
        <w:ind w:firstLine="0"/>
        <w:rPr>
          <w:b w:val="0"/>
          <w:color w:val="auto"/>
          <w:sz w:val="20"/>
          <w:szCs w:val="20"/>
        </w:rPr>
      </w:pPr>
      <w:r w:rsidRPr="00EF0785">
        <w:rPr>
          <w:b w:val="0"/>
          <w:color w:val="auto"/>
          <w:sz w:val="20"/>
          <w:szCs w:val="20"/>
        </w:rPr>
        <w:t>Źródło: Opracowanie własne</w:t>
      </w:r>
    </w:p>
    <w:p w:rsidR="00EC2C17" w:rsidRDefault="00EC2C17" w:rsidP="00EC2C17"/>
    <w:p w:rsidR="00E35ABF" w:rsidRDefault="00E35ABF" w:rsidP="00A10D06">
      <w:pPr>
        <w:pStyle w:val="Nagwek2"/>
        <w:numPr>
          <w:ilvl w:val="2"/>
          <w:numId w:val="1"/>
        </w:numPr>
      </w:pPr>
      <w:bookmarkStart w:id="15" w:name="_Toc438118356"/>
      <w:r>
        <w:lastRenderedPageBreak/>
        <w:t>Historia gminy Herby</w:t>
      </w:r>
      <w:bookmarkEnd w:id="15"/>
    </w:p>
    <w:p w:rsidR="0064369D" w:rsidRDefault="0064369D" w:rsidP="0064369D">
      <w:pPr>
        <w:rPr>
          <w:rFonts w:cs="Arial"/>
        </w:rPr>
      </w:pPr>
    </w:p>
    <w:p w:rsidR="0064369D" w:rsidRPr="00535255" w:rsidRDefault="0064369D" w:rsidP="0064369D">
      <w:pPr>
        <w:rPr>
          <w:rFonts w:cs="Arial"/>
        </w:rPr>
      </w:pPr>
      <w:r w:rsidRPr="00535255">
        <w:rPr>
          <w:rFonts w:cs="Arial"/>
        </w:rPr>
        <w:t xml:space="preserve">Osadnictwo na terenie gminy Herby było początkowo związane z wykorzystaniem zasobów naturalnych – przede wszystkim lasów, później natomiast wybudowanie linii kolejowej Częstochowa-Lubliniec i Śląsk-Porty wpłynęło na dalszy rozwój Herb. </w:t>
      </w:r>
    </w:p>
    <w:p w:rsidR="0064369D" w:rsidRPr="00535255" w:rsidRDefault="0064369D" w:rsidP="0064369D">
      <w:pPr>
        <w:rPr>
          <w:rFonts w:cs="Arial"/>
        </w:rPr>
      </w:pPr>
      <w:r w:rsidRPr="00535255">
        <w:rPr>
          <w:rFonts w:cs="Arial"/>
        </w:rPr>
        <w:t>Gmina Herby leży na historycznej granicy Małopolski i Śląska, która w latach 1815-1915 była granicą Imperium Rosyjskiego i Królestwa Prus (Rzeszy Niemieckiej). Stąd też, w pierwszych latach XX wieku, rozwijającej się osadzie nadano nazwę Herby. Krańce terytoriów należących do zaborców oznaczane były godłami państwowymi, dlatego też nazwa osady znalazła swoje źródło w oznaczeniach herbowych zaborców: Herby Ruskie (</w:t>
      </w:r>
      <w:proofErr w:type="spellStart"/>
      <w:r w:rsidRPr="00535255">
        <w:rPr>
          <w:rFonts w:cs="Arial"/>
        </w:rPr>
        <w:t>Russkije</w:t>
      </w:r>
      <w:proofErr w:type="spellEnd"/>
      <w:r w:rsidRPr="00535255">
        <w:rPr>
          <w:rFonts w:cs="Arial"/>
        </w:rPr>
        <w:t xml:space="preserve"> Herby), później Herby Polskie oraz Herby Pruskie (</w:t>
      </w:r>
      <w:proofErr w:type="spellStart"/>
      <w:r w:rsidRPr="00535255">
        <w:rPr>
          <w:rFonts w:cs="Arial"/>
        </w:rPr>
        <w:t>Preuβisch-Herby</w:t>
      </w:r>
      <w:proofErr w:type="spellEnd"/>
      <w:r w:rsidRPr="00535255">
        <w:rPr>
          <w:rFonts w:cs="Arial"/>
        </w:rPr>
        <w:t>), później Herby Śląskie</w:t>
      </w:r>
      <w:r w:rsidRPr="00535255">
        <w:rPr>
          <w:rStyle w:val="Odwoanieprzypisudolnego"/>
          <w:rFonts w:cs="Arial"/>
        </w:rPr>
        <w:footnoteReference w:id="1"/>
      </w:r>
      <w:r w:rsidRPr="00535255">
        <w:rPr>
          <w:rFonts w:cs="Arial"/>
        </w:rPr>
        <w:t xml:space="preserve">. Na granicy zaborów istniało tu przejście graniczne, po 1887 roku pierwsze budynki celne zastąpiły drewnianą gospodę graniczną. Na początku XX wieku wybudowano mieszkania dla celników, po obu stronach granicy wybudowano dworce kolejowe, których budynki zachowały się do dzisiaj. Dawny rosyjski dworzec kolejowy, to obecnie budynek mieszkalny, natomiast dworzec pruski, to obecny dworzec Herby Stare.  </w:t>
      </w:r>
    </w:p>
    <w:p w:rsidR="0064369D" w:rsidRDefault="0064369D" w:rsidP="0064369D">
      <w:pPr>
        <w:rPr>
          <w:rFonts w:cs="Arial"/>
        </w:rPr>
      </w:pPr>
      <w:r w:rsidRPr="00535255">
        <w:rPr>
          <w:rFonts w:cs="Arial"/>
        </w:rPr>
        <w:t>W latach 1958-1972 Herby miały status osiedla. W roku 197</w:t>
      </w:r>
      <w:r w:rsidR="009952CA">
        <w:rPr>
          <w:rFonts w:cs="Arial"/>
        </w:rPr>
        <w:t>3</w:t>
      </w:r>
      <w:r w:rsidRPr="00535255">
        <w:rPr>
          <w:rFonts w:cs="Arial"/>
        </w:rPr>
        <w:t xml:space="preserve"> uzy</w:t>
      </w:r>
      <w:r>
        <w:rPr>
          <w:rFonts w:cs="Arial"/>
        </w:rPr>
        <w:t>skały status gminy, natomiast w </w:t>
      </w:r>
      <w:r w:rsidRPr="00535255">
        <w:rPr>
          <w:rFonts w:cs="Arial"/>
        </w:rPr>
        <w:t>obecnym kształcie gmina Herby istnieje od 1 stycznia 1993 roku</w:t>
      </w:r>
      <w:r w:rsidRPr="00535255">
        <w:rPr>
          <w:rStyle w:val="Odwoanieprzypisudolnego"/>
          <w:rFonts w:cs="Arial"/>
        </w:rPr>
        <w:footnoteReference w:id="2"/>
      </w:r>
      <w:r w:rsidRPr="00535255">
        <w:rPr>
          <w:rFonts w:cs="Arial"/>
        </w:rPr>
        <w:t xml:space="preserve">. </w:t>
      </w:r>
    </w:p>
    <w:p w:rsidR="0064369D" w:rsidRPr="00C217AF" w:rsidRDefault="0064369D" w:rsidP="0064369D">
      <w:pPr>
        <w:rPr>
          <w:rFonts w:cs="Arial"/>
        </w:rPr>
      </w:pPr>
    </w:p>
    <w:p w:rsidR="00E35ABF" w:rsidRDefault="000117A8" w:rsidP="00A10D06">
      <w:pPr>
        <w:pStyle w:val="Nagwek2"/>
        <w:numPr>
          <w:ilvl w:val="1"/>
          <w:numId w:val="1"/>
        </w:numPr>
      </w:pPr>
      <w:bookmarkStart w:id="16" w:name="_Toc438118357"/>
      <w:r>
        <w:t xml:space="preserve"> </w:t>
      </w:r>
      <w:r w:rsidR="0064369D">
        <w:t>Środowisko przyrodnicze i użytkowanie gruntów</w:t>
      </w:r>
      <w:bookmarkEnd w:id="16"/>
    </w:p>
    <w:p w:rsidR="0064369D" w:rsidRDefault="0064369D" w:rsidP="00A10D06">
      <w:pPr>
        <w:pStyle w:val="Nagwek3"/>
        <w:numPr>
          <w:ilvl w:val="2"/>
          <w:numId w:val="1"/>
        </w:numPr>
      </w:pPr>
      <w:bookmarkStart w:id="17" w:name="_Toc438118358"/>
      <w:r>
        <w:t>Klimat</w:t>
      </w:r>
      <w:bookmarkEnd w:id="17"/>
    </w:p>
    <w:p w:rsidR="0064369D" w:rsidRPr="0064369D" w:rsidRDefault="0064369D" w:rsidP="0064369D"/>
    <w:p w:rsidR="0064369D" w:rsidRDefault="0064369D" w:rsidP="0064369D">
      <w:r w:rsidRPr="0064369D">
        <w:t>Gmina Herby położona jest na terenie województwa śląskiego, na którego klimat – tak jak na klimat całej Polski – oddziałują czynniki takie jak: ukształtowanie powierzchni, wysokość nad poziomem morza, czy odległości od zbiorników wodnych. Klimat cechuje przejściowość pomiędzy klimatem umiarkowanym morskim i lądowym. Dla klimatu województwa śląskiego, ważnym czynnikiem jest bliskość Bramy Morawskiej, która umożliwia przenikanie ciepłych mas powietrza znad Morza Śródziemnomorskiego</w:t>
      </w:r>
      <w:r w:rsidRPr="0064369D">
        <w:rPr>
          <w:vertAlign w:val="superscript"/>
        </w:rPr>
        <w:footnoteReference w:id="3"/>
      </w:r>
      <w:r w:rsidRPr="0064369D">
        <w:t xml:space="preserve">. Średnia temperatura powietrza na terenie </w:t>
      </w:r>
      <w:r w:rsidRPr="0064369D">
        <w:lastRenderedPageBreak/>
        <w:t xml:space="preserve">województwa śląskiego waha się w granicach 7-8 stopni C. W miesiącu styczniu i lutym średnie temperatury wahają się w granicach -2 do -3 st. C. W lipcu natomiast średnia temperatura powietrza wynosi od 14 do 16 st. C. Północna część województwa (w tym także teren gminy Herby) charakteryzują wyższe temperatury lipca sięgające nawet do 21 st. C. W przypadku opadów atmosferycznych, województwo śląskie ze względu na zróżnicowanie ukształtowania terenu, cechuje zróżnicowany rozkład przestrzenny opadów. Większa część województwa cechuje się opadami od 600 do 800 </w:t>
      </w:r>
      <w:proofErr w:type="spellStart"/>
      <w:r w:rsidRPr="0064369D">
        <w:t>mm</w:t>
      </w:r>
      <w:proofErr w:type="spellEnd"/>
      <w:r w:rsidRPr="0064369D">
        <w:t xml:space="preserve">. Średnia suma opadów rośnie w kierunku południowym województwa. Miesiącem o najniższej średniej sumie opadów jest październik, natomiast najwyższa średnia obserwowana jest w miesiącu lipcu.  Opadem, o którym należy również wspomnieć, jest śnieg. Pokrywa śnieżna na terenie województwa, z wykluczeniem terenów górskich, utrzymuje się od 50 do 70 dni w roku. Wartości usłonecznienia wahają się w granicach 1600 do 1900 godzin rocznie. Także zachmurzenie na obszarze województwa śląskiego waha się w granicach 60%-80%. Największe zachmurzenie cechuj miesiąc styczeń, najmniejsze – lipiec. </w:t>
      </w:r>
    </w:p>
    <w:p w:rsidR="00632B49" w:rsidRPr="0064369D" w:rsidRDefault="00632B49" w:rsidP="0064369D"/>
    <w:p w:rsidR="0064369D" w:rsidRDefault="004A4B6F" w:rsidP="00A10D06">
      <w:pPr>
        <w:pStyle w:val="Nagwek3"/>
        <w:numPr>
          <w:ilvl w:val="2"/>
          <w:numId w:val="1"/>
        </w:numPr>
      </w:pPr>
      <w:bookmarkStart w:id="18" w:name="_Toc438118359"/>
      <w:r>
        <w:t>Ukształtowanie terenu</w:t>
      </w:r>
      <w:bookmarkEnd w:id="18"/>
    </w:p>
    <w:p w:rsidR="00632B49" w:rsidRDefault="00632B49" w:rsidP="00632B49">
      <w:pPr>
        <w:rPr>
          <w:lang w:eastAsia="pl-PL"/>
        </w:rPr>
      </w:pPr>
    </w:p>
    <w:p w:rsidR="00632B49" w:rsidRDefault="00632B49" w:rsidP="00632B49">
      <w:pPr>
        <w:rPr>
          <w:lang w:eastAsia="pl-PL"/>
        </w:rPr>
      </w:pPr>
      <w:r w:rsidRPr="00EF5AF2">
        <w:rPr>
          <w:lang w:eastAsia="pl-PL"/>
        </w:rPr>
        <w:t>Według podziału</w:t>
      </w:r>
      <w:r>
        <w:rPr>
          <w:lang w:eastAsia="pl-PL"/>
        </w:rPr>
        <w:t xml:space="preserve"> fizyczno-geograficznego </w:t>
      </w:r>
      <w:proofErr w:type="spellStart"/>
      <w:r>
        <w:rPr>
          <w:lang w:eastAsia="pl-PL"/>
        </w:rPr>
        <w:t>J.Kondrackiego</w:t>
      </w:r>
      <w:proofErr w:type="spellEnd"/>
      <w:r>
        <w:rPr>
          <w:lang w:eastAsia="pl-PL"/>
        </w:rPr>
        <w:t xml:space="preserve"> (1998) gmina należy do prowincji – Wyżyna Śląsko-Krakowska, makroregionu – Wyżyna Woźnicko-Wieluńska, </w:t>
      </w:r>
      <w:proofErr w:type="spellStart"/>
      <w:r>
        <w:rPr>
          <w:lang w:eastAsia="pl-PL"/>
        </w:rPr>
        <w:t>mezoregionu</w:t>
      </w:r>
      <w:proofErr w:type="spellEnd"/>
      <w:r>
        <w:rPr>
          <w:lang w:eastAsia="pl-PL"/>
        </w:rPr>
        <w:t xml:space="preserve"> – Obniżenie Liswarty-Prosny (obniżenie </w:t>
      </w:r>
      <w:proofErr w:type="spellStart"/>
      <w:r>
        <w:rPr>
          <w:lang w:eastAsia="pl-PL"/>
        </w:rPr>
        <w:t>warcińsko-prośnieńskie</w:t>
      </w:r>
      <w:proofErr w:type="spellEnd"/>
      <w:r>
        <w:rPr>
          <w:lang w:eastAsia="pl-PL"/>
        </w:rPr>
        <w:t xml:space="preserve">). Północno-wschodnia część gminy wchodzi w skład </w:t>
      </w:r>
      <w:proofErr w:type="spellStart"/>
      <w:r>
        <w:rPr>
          <w:lang w:eastAsia="pl-PL"/>
        </w:rPr>
        <w:t>mezoregionu</w:t>
      </w:r>
      <w:proofErr w:type="spellEnd"/>
      <w:r>
        <w:rPr>
          <w:lang w:eastAsia="pl-PL"/>
        </w:rPr>
        <w:t xml:space="preserve"> Próg Herbski (środkowo jurajski), a południowo-zachodnia do </w:t>
      </w:r>
      <w:proofErr w:type="spellStart"/>
      <w:r>
        <w:rPr>
          <w:lang w:eastAsia="pl-PL"/>
        </w:rPr>
        <w:t>mezoregionu</w:t>
      </w:r>
      <w:proofErr w:type="spellEnd"/>
      <w:r>
        <w:rPr>
          <w:lang w:eastAsia="pl-PL"/>
        </w:rPr>
        <w:t xml:space="preserve"> Próg Woźnicki. </w:t>
      </w:r>
    </w:p>
    <w:p w:rsidR="00632B49" w:rsidRDefault="00632B49" w:rsidP="00632B49">
      <w:r>
        <w:rPr>
          <w:lang w:eastAsia="pl-PL"/>
        </w:rPr>
        <w:t>Próg Herbski zbudowany jest z odpornych na wietrzenie piaskowców jury środkowej i stanowi pas łagodnych kopulastych pagórków o względnej różnicy wzniesień około 50 m. Obniżenie Liswarty-Prosny jest terenem o charakterze nizinnym i utworzone zostało w miękkich utworach dolnej i środkowej jury</w:t>
      </w:r>
      <w:r>
        <w:rPr>
          <w:rStyle w:val="Odwoanieprzypisudolnego"/>
          <w:lang w:eastAsia="pl-PL"/>
        </w:rPr>
        <w:footnoteReference w:id="4"/>
      </w:r>
      <w:r>
        <w:rPr>
          <w:lang w:eastAsia="pl-PL"/>
        </w:rPr>
        <w:t xml:space="preserve">. Rzeźba terenu powstała głównie w wyniku </w:t>
      </w:r>
      <w:r>
        <w:t>erozyjno-denudacyjnego przekształcania powierzchni zasypanej podczas zlodowacenia odrzańskiego i warciańskiego piaszczystymi osadami wodnolodowcowymi i rzecznymi. Rozległe, niskie i równinne działy przecięte są tu płaskodennymi dolinami rzecznymi i przemodelowane przez procesy eoliczne</w:t>
      </w:r>
      <w:r>
        <w:rPr>
          <w:rStyle w:val="Odwoanieprzypisudolnego"/>
        </w:rPr>
        <w:footnoteReference w:id="5"/>
      </w:r>
      <w:r>
        <w:t>.</w:t>
      </w:r>
      <w:r>
        <w:rPr>
          <w:lang w:eastAsia="pl-PL"/>
        </w:rPr>
        <w:t xml:space="preserve"> Główną rzeką gminy jest Liswarta, która jest największym dopływem Warty o długości 93 m. </w:t>
      </w:r>
      <w:r>
        <w:lastRenderedPageBreak/>
        <w:t xml:space="preserve">Przepływa ona na całej długości przez zachodnią część gminy, obierając kierunek południowego-wschodu na północny-zachód. W dolinie rzeki i jej dopływów występują liczne stawy. </w:t>
      </w:r>
      <w:r w:rsidRPr="00F40E0D">
        <w:t>Rzeźba terenu jest mało zróżnicowana, ma charakter lekko falisty. Występujące miejscami niewielkie wzniesienia osiągają wysokości względne do kilkunastu m</w:t>
      </w:r>
      <w:r>
        <w:t>etrów. Teren opada generalnie z </w:t>
      </w:r>
      <w:r w:rsidRPr="00F40E0D">
        <w:t xml:space="preserve">południowego wschodu na północny zachód. Deniwelacja w granicach gminy przekracza nieco </w:t>
      </w:r>
      <w:smartTag w:uri="urn:schemas-microsoft-com:office:smarttags" w:element="metricconverter">
        <w:smartTagPr>
          <w:attr w:name="ProductID" w:val="70 m"/>
        </w:smartTagPr>
        <w:r w:rsidRPr="00F40E0D">
          <w:t>70 m</w:t>
        </w:r>
      </w:smartTag>
      <w:r w:rsidRPr="00F40E0D">
        <w:t>. Najwyższy punkt – na zboczu bezimiennej góry na wsc</w:t>
      </w:r>
      <w:r>
        <w:t>hód od wsi Kalina, na granicy z </w:t>
      </w:r>
      <w:r w:rsidRPr="00F40E0D">
        <w:t xml:space="preserve">Gminą Konopiska – ma wysokość </w:t>
      </w:r>
      <w:smartTag w:uri="urn:schemas-microsoft-com:office:smarttags" w:element="metricconverter">
        <w:smartTagPr>
          <w:attr w:name="ProductID" w:val="316 m"/>
        </w:smartTagPr>
        <w:r w:rsidRPr="00F40E0D">
          <w:t>316 m</w:t>
        </w:r>
      </w:smartTag>
      <w:r w:rsidRPr="00F40E0D">
        <w:t xml:space="preserve"> n.p.m., najniższy – w dolinie Liswarty ( na wypływie rzeki na północny-zachód od wsi Łebki) – </w:t>
      </w:r>
      <w:smartTag w:uri="urn:schemas-microsoft-com:office:smarttags" w:element="metricconverter">
        <w:smartTagPr>
          <w:attr w:name="ProductID" w:val="242,8 m"/>
        </w:smartTagPr>
        <w:r w:rsidRPr="00F40E0D">
          <w:t xml:space="preserve">242,8 </w:t>
        </w:r>
        <w:proofErr w:type="spellStart"/>
        <w:r w:rsidRPr="00F40E0D">
          <w:t>m</w:t>
        </w:r>
      </w:smartTag>
      <w:r w:rsidRPr="00F40E0D">
        <w:t>n.p.m</w:t>
      </w:r>
      <w:proofErr w:type="spellEnd"/>
      <w:r>
        <w:rPr>
          <w:rStyle w:val="Odwoanieprzypisudolnego"/>
        </w:rPr>
        <w:footnoteReference w:id="6"/>
      </w:r>
      <w:r w:rsidRPr="00F40E0D">
        <w:t>.</w:t>
      </w:r>
    </w:p>
    <w:p w:rsidR="00103DD3" w:rsidRDefault="00103DD3" w:rsidP="00632B49">
      <w:pPr>
        <w:rPr>
          <w:lang w:eastAsia="pl-PL"/>
        </w:rPr>
      </w:pPr>
    </w:p>
    <w:p w:rsidR="004A4B6F" w:rsidRDefault="00103DD3" w:rsidP="00A10D06">
      <w:pPr>
        <w:pStyle w:val="Nagwek3"/>
        <w:numPr>
          <w:ilvl w:val="2"/>
          <w:numId w:val="1"/>
        </w:numPr>
      </w:pPr>
      <w:bookmarkStart w:id="19" w:name="_Toc438118360"/>
      <w:r>
        <w:t>Gleby</w:t>
      </w:r>
      <w:bookmarkEnd w:id="19"/>
    </w:p>
    <w:p w:rsidR="00103DD3" w:rsidRDefault="00103DD3" w:rsidP="00103DD3">
      <w:pPr>
        <w:rPr>
          <w:lang w:eastAsia="pl-PL"/>
        </w:rPr>
      </w:pPr>
    </w:p>
    <w:p w:rsidR="00103DD3" w:rsidRDefault="00103DD3" w:rsidP="00103DD3">
      <w:pPr>
        <w:rPr>
          <w:lang w:eastAsia="pl-PL"/>
        </w:rPr>
      </w:pPr>
      <w:r>
        <w:rPr>
          <w:lang w:eastAsia="pl-PL"/>
        </w:rPr>
        <w:t xml:space="preserve">Gleby na terenie gminy podzielić możemy na trzy rodzaje: leśne, rolne oraz zurbanizowane. W 2004 roku przeprowadzano badanie, które wykazało, że znaczna część gleb występujących na terenie gminy, to gleby kwaśne, które sprzyjają migracji metali ciężkich. W wyniku zakwaszania obniża się zawartość wapnia i magnezu w glebie wskutek intensywnego wymywania z jednoczesnym wzrostem stężenia jonów potencjalnie toksycznych dla korzeni roślin. Istnieje zatem potrzeba wapniowania gleb, aby wspomagać wzrost i rozwój większości uprawianych roślin. W przypadku zakwaszenia gleb oraz skażenia metalami ciężkimi, uzasadnione jest korzystanie ze wsparcia długofalowych programów umożliwiających dofinansowanie rolnictwa w celu  poprawy warunków gospodarowania. </w:t>
      </w:r>
    </w:p>
    <w:p w:rsidR="00103DD3" w:rsidRDefault="00103DD3" w:rsidP="00AA5699">
      <w:pPr>
        <w:pStyle w:val="Nagwek3"/>
        <w:rPr>
          <w:lang w:eastAsia="pl-PL"/>
        </w:rPr>
      </w:pPr>
    </w:p>
    <w:p w:rsidR="00103DD3" w:rsidRDefault="00103DD3" w:rsidP="00103DD3">
      <w:pPr>
        <w:keepNext/>
      </w:pPr>
      <w:r>
        <w:rPr>
          <w:noProof/>
          <w:lang w:eastAsia="pl-PL"/>
        </w:rPr>
        <w:drawing>
          <wp:inline distT="0" distB="0" distL="0" distR="0">
            <wp:extent cx="3456559" cy="2077593"/>
            <wp:effectExtent l="12192" t="6096" r="7874" b="2286"/>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3DD3" w:rsidRPr="00EF0785" w:rsidRDefault="00103DD3" w:rsidP="00103DD3">
      <w:pPr>
        <w:pStyle w:val="Legenda"/>
        <w:ind w:firstLine="0"/>
        <w:rPr>
          <w:color w:val="auto"/>
          <w:sz w:val="20"/>
          <w:szCs w:val="20"/>
        </w:rPr>
      </w:pPr>
      <w:bookmarkStart w:id="20" w:name="_Toc429726503"/>
      <w:r w:rsidRPr="00EF0785">
        <w:rPr>
          <w:color w:val="auto"/>
          <w:sz w:val="20"/>
          <w:szCs w:val="20"/>
        </w:rPr>
        <w:t xml:space="preserve">Wykres </w:t>
      </w:r>
      <w:r w:rsidR="00844CE4" w:rsidRPr="00EF0785">
        <w:rPr>
          <w:color w:val="auto"/>
          <w:sz w:val="20"/>
          <w:szCs w:val="20"/>
        </w:rPr>
        <w:fldChar w:fldCharType="begin"/>
      </w:r>
      <w:r w:rsidRPr="00EF0785">
        <w:rPr>
          <w:color w:val="auto"/>
          <w:sz w:val="20"/>
          <w:szCs w:val="20"/>
        </w:rPr>
        <w:instrText xml:space="preserve"> SEQ Wykres \* ARABIC </w:instrText>
      </w:r>
      <w:r w:rsidR="00844CE4" w:rsidRPr="00EF0785">
        <w:rPr>
          <w:color w:val="auto"/>
          <w:sz w:val="20"/>
          <w:szCs w:val="20"/>
        </w:rPr>
        <w:fldChar w:fldCharType="separate"/>
      </w:r>
      <w:r w:rsidR="005C42FD">
        <w:rPr>
          <w:noProof/>
          <w:color w:val="auto"/>
          <w:sz w:val="20"/>
          <w:szCs w:val="20"/>
        </w:rPr>
        <w:t>1</w:t>
      </w:r>
      <w:r w:rsidR="00844CE4" w:rsidRPr="00EF0785">
        <w:rPr>
          <w:color w:val="auto"/>
          <w:sz w:val="20"/>
          <w:szCs w:val="20"/>
        </w:rPr>
        <w:fldChar w:fldCharType="end"/>
      </w:r>
      <w:r w:rsidRPr="00EF0785">
        <w:rPr>
          <w:color w:val="auto"/>
          <w:sz w:val="20"/>
          <w:szCs w:val="20"/>
        </w:rPr>
        <w:t xml:space="preserve"> Wskaźnik bonitacji negatywnej [w %]w powiecie lublinieckim</w:t>
      </w:r>
      <w:r w:rsidRPr="00EF0785">
        <w:rPr>
          <w:rStyle w:val="Odwoanieprzypisudolnego"/>
          <w:color w:val="auto"/>
          <w:sz w:val="20"/>
          <w:szCs w:val="20"/>
        </w:rPr>
        <w:footnoteReference w:id="7"/>
      </w:r>
      <w:bookmarkEnd w:id="20"/>
    </w:p>
    <w:p w:rsidR="00103DD3" w:rsidRDefault="00103DD3" w:rsidP="00103DD3">
      <w:pPr>
        <w:rPr>
          <w:i/>
          <w:sz w:val="20"/>
          <w:szCs w:val="20"/>
        </w:rPr>
      </w:pPr>
      <w:r w:rsidRPr="004E74AC">
        <w:rPr>
          <w:i/>
          <w:sz w:val="20"/>
          <w:szCs w:val="20"/>
        </w:rPr>
        <w:t>Źródło: Opracowanie własne na podstawie danych Okręgowej Stacji Chemiczno-Rolniczej w Gliwicach</w:t>
      </w:r>
    </w:p>
    <w:p w:rsidR="00AA5699" w:rsidRPr="004E74AC" w:rsidRDefault="00AA5699" w:rsidP="00103DD3">
      <w:pPr>
        <w:rPr>
          <w:i/>
          <w:sz w:val="20"/>
          <w:szCs w:val="20"/>
        </w:rPr>
      </w:pPr>
    </w:p>
    <w:p w:rsidR="00103DD3" w:rsidRDefault="00AA5699" w:rsidP="00A10D06">
      <w:pPr>
        <w:pStyle w:val="Nagwek3"/>
        <w:numPr>
          <w:ilvl w:val="2"/>
          <w:numId w:val="1"/>
        </w:numPr>
      </w:pPr>
      <w:bookmarkStart w:id="21" w:name="_Toc438118361"/>
      <w:r>
        <w:t>Sieć wodna</w:t>
      </w:r>
      <w:bookmarkEnd w:id="21"/>
    </w:p>
    <w:p w:rsidR="00AA5699" w:rsidRDefault="00AA5699" w:rsidP="00AA5699"/>
    <w:p w:rsidR="00AA5699" w:rsidRPr="00AA5699" w:rsidRDefault="00AA5699" w:rsidP="00AA5699">
      <w:r w:rsidRPr="00AA5699">
        <w:t>Wody powierzchniowe na terenie gminy Herby, to rzeka Liswarta i jej dopływy Olszynka i Turza, oraz stawy w Hadrze, Lisowie i Olszynie. Ze względu na położenie rzeki Liswarta na terenie Parku Krajobrazowego, czystość wód powinna posiadać I klasę. Niestety z badań prowadzonych przez Wojewódzki Inspektorat Ochrony Środowiska jakość wód odbiega od projektowanej klasy czystości. Wpływ na stan czystości, bezpośrednio lub pośrednio, mają ścieki oraz spływy zanieczyszczeń z pól uprawnych. Pomiary stopnia czystości wód wykonywane były w punkcie pomiarowym w Bo</w:t>
      </w:r>
      <w:r w:rsidR="00C34247">
        <w:t>ro</w:t>
      </w:r>
      <w:r w:rsidRPr="00AA5699">
        <w:t>nowie. Stężenia zanieczyszczeń wód w gminie Herby przedstawiono w tabeli 2.</w:t>
      </w:r>
    </w:p>
    <w:p w:rsidR="006C120E" w:rsidRPr="00EF0785" w:rsidRDefault="006C120E" w:rsidP="006C120E">
      <w:pPr>
        <w:pStyle w:val="Legenda"/>
        <w:keepNext/>
        <w:ind w:firstLine="0"/>
        <w:rPr>
          <w:color w:val="auto"/>
        </w:rPr>
      </w:pPr>
      <w:bookmarkStart w:id="22" w:name="_Toc436586224"/>
      <w:r w:rsidRPr="00EF0785">
        <w:rPr>
          <w:color w:val="auto"/>
        </w:rPr>
        <w:t xml:space="preserve">Tabela </w:t>
      </w:r>
      <w:r w:rsidR="00844CE4" w:rsidRPr="00EF0785">
        <w:rPr>
          <w:color w:val="auto"/>
        </w:rPr>
        <w:fldChar w:fldCharType="begin"/>
      </w:r>
      <w:r w:rsidR="006E6F7F" w:rsidRPr="00EF0785">
        <w:rPr>
          <w:color w:val="auto"/>
        </w:rPr>
        <w:instrText xml:space="preserve"> SEQ Tabela \* ARABIC </w:instrText>
      </w:r>
      <w:r w:rsidR="00844CE4" w:rsidRPr="00EF0785">
        <w:rPr>
          <w:color w:val="auto"/>
        </w:rPr>
        <w:fldChar w:fldCharType="separate"/>
      </w:r>
      <w:r w:rsidR="005C42FD">
        <w:rPr>
          <w:noProof/>
          <w:color w:val="auto"/>
        </w:rPr>
        <w:t>2</w:t>
      </w:r>
      <w:r w:rsidR="00844CE4" w:rsidRPr="00EF0785">
        <w:rPr>
          <w:noProof/>
          <w:color w:val="auto"/>
        </w:rPr>
        <w:fldChar w:fldCharType="end"/>
      </w:r>
      <w:r w:rsidR="002E6091">
        <w:rPr>
          <w:noProof/>
          <w:color w:val="auto"/>
        </w:rPr>
        <w:t xml:space="preserve"> </w:t>
      </w:r>
      <w:r w:rsidRPr="00EF0785">
        <w:rPr>
          <w:bCs w:val="0"/>
          <w:color w:val="auto"/>
          <w:sz w:val="20"/>
          <w:szCs w:val="20"/>
        </w:rPr>
        <w:t>Stężenia zanieczyszcze</w:t>
      </w:r>
      <w:r w:rsidR="00C34247">
        <w:rPr>
          <w:bCs w:val="0"/>
          <w:color w:val="auto"/>
          <w:sz w:val="20"/>
          <w:szCs w:val="20"/>
        </w:rPr>
        <w:t>ń wody w punkcie pomiarowym w B</w:t>
      </w:r>
      <w:r w:rsidRPr="00EF0785">
        <w:rPr>
          <w:bCs w:val="0"/>
          <w:color w:val="auto"/>
          <w:sz w:val="20"/>
          <w:szCs w:val="20"/>
        </w:rPr>
        <w:t>o</w:t>
      </w:r>
      <w:r w:rsidR="00C34247">
        <w:rPr>
          <w:bCs w:val="0"/>
          <w:color w:val="auto"/>
          <w:sz w:val="20"/>
          <w:szCs w:val="20"/>
        </w:rPr>
        <w:t>ro</w:t>
      </w:r>
      <w:r w:rsidRPr="00EF0785">
        <w:rPr>
          <w:bCs w:val="0"/>
          <w:color w:val="auto"/>
          <w:sz w:val="20"/>
          <w:szCs w:val="20"/>
        </w:rPr>
        <w:t>nowie</w:t>
      </w:r>
      <w:bookmarkEnd w:id="22"/>
    </w:p>
    <w:tbl>
      <w:tblPr>
        <w:tblW w:w="4866" w:type="pct"/>
        <w:tblBorders>
          <w:top w:val="single" w:sz="8" w:space="0" w:color="4F81BD"/>
          <w:left w:val="single" w:sz="8" w:space="0" w:color="4F81BD"/>
          <w:bottom w:val="single" w:sz="8" w:space="0" w:color="4F81BD"/>
          <w:right w:val="single" w:sz="8" w:space="0" w:color="4F81BD"/>
        </w:tblBorders>
        <w:tblLayout w:type="fixed"/>
        <w:tblLook w:val="04A0"/>
      </w:tblPr>
      <w:tblGrid>
        <w:gridCol w:w="1805"/>
        <w:gridCol w:w="2412"/>
        <w:gridCol w:w="233"/>
        <w:gridCol w:w="2178"/>
        <w:gridCol w:w="466"/>
        <w:gridCol w:w="1945"/>
      </w:tblGrid>
      <w:tr w:rsidR="00AA5699" w:rsidRPr="00AE1D3B" w:rsidTr="006C120E">
        <w:tc>
          <w:tcPr>
            <w:tcW w:w="998" w:type="pct"/>
            <w:shd w:val="clear" w:color="auto" w:fill="FFFFFF"/>
            <w:noWrap/>
          </w:tcPr>
          <w:p w:rsidR="00AA5699" w:rsidRPr="00AE1D3B" w:rsidRDefault="00AA5699" w:rsidP="00AA5699">
            <w:pPr>
              <w:rPr>
                <w:sz w:val="20"/>
                <w:szCs w:val="20"/>
              </w:rPr>
            </w:pPr>
            <w:r w:rsidRPr="00AE1D3B">
              <w:rPr>
                <w:sz w:val="20"/>
                <w:szCs w:val="20"/>
              </w:rPr>
              <w:t>Wskaźnik zanieczyszczeń</w:t>
            </w:r>
          </w:p>
        </w:tc>
        <w:tc>
          <w:tcPr>
            <w:tcW w:w="1334" w:type="pct"/>
            <w:shd w:val="clear" w:color="auto" w:fill="FFFFFF"/>
          </w:tcPr>
          <w:p w:rsidR="00AA5699" w:rsidRPr="00AE1D3B" w:rsidRDefault="00AA5699" w:rsidP="00AA5699">
            <w:pPr>
              <w:rPr>
                <w:sz w:val="20"/>
                <w:szCs w:val="20"/>
              </w:rPr>
            </w:pPr>
            <w:r w:rsidRPr="00AE1D3B">
              <w:rPr>
                <w:sz w:val="20"/>
                <w:szCs w:val="20"/>
              </w:rPr>
              <w:t>Stężenie zanieczyszczeń</w:t>
            </w:r>
          </w:p>
        </w:tc>
        <w:tc>
          <w:tcPr>
            <w:tcW w:w="1334" w:type="pct"/>
            <w:gridSpan w:val="2"/>
            <w:shd w:val="clear" w:color="auto" w:fill="FFFFFF"/>
          </w:tcPr>
          <w:p w:rsidR="00AA5699" w:rsidRPr="00AE1D3B" w:rsidRDefault="00AA5699" w:rsidP="00AE1D3B">
            <w:pPr>
              <w:jc w:val="left"/>
              <w:rPr>
                <w:sz w:val="20"/>
                <w:szCs w:val="20"/>
              </w:rPr>
            </w:pPr>
            <w:r w:rsidRPr="00AE1D3B">
              <w:rPr>
                <w:sz w:val="20"/>
                <w:szCs w:val="20"/>
              </w:rPr>
              <w:t>Dopuszczalne stężenie zanieczyszczeń</w:t>
            </w:r>
          </w:p>
        </w:tc>
        <w:tc>
          <w:tcPr>
            <w:tcW w:w="1334" w:type="pct"/>
            <w:gridSpan w:val="2"/>
            <w:shd w:val="clear" w:color="auto" w:fill="FFFFFF"/>
          </w:tcPr>
          <w:p w:rsidR="00AA5699" w:rsidRPr="00AE1D3B" w:rsidRDefault="00AA5699" w:rsidP="00AE1D3B">
            <w:pPr>
              <w:jc w:val="left"/>
              <w:rPr>
                <w:sz w:val="20"/>
                <w:szCs w:val="20"/>
              </w:rPr>
            </w:pPr>
            <w:r w:rsidRPr="00AE1D3B">
              <w:rPr>
                <w:sz w:val="20"/>
                <w:szCs w:val="20"/>
              </w:rPr>
              <w:t>Stwierdzona klasa czystości</w:t>
            </w:r>
          </w:p>
        </w:tc>
      </w:tr>
      <w:tr w:rsidR="00AA5699" w:rsidRPr="00AE1D3B" w:rsidTr="006C120E">
        <w:trPr>
          <w:trHeight w:val="655"/>
        </w:trPr>
        <w:tc>
          <w:tcPr>
            <w:tcW w:w="998" w:type="pct"/>
            <w:shd w:val="clear" w:color="auto" w:fill="FFFFFF"/>
            <w:noWrap/>
            <w:vAlign w:val="center"/>
          </w:tcPr>
          <w:p w:rsidR="00AA5699" w:rsidRPr="00AE1D3B" w:rsidRDefault="00AA5699" w:rsidP="001020C1">
            <w:pPr>
              <w:spacing w:line="240" w:lineRule="auto"/>
              <w:jc w:val="left"/>
              <w:rPr>
                <w:sz w:val="20"/>
                <w:szCs w:val="20"/>
              </w:rPr>
            </w:pPr>
            <w:proofErr w:type="spellStart"/>
            <w:r w:rsidRPr="00AE1D3B">
              <w:rPr>
                <w:sz w:val="20"/>
                <w:szCs w:val="20"/>
              </w:rPr>
              <w:t>pH</w:t>
            </w:r>
            <w:proofErr w:type="spellEnd"/>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7,0-7,5</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6,5-8,5</w:t>
            </w:r>
          </w:p>
        </w:tc>
        <w:tc>
          <w:tcPr>
            <w:tcW w:w="1076" w:type="pct"/>
            <w:shd w:val="clear" w:color="auto" w:fill="D3DFEE"/>
            <w:vAlign w:val="center"/>
          </w:tcPr>
          <w:p w:rsidR="00AA5699" w:rsidRPr="00AE1D3B" w:rsidRDefault="00AA5699" w:rsidP="00AA5699">
            <w:pPr>
              <w:rPr>
                <w:sz w:val="20"/>
                <w:szCs w:val="20"/>
              </w:rPr>
            </w:pPr>
          </w:p>
        </w:tc>
      </w:tr>
      <w:tr w:rsidR="00AA5699" w:rsidRPr="00AE1D3B" w:rsidTr="006C120E">
        <w:trPr>
          <w:trHeight w:val="704"/>
        </w:trPr>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Tlen rozpuszczony</w:t>
            </w:r>
          </w:p>
          <w:p w:rsidR="00AA5699" w:rsidRPr="00AE1D3B" w:rsidRDefault="00AA5699" w:rsidP="001020C1">
            <w:pPr>
              <w:spacing w:line="240" w:lineRule="auto"/>
              <w:jc w:val="left"/>
              <w:rPr>
                <w:sz w:val="20"/>
                <w:szCs w:val="20"/>
              </w:rPr>
            </w:pPr>
            <w:r w:rsidRPr="00AE1D3B">
              <w:rPr>
                <w:sz w:val="20"/>
                <w:szCs w:val="20"/>
              </w:rPr>
              <w:lastRenderedPageBreak/>
              <w:t>mgO2/</w:t>
            </w:r>
            <w:proofErr w:type="spellStart"/>
            <w:r w:rsidRPr="00AE1D3B">
              <w:rPr>
                <w:sz w:val="20"/>
                <w:szCs w:val="20"/>
              </w:rPr>
              <w:t>dm³</w:t>
            </w:r>
            <w:proofErr w:type="spellEnd"/>
          </w:p>
        </w:tc>
        <w:tc>
          <w:tcPr>
            <w:tcW w:w="1463" w:type="pct"/>
            <w:gridSpan w:val="2"/>
            <w:vAlign w:val="center"/>
          </w:tcPr>
          <w:p w:rsidR="00AA5699" w:rsidRPr="00AE1D3B" w:rsidRDefault="00AA5699" w:rsidP="00AA5699">
            <w:pPr>
              <w:rPr>
                <w:sz w:val="20"/>
                <w:szCs w:val="20"/>
              </w:rPr>
            </w:pPr>
            <w:r w:rsidRPr="00AE1D3B">
              <w:rPr>
                <w:sz w:val="20"/>
                <w:szCs w:val="20"/>
              </w:rPr>
              <w:lastRenderedPageBreak/>
              <w:t>6,5</w:t>
            </w:r>
          </w:p>
        </w:tc>
        <w:tc>
          <w:tcPr>
            <w:tcW w:w="1463" w:type="pct"/>
            <w:gridSpan w:val="2"/>
            <w:vAlign w:val="center"/>
          </w:tcPr>
          <w:p w:rsidR="00AA5699" w:rsidRPr="00AE1D3B" w:rsidRDefault="00AA5699" w:rsidP="00AA5699">
            <w:pPr>
              <w:rPr>
                <w:sz w:val="20"/>
                <w:szCs w:val="20"/>
              </w:rPr>
            </w:pPr>
            <w:r w:rsidRPr="00AE1D3B">
              <w:rPr>
                <w:sz w:val="20"/>
                <w:szCs w:val="20"/>
              </w:rPr>
              <w:t>&gt;6</w:t>
            </w:r>
          </w:p>
        </w:tc>
        <w:tc>
          <w:tcPr>
            <w:tcW w:w="1076" w:type="pct"/>
            <w:vAlign w:val="center"/>
          </w:tcPr>
          <w:p w:rsidR="00AA5699" w:rsidRPr="00AE1D3B" w:rsidRDefault="00AA5699" w:rsidP="00AA5699">
            <w:pPr>
              <w:rPr>
                <w:sz w:val="20"/>
                <w:szCs w:val="20"/>
              </w:rPr>
            </w:pPr>
            <w:r w:rsidRPr="00AE1D3B">
              <w:rPr>
                <w:sz w:val="20"/>
                <w:szCs w:val="20"/>
              </w:rPr>
              <w:t>I</w:t>
            </w:r>
          </w:p>
        </w:tc>
      </w:tr>
      <w:tr w:rsidR="00AA5699" w:rsidRPr="00AE1D3B" w:rsidTr="006C120E">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lastRenderedPageBreak/>
              <w:t>BZT mgO2/</w:t>
            </w:r>
            <w:proofErr w:type="spellStart"/>
            <w:r w:rsidRPr="00AE1D3B">
              <w:rPr>
                <w:sz w:val="20"/>
                <w:szCs w:val="20"/>
              </w:rPr>
              <w:t>dm³</w:t>
            </w:r>
            <w:proofErr w:type="spellEnd"/>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5,3</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&lt;4,0</w:t>
            </w:r>
          </w:p>
        </w:tc>
        <w:tc>
          <w:tcPr>
            <w:tcW w:w="1076" w:type="pct"/>
            <w:shd w:val="clear" w:color="auto" w:fill="D3DFEE"/>
            <w:vAlign w:val="center"/>
          </w:tcPr>
          <w:p w:rsidR="00AA5699" w:rsidRPr="00AE1D3B" w:rsidRDefault="00AA5699" w:rsidP="00AA5699">
            <w:pPr>
              <w:rPr>
                <w:sz w:val="20"/>
                <w:szCs w:val="20"/>
              </w:rPr>
            </w:pPr>
            <w:r w:rsidRPr="00AE1D3B">
              <w:rPr>
                <w:sz w:val="20"/>
                <w:szCs w:val="20"/>
              </w:rPr>
              <w:t>II</w:t>
            </w:r>
          </w:p>
        </w:tc>
      </w:tr>
      <w:tr w:rsidR="00AA5699" w:rsidRPr="00AE1D3B" w:rsidTr="006C120E">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 xml:space="preserve">Azot amonowy </w:t>
            </w:r>
            <w:proofErr w:type="spellStart"/>
            <w:r w:rsidRPr="00AE1D3B">
              <w:rPr>
                <w:sz w:val="20"/>
                <w:szCs w:val="20"/>
              </w:rPr>
              <w:t>mgN</w:t>
            </w:r>
            <w:proofErr w:type="spellEnd"/>
            <w:r w:rsidRPr="00AE1D3B">
              <w:rPr>
                <w:sz w:val="20"/>
                <w:szCs w:val="20"/>
              </w:rPr>
              <w:t>/</w:t>
            </w:r>
            <w:proofErr w:type="spellStart"/>
            <w:r w:rsidRPr="00AE1D3B">
              <w:rPr>
                <w:sz w:val="20"/>
                <w:szCs w:val="20"/>
              </w:rPr>
              <w:t>dm³</w:t>
            </w:r>
            <w:proofErr w:type="spellEnd"/>
          </w:p>
        </w:tc>
        <w:tc>
          <w:tcPr>
            <w:tcW w:w="1463" w:type="pct"/>
            <w:gridSpan w:val="2"/>
            <w:vAlign w:val="center"/>
          </w:tcPr>
          <w:p w:rsidR="00AA5699" w:rsidRPr="00AE1D3B" w:rsidRDefault="00AA5699" w:rsidP="00AA5699">
            <w:pPr>
              <w:rPr>
                <w:sz w:val="20"/>
                <w:szCs w:val="20"/>
              </w:rPr>
            </w:pPr>
            <w:r w:rsidRPr="00AE1D3B">
              <w:rPr>
                <w:sz w:val="20"/>
                <w:szCs w:val="20"/>
              </w:rPr>
              <w:t>1,1</w:t>
            </w:r>
          </w:p>
        </w:tc>
        <w:tc>
          <w:tcPr>
            <w:tcW w:w="1463" w:type="pct"/>
            <w:gridSpan w:val="2"/>
            <w:vAlign w:val="center"/>
          </w:tcPr>
          <w:p w:rsidR="00AA5699" w:rsidRPr="00AE1D3B" w:rsidRDefault="00AA5699" w:rsidP="00AA5699">
            <w:pPr>
              <w:rPr>
                <w:sz w:val="20"/>
                <w:szCs w:val="20"/>
              </w:rPr>
            </w:pPr>
            <w:r w:rsidRPr="00AE1D3B">
              <w:rPr>
                <w:sz w:val="20"/>
                <w:szCs w:val="20"/>
              </w:rPr>
              <w:t>&lt;1,0</w:t>
            </w:r>
          </w:p>
        </w:tc>
        <w:tc>
          <w:tcPr>
            <w:tcW w:w="1076" w:type="pct"/>
            <w:vAlign w:val="center"/>
          </w:tcPr>
          <w:p w:rsidR="00AA5699" w:rsidRPr="00AE1D3B" w:rsidRDefault="00AA5699" w:rsidP="00AA5699">
            <w:pPr>
              <w:rPr>
                <w:sz w:val="20"/>
                <w:szCs w:val="20"/>
              </w:rPr>
            </w:pPr>
            <w:r w:rsidRPr="00AE1D3B">
              <w:rPr>
                <w:sz w:val="20"/>
                <w:szCs w:val="20"/>
              </w:rPr>
              <w:t>II</w:t>
            </w:r>
          </w:p>
        </w:tc>
      </w:tr>
      <w:tr w:rsidR="00AA5699" w:rsidRPr="00AE1D3B" w:rsidTr="006C120E">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Azot azotynowy</w:t>
            </w:r>
          </w:p>
          <w:p w:rsidR="00AA5699" w:rsidRPr="00AE1D3B" w:rsidRDefault="00AA5699" w:rsidP="001020C1">
            <w:pPr>
              <w:spacing w:line="240" w:lineRule="auto"/>
              <w:jc w:val="left"/>
              <w:rPr>
                <w:sz w:val="20"/>
                <w:szCs w:val="20"/>
              </w:rPr>
            </w:pPr>
            <w:proofErr w:type="spellStart"/>
            <w:r w:rsidRPr="00AE1D3B">
              <w:rPr>
                <w:sz w:val="20"/>
                <w:szCs w:val="20"/>
              </w:rPr>
              <w:t>mgN</w:t>
            </w:r>
            <w:proofErr w:type="spellEnd"/>
            <w:r w:rsidRPr="00AE1D3B">
              <w:rPr>
                <w:sz w:val="20"/>
                <w:szCs w:val="20"/>
              </w:rPr>
              <w:t>/</w:t>
            </w:r>
            <w:proofErr w:type="spellStart"/>
            <w:r w:rsidRPr="00AE1D3B">
              <w:rPr>
                <w:sz w:val="20"/>
                <w:szCs w:val="20"/>
              </w:rPr>
              <w:t>dm³</w:t>
            </w:r>
            <w:proofErr w:type="spellEnd"/>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0,8</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&lt;0,02</w:t>
            </w:r>
          </w:p>
        </w:tc>
        <w:tc>
          <w:tcPr>
            <w:tcW w:w="1076" w:type="pct"/>
            <w:shd w:val="clear" w:color="auto" w:fill="D3DFEE"/>
            <w:vAlign w:val="center"/>
          </w:tcPr>
          <w:p w:rsidR="00AA5699" w:rsidRPr="00AE1D3B" w:rsidRDefault="00AA5699" w:rsidP="00AA5699">
            <w:pPr>
              <w:rPr>
                <w:sz w:val="20"/>
                <w:szCs w:val="20"/>
              </w:rPr>
            </w:pPr>
            <w:r w:rsidRPr="00AE1D3B">
              <w:rPr>
                <w:sz w:val="20"/>
                <w:szCs w:val="20"/>
              </w:rPr>
              <w:t>N</w:t>
            </w:r>
          </w:p>
        </w:tc>
      </w:tr>
      <w:tr w:rsidR="00AA5699" w:rsidRPr="00AE1D3B" w:rsidTr="006C120E">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 xml:space="preserve">Azot ogólny </w:t>
            </w:r>
            <w:proofErr w:type="spellStart"/>
            <w:r w:rsidRPr="00AE1D3B">
              <w:rPr>
                <w:sz w:val="20"/>
                <w:szCs w:val="20"/>
              </w:rPr>
              <w:t>mgN</w:t>
            </w:r>
            <w:proofErr w:type="spellEnd"/>
            <w:r w:rsidRPr="00AE1D3B">
              <w:rPr>
                <w:sz w:val="20"/>
                <w:szCs w:val="20"/>
              </w:rPr>
              <w:t>/</w:t>
            </w:r>
            <w:proofErr w:type="spellStart"/>
            <w:r w:rsidRPr="00AE1D3B">
              <w:rPr>
                <w:sz w:val="20"/>
                <w:szCs w:val="20"/>
              </w:rPr>
              <w:t>dm³</w:t>
            </w:r>
            <w:proofErr w:type="spellEnd"/>
          </w:p>
        </w:tc>
        <w:tc>
          <w:tcPr>
            <w:tcW w:w="1463" w:type="pct"/>
            <w:gridSpan w:val="2"/>
            <w:shd w:val="clear" w:color="auto" w:fill="auto"/>
            <w:vAlign w:val="center"/>
          </w:tcPr>
          <w:p w:rsidR="00AA5699" w:rsidRPr="00AE1D3B" w:rsidRDefault="00AA5699" w:rsidP="00AA5699">
            <w:pPr>
              <w:rPr>
                <w:sz w:val="20"/>
                <w:szCs w:val="20"/>
              </w:rPr>
            </w:pPr>
            <w:r w:rsidRPr="00AE1D3B">
              <w:rPr>
                <w:sz w:val="20"/>
                <w:szCs w:val="20"/>
              </w:rPr>
              <w:t>12</w:t>
            </w:r>
          </w:p>
        </w:tc>
        <w:tc>
          <w:tcPr>
            <w:tcW w:w="1463" w:type="pct"/>
            <w:gridSpan w:val="2"/>
            <w:shd w:val="clear" w:color="auto" w:fill="auto"/>
            <w:vAlign w:val="center"/>
          </w:tcPr>
          <w:p w:rsidR="00AA5699" w:rsidRPr="00AE1D3B" w:rsidRDefault="00AA5699" w:rsidP="00AA5699">
            <w:pPr>
              <w:rPr>
                <w:sz w:val="20"/>
                <w:szCs w:val="20"/>
              </w:rPr>
            </w:pPr>
            <w:r w:rsidRPr="00AE1D3B">
              <w:rPr>
                <w:sz w:val="20"/>
                <w:szCs w:val="20"/>
              </w:rPr>
              <w:t>&lt;5,0</w:t>
            </w:r>
          </w:p>
        </w:tc>
        <w:tc>
          <w:tcPr>
            <w:tcW w:w="1076" w:type="pct"/>
            <w:shd w:val="clear" w:color="auto" w:fill="auto"/>
            <w:vAlign w:val="center"/>
          </w:tcPr>
          <w:p w:rsidR="00AA5699" w:rsidRPr="00AE1D3B" w:rsidRDefault="00AA5699" w:rsidP="00AA5699">
            <w:pPr>
              <w:rPr>
                <w:sz w:val="20"/>
                <w:szCs w:val="20"/>
              </w:rPr>
            </w:pPr>
            <w:r w:rsidRPr="00AE1D3B">
              <w:rPr>
                <w:sz w:val="20"/>
                <w:szCs w:val="20"/>
              </w:rPr>
              <w:t>III</w:t>
            </w:r>
          </w:p>
        </w:tc>
      </w:tr>
      <w:tr w:rsidR="00AA5699" w:rsidRPr="00AE1D3B" w:rsidTr="006C120E">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Fosforany mgPO4/</w:t>
            </w:r>
            <w:proofErr w:type="spellStart"/>
            <w:r w:rsidRPr="00AE1D3B">
              <w:rPr>
                <w:sz w:val="20"/>
                <w:szCs w:val="20"/>
              </w:rPr>
              <w:t>dm³</w:t>
            </w:r>
            <w:proofErr w:type="spellEnd"/>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0,7</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&lt;0,2</w:t>
            </w:r>
          </w:p>
        </w:tc>
        <w:tc>
          <w:tcPr>
            <w:tcW w:w="1076" w:type="pct"/>
            <w:shd w:val="clear" w:color="auto" w:fill="D3DFEE"/>
            <w:vAlign w:val="center"/>
          </w:tcPr>
          <w:p w:rsidR="00AA5699" w:rsidRPr="00AE1D3B" w:rsidRDefault="00AA5699" w:rsidP="00AA5699">
            <w:pPr>
              <w:rPr>
                <w:sz w:val="20"/>
                <w:szCs w:val="20"/>
              </w:rPr>
            </w:pPr>
            <w:r w:rsidRPr="00AE1D3B">
              <w:rPr>
                <w:sz w:val="20"/>
                <w:szCs w:val="20"/>
              </w:rPr>
              <w:t>III</w:t>
            </w:r>
          </w:p>
        </w:tc>
      </w:tr>
      <w:tr w:rsidR="00AA5699" w:rsidRPr="00AE1D3B" w:rsidTr="006C120E">
        <w:tc>
          <w:tcPr>
            <w:tcW w:w="998" w:type="pct"/>
            <w:shd w:val="clear" w:color="auto" w:fill="auto"/>
            <w:noWrap/>
            <w:vAlign w:val="center"/>
          </w:tcPr>
          <w:p w:rsidR="00AA5699" w:rsidRPr="00AE1D3B" w:rsidRDefault="00AA5699" w:rsidP="001020C1">
            <w:pPr>
              <w:spacing w:line="240" w:lineRule="auto"/>
              <w:jc w:val="left"/>
              <w:rPr>
                <w:sz w:val="20"/>
                <w:szCs w:val="20"/>
              </w:rPr>
            </w:pPr>
            <w:r w:rsidRPr="00AE1D3B">
              <w:rPr>
                <w:sz w:val="20"/>
                <w:szCs w:val="20"/>
              </w:rPr>
              <w:t xml:space="preserve">Fosfor ogólny </w:t>
            </w:r>
            <w:proofErr w:type="spellStart"/>
            <w:r w:rsidRPr="00AE1D3B">
              <w:rPr>
                <w:sz w:val="20"/>
                <w:szCs w:val="20"/>
              </w:rPr>
              <w:t>mgP</w:t>
            </w:r>
            <w:proofErr w:type="spellEnd"/>
            <w:r w:rsidRPr="00AE1D3B">
              <w:rPr>
                <w:sz w:val="20"/>
                <w:szCs w:val="20"/>
              </w:rPr>
              <w:t>/</w:t>
            </w:r>
            <w:proofErr w:type="spellStart"/>
            <w:r w:rsidRPr="00AE1D3B">
              <w:rPr>
                <w:sz w:val="20"/>
                <w:szCs w:val="20"/>
              </w:rPr>
              <w:t>dm³</w:t>
            </w:r>
            <w:proofErr w:type="spellEnd"/>
          </w:p>
        </w:tc>
        <w:tc>
          <w:tcPr>
            <w:tcW w:w="1463" w:type="pct"/>
            <w:gridSpan w:val="2"/>
            <w:shd w:val="clear" w:color="auto" w:fill="auto"/>
            <w:vAlign w:val="center"/>
          </w:tcPr>
          <w:p w:rsidR="00AA5699" w:rsidRPr="00AE1D3B" w:rsidRDefault="00AA5699" w:rsidP="00AA5699">
            <w:pPr>
              <w:rPr>
                <w:sz w:val="20"/>
                <w:szCs w:val="20"/>
              </w:rPr>
            </w:pPr>
            <w:r w:rsidRPr="00AE1D3B">
              <w:rPr>
                <w:sz w:val="20"/>
                <w:szCs w:val="20"/>
              </w:rPr>
              <w:t>0,3</w:t>
            </w:r>
          </w:p>
        </w:tc>
        <w:tc>
          <w:tcPr>
            <w:tcW w:w="1463" w:type="pct"/>
            <w:gridSpan w:val="2"/>
            <w:shd w:val="clear" w:color="auto" w:fill="auto"/>
            <w:vAlign w:val="center"/>
          </w:tcPr>
          <w:p w:rsidR="00AA5699" w:rsidRPr="00AE1D3B" w:rsidRDefault="00AA5699" w:rsidP="00AA5699">
            <w:pPr>
              <w:rPr>
                <w:sz w:val="20"/>
                <w:szCs w:val="20"/>
              </w:rPr>
            </w:pPr>
            <w:r w:rsidRPr="00AE1D3B">
              <w:rPr>
                <w:sz w:val="20"/>
                <w:szCs w:val="20"/>
              </w:rPr>
              <w:t>&lt;0,3</w:t>
            </w:r>
          </w:p>
        </w:tc>
        <w:tc>
          <w:tcPr>
            <w:tcW w:w="1076" w:type="pct"/>
            <w:shd w:val="clear" w:color="auto" w:fill="auto"/>
            <w:vAlign w:val="center"/>
          </w:tcPr>
          <w:p w:rsidR="00AA5699" w:rsidRPr="00AE1D3B" w:rsidRDefault="00AA5699" w:rsidP="00AA5699">
            <w:pPr>
              <w:rPr>
                <w:sz w:val="20"/>
                <w:szCs w:val="20"/>
              </w:rPr>
            </w:pPr>
            <w:r w:rsidRPr="00AE1D3B">
              <w:rPr>
                <w:sz w:val="20"/>
                <w:szCs w:val="20"/>
              </w:rPr>
              <w:t>III</w:t>
            </w:r>
          </w:p>
        </w:tc>
      </w:tr>
      <w:tr w:rsidR="00AA5699" w:rsidRPr="00AE1D3B" w:rsidTr="006C120E">
        <w:trPr>
          <w:trHeight w:val="422"/>
        </w:trPr>
        <w:tc>
          <w:tcPr>
            <w:tcW w:w="998" w:type="pct"/>
            <w:shd w:val="clear" w:color="auto" w:fill="FFFFFF"/>
            <w:noWrap/>
            <w:vAlign w:val="center"/>
          </w:tcPr>
          <w:p w:rsidR="00AA5699" w:rsidRPr="00AE1D3B" w:rsidRDefault="00AA5699" w:rsidP="001020C1">
            <w:pPr>
              <w:spacing w:line="240" w:lineRule="auto"/>
              <w:jc w:val="left"/>
              <w:rPr>
                <w:sz w:val="20"/>
                <w:szCs w:val="20"/>
              </w:rPr>
            </w:pPr>
            <w:r w:rsidRPr="00AE1D3B">
              <w:rPr>
                <w:sz w:val="20"/>
                <w:szCs w:val="20"/>
              </w:rPr>
              <w:t>miano Coli ml/</w:t>
            </w:r>
            <w:proofErr w:type="spellStart"/>
            <w:r w:rsidRPr="00AE1D3B">
              <w:rPr>
                <w:sz w:val="20"/>
                <w:szCs w:val="20"/>
              </w:rPr>
              <w:t>bakt</w:t>
            </w:r>
            <w:proofErr w:type="spellEnd"/>
            <w:r w:rsidRPr="00AE1D3B">
              <w:rPr>
                <w:sz w:val="20"/>
                <w:szCs w:val="20"/>
              </w:rPr>
              <w:t>.</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0,000375</w:t>
            </w:r>
          </w:p>
        </w:tc>
        <w:tc>
          <w:tcPr>
            <w:tcW w:w="1463" w:type="pct"/>
            <w:gridSpan w:val="2"/>
            <w:shd w:val="clear" w:color="auto" w:fill="D3DFEE"/>
            <w:vAlign w:val="center"/>
          </w:tcPr>
          <w:p w:rsidR="00AA5699" w:rsidRPr="00AE1D3B" w:rsidRDefault="00AA5699" w:rsidP="00AA5699">
            <w:pPr>
              <w:rPr>
                <w:sz w:val="20"/>
                <w:szCs w:val="20"/>
              </w:rPr>
            </w:pPr>
            <w:r w:rsidRPr="00AE1D3B">
              <w:rPr>
                <w:sz w:val="20"/>
                <w:szCs w:val="20"/>
              </w:rPr>
              <w:t>&gt;1,0</w:t>
            </w:r>
          </w:p>
        </w:tc>
        <w:tc>
          <w:tcPr>
            <w:tcW w:w="1076" w:type="pct"/>
            <w:shd w:val="clear" w:color="auto" w:fill="D3DFEE"/>
            <w:vAlign w:val="center"/>
          </w:tcPr>
          <w:p w:rsidR="00AA5699" w:rsidRPr="00AE1D3B" w:rsidRDefault="00AA5699" w:rsidP="00AA5699">
            <w:pPr>
              <w:rPr>
                <w:sz w:val="20"/>
                <w:szCs w:val="20"/>
              </w:rPr>
            </w:pPr>
            <w:r w:rsidRPr="00AE1D3B">
              <w:rPr>
                <w:sz w:val="20"/>
                <w:szCs w:val="20"/>
              </w:rPr>
              <w:t>N</w:t>
            </w:r>
          </w:p>
        </w:tc>
      </w:tr>
    </w:tbl>
    <w:p w:rsidR="00AA5699" w:rsidRPr="006C120E" w:rsidRDefault="00AA5699" w:rsidP="00AA5699">
      <w:pPr>
        <w:rPr>
          <w:sz w:val="20"/>
          <w:szCs w:val="20"/>
        </w:rPr>
      </w:pPr>
      <w:r w:rsidRPr="006C120E">
        <w:rPr>
          <w:sz w:val="20"/>
          <w:szCs w:val="20"/>
        </w:rPr>
        <w:t>Źródło: Opracowanie własne, Gminny program ochrony środowiska gminy Herby</w:t>
      </w:r>
    </w:p>
    <w:p w:rsidR="00AA5699" w:rsidRDefault="007D7939" w:rsidP="00AA5699">
      <w:r w:rsidRPr="00E97626">
        <w:t>Z</w:t>
      </w:r>
      <w:r w:rsidR="00AA5699" w:rsidRPr="00E97626">
        <w:t xml:space="preserve">agrożeniem dla wód powierzchniowych na terenie gminy są wody opadowe, które spłukują nawozy i środki ochrony roślin, smary i paliwa z obszarów rolnych i leśnych, oraz powierzchni utwardzonych. Zanieczyszczenia wpływają na wzrost w wodach azotanów, fosforanów i </w:t>
      </w:r>
      <w:r w:rsidR="00AA5699" w:rsidRPr="006F2005">
        <w:t>zanieczyszczeń bakteriologicznych.</w:t>
      </w:r>
      <w:r w:rsidR="00B15E25" w:rsidRPr="006F2005">
        <w:t xml:space="preserve"> </w:t>
      </w:r>
      <w:r w:rsidR="00AA5699" w:rsidRPr="006F2005">
        <w:t>Spośród elementów fizykochemicznych jedynie OWO i azot</w:t>
      </w:r>
      <w:r w:rsidR="00AA5699" w:rsidRPr="00AA5699">
        <w:t xml:space="preserve"> azotanowy oceniono w klasie II, pozostałe znalazły się w klasie I poziomu czystości wód</w:t>
      </w:r>
      <w:r w:rsidR="00AA5699" w:rsidRPr="00AA5699">
        <w:rPr>
          <w:vertAlign w:val="superscript"/>
        </w:rPr>
        <w:footnoteReference w:id="8"/>
      </w:r>
      <w:r w:rsidR="00AA5699" w:rsidRPr="00AA5699">
        <w:t xml:space="preserve">. Z danych przedstawionych przez „Gminny Program Ochrony Środowiska Gminy Herby”, na obszarze gminy występują wody w utworach czwartorzędowych (choć mają one mniejsze znaczenie użytkowe), oraz mezozoicznych, które stanowią główny poziom użytkowy wód tego regionu. Jakość wód z okresu jurajskiego jest stosunkowo dobra, zaliczana do wód wysoko </w:t>
      </w:r>
      <w:proofErr w:type="spellStart"/>
      <w:r w:rsidR="00AA5699" w:rsidRPr="00AA5699">
        <w:t>węglonowo-wapniowo-sodowych</w:t>
      </w:r>
      <w:proofErr w:type="spellEnd"/>
      <w:r w:rsidR="00AA5699" w:rsidRPr="00AA5699">
        <w:t xml:space="preserve">. Wykazują one jednak podwyższoną zawartość żelaza i manganu, co jest charakterystyczne dla całego regionu.  W przypadku wód z utworów triasowych, eksploatacja nie odbywa się ze względu na dużą głębokość zalegania. </w:t>
      </w:r>
    </w:p>
    <w:p w:rsidR="00AA5699" w:rsidRDefault="00AA5699" w:rsidP="00A10D06">
      <w:pPr>
        <w:pStyle w:val="Nagwek3"/>
        <w:numPr>
          <w:ilvl w:val="2"/>
          <w:numId w:val="1"/>
        </w:numPr>
      </w:pPr>
      <w:bookmarkStart w:id="23" w:name="_Toc438118362"/>
      <w:r>
        <w:lastRenderedPageBreak/>
        <w:t>Roślinność</w:t>
      </w:r>
      <w:bookmarkEnd w:id="23"/>
    </w:p>
    <w:p w:rsidR="00AA5699" w:rsidRDefault="00AA5699" w:rsidP="00106E36">
      <w:pPr>
        <w:pStyle w:val="Nagwek3"/>
        <w:ind w:left="1224"/>
      </w:pPr>
    </w:p>
    <w:p w:rsidR="00AA5699" w:rsidRPr="00AA5699" w:rsidRDefault="00AA5699" w:rsidP="00AA5699">
      <w:r w:rsidRPr="00AA5699">
        <w:t xml:space="preserve">Głównym walorem gminy Herby jest jej położenie na terenie </w:t>
      </w:r>
      <w:r w:rsidRPr="00AA5699">
        <w:rPr>
          <w:b/>
        </w:rPr>
        <w:t>Parku Krajobrazowego „Lasy nad Górną Liswartą”</w:t>
      </w:r>
      <w:r w:rsidRPr="00AA5699">
        <w:rPr>
          <w:vertAlign w:val="superscript"/>
        </w:rPr>
        <w:footnoteReference w:id="9"/>
      </w:r>
      <w:r w:rsidRPr="00AA5699">
        <w:t xml:space="preserve">. Park utworzono w 1998 roku na obszarze lasów lublinieckich, w drzewostanie których przeważa sosna. W lasach parku można spotkać również olchy, dęby i jesiony. Teren Lasów nad Górną Liswartą, to także wilgotne łąki, wrzosowiska i zbiorowiska roślinności wodno-torfowiskowej. Do rzadkich roślin należą: różanecznik </w:t>
      </w:r>
      <w:proofErr w:type="spellStart"/>
      <w:r w:rsidRPr="00AA5699">
        <w:t>katawbijski</w:t>
      </w:r>
      <w:proofErr w:type="spellEnd"/>
      <w:r w:rsidRPr="00AA5699">
        <w:t xml:space="preserve">, wawrzynek </w:t>
      </w:r>
      <w:proofErr w:type="spellStart"/>
      <w:r w:rsidRPr="00AA5699">
        <w:t>wilczełyko</w:t>
      </w:r>
      <w:proofErr w:type="spellEnd"/>
      <w:r w:rsidRPr="00AA5699">
        <w:t xml:space="preserve">, lilia </w:t>
      </w:r>
      <w:proofErr w:type="spellStart"/>
      <w:r w:rsidRPr="00AA5699">
        <w:t>złotogłów</w:t>
      </w:r>
      <w:proofErr w:type="spellEnd"/>
      <w:r w:rsidRPr="00AA5699">
        <w:t>, rosiczka okrągłolistna oraz storczyki. Warto jednocześnie podkreślić, że także świat zwierząt – szczególnie ptaków – jest w tym regionie wyjątkowy. Występują tu rzadkie gatunki ptaków drapieżnych np. orzeł bielik, orlik krzykliwy, czy rybołów. Jest to również dogodne środowisko dla bociana czarnego. Przez centralną część obszaru płynie rzeka Liswarta. Najcenniejsze fragmenty parku znajdujące się na terenie gminy Herby objęto ochroną rezerwatów: „Cisy w Łebkach” oraz „Cisy nad Liswartą”. Inną formę ochrony cennych elementów przyrody stanowią pomniki przyrody oraz użytki ekologiczne.</w:t>
      </w:r>
    </w:p>
    <w:p w:rsidR="00AA5699" w:rsidRPr="00AA5699" w:rsidRDefault="00AA5699" w:rsidP="00AA5699">
      <w:r w:rsidRPr="00AA5699">
        <w:rPr>
          <w:b/>
        </w:rPr>
        <w:t>Rezerwat „Cisy nad Liswartą”</w:t>
      </w:r>
      <w:r w:rsidRPr="00AA5699">
        <w:t xml:space="preserve"> – Cis pospolity jest głównym przedmiotem ochrony na obszarze rezerwatu. Znajduje się on na terenie dwóch zbiorowisk leśnych. Są to </w:t>
      </w:r>
      <w:proofErr w:type="spellStart"/>
      <w:r w:rsidRPr="00AA5699">
        <w:t>przystrumykowy</w:t>
      </w:r>
      <w:proofErr w:type="spellEnd"/>
      <w:r w:rsidRPr="00AA5699">
        <w:t xml:space="preserve"> łęg jesionowo-olszowy o charakterze podgórskim, oraz bór bagienny. Zbiorowiska te mają w dużej mierze charakter naturalny. Łęgi jesionowo-olszowe są charakterystycznymi zbiorowiskami leśnymi występującymi nad rzekami i potokami. Zagrożenie lasów łęgowych wynika z nieprzemyślanej gospodarki wodnej. Drugim rodzajem zbiorowiska leśnego występującym na terenie rezerwatu jest bór bagienny, który zdominowany jest przez sosny. Domieszkę siedliska stanowi również brzoza omszona oraz świerk. </w:t>
      </w:r>
    </w:p>
    <w:p w:rsidR="00AA5699" w:rsidRDefault="00AA5699" w:rsidP="00AA5699">
      <w:r w:rsidRPr="00AA5699">
        <w:rPr>
          <w:b/>
        </w:rPr>
        <w:t>Rezerwat „Cisy w Łebkach”</w:t>
      </w:r>
      <w:r w:rsidRPr="00AA5699">
        <w:t xml:space="preserve"> – to dolina śródleśnego strumienia, nad którym </w:t>
      </w:r>
      <w:proofErr w:type="spellStart"/>
      <w:r w:rsidRPr="00AA5699">
        <w:t>przystrumykowy</w:t>
      </w:r>
      <w:proofErr w:type="spellEnd"/>
      <w:r w:rsidRPr="00AA5699">
        <w:t xml:space="preserve"> łęg olszowy zachował się w doskonałym stanie. Pośród drzewostanu dominuje olsza czarna. Na terenie rezerwatu spotkać można także wiele innych gatunków drzew, takich jak: jesion wyniosły, klon pospolity, brzoza omszona, sosna zwyczajna, świerk pospolity, jodła i wiąz. Przede wszystkim jednak o wysokiej wartości przyrodniczej tego obszaru decyduje obecność cisów. Podobnie jak w przypadku rezerwatu „Cisy nad Liswartą”, źle prowadzona gospodarka wodna – nadmierne melioracje oraz nieprzemyślana regulacja rzek – stanowią istotne zagrożenie dla lasów tego rodzaju. </w:t>
      </w:r>
    </w:p>
    <w:p w:rsidR="00284EEF" w:rsidRPr="003E5E56" w:rsidRDefault="00284EEF" w:rsidP="00284EEF">
      <w:pPr>
        <w:rPr>
          <w:lang w:eastAsia="pl-PL"/>
        </w:rPr>
      </w:pPr>
      <w:r w:rsidRPr="003E5E56">
        <w:rPr>
          <w:lang w:eastAsia="pl-PL"/>
        </w:rPr>
        <w:lastRenderedPageBreak/>
        <w:t>Obydwa rezerwaty zostały włączone do obszaru Natura 2000 Łęgi w lasach nad Liswartą PLH240027, który został zatwierdzony decyzją Komisji Europejskiej 2011/64/UE z 10.01.2011r.</w:t>
      </w:r>
    </w:p>
    <w:p w:rsidR="00AA5699" w:rsidRPr="00AA5699" w:rsidRDefault="00AA5699" w:rsidP="00AA5699">
      <w:r w:rsidRPr="00AA5699">
        <w:t xml:space="preserve">Do </w:t>
      </w:r>
      <w:r w:rsidRPr="00AA5699">
        <w:rPr>
          <w:b/>
        </w:rPr>
        <w:t>pomników przyrody</w:t>
      </w:r>
      <w:r w:rsidRPr="00AA5699">
        <w:t xml:space="preserve"> występujących na terenie gminy zaliczamy:</w:t>
      </w:r>
    </w:p>
    <w:p w:rsidR="00AA5699" w:rsidRPr="00AA5699" w:rsidRDefault="00AA5699" w:rsidP="00E7342B">
      <w:pPr>
        <w:numPr>
          <w:ilvl w:val="0"/>
          <w:numId w:val="14"/>
        </w:numPr>
        <w:spacing w:line="276" w:lineRule="auto"/>
      </w:pPr>
      <w:r w:rsidRPr="00AA5699">
        <w:t xml:space="preserve">Leśnictwo Herby – lipa  drobnolistna w Pietrzakach; </w:t>
      </w:r>
    </w:p>
    <w:p w:rsidR="00AA5699" w:rsidRPr="00AA5699" w:rsidRDefault="00AA5699" w:rsidP="00E7342B">
      <w:pPr>
        <w:numPr>
          <w:ilvl w:val="0"/>
          <w:numId w:val="14"/>
        </w:numPr>
        <w:spacing w:line="276" w:lineRule="auto"/>
      </w:pPr>
      <w:r w:rsidRPr="00AA5699">
        <w:t xml:space="preserve">Olszyna ul. Jałowcowa – głaz narzutowy, granit czerwony; </w:t>
      </w:r>
    </w:p>
    <w:p w:rsidR="00AA5699" w:rsidRPr="00AA5699" w:rsidRDefault="00AA5699" w:rsidP="00E7342B">
      <w:pPr>
        <w:numPr>
          <w:ilvl w:val="0"/>
          <w:numId w:val="14"/>
        </w:numPr>
        <w:spacing w:line="276" w:lineRule="auto"/>
      </w:pPr>
      <w:r w:rsidRPr="00AA5699">
        <w:rPr>
          <w:bCs/>
        </w:rPr>
        <w:t>Olszyna  ul. Klonowa</w:t>
      </w:r>
      <w:r w:rsidRPr="00AA5699">
        <w:t xml:space="preserve"> – grupa 2 klonów, wiek 200 lat;</w:t>
      </w:r>
    </w:p>
    <w:p w:rsidR="00AA5699" w:rsidRDefault="00AA5699" w:rsidP="00E7342B">
      <w:pPr>
        <w:numPr>
          <w:ilvl w:val="0"/>
          <w:numId w:val="14"/>
        </w:numPr>
        <w:spacing w:line="276" w:lineRule="auto"/>
      </w:pPr>
      <w:r w:rsidRPr="00AA5699">
        <w:rPr>
          <w:bCs/>
        </w:rPr>
        <w:t>Leśnictwo Cieszowa</w:t>
      </w:r>
      <w:r w:rsidRPr="00AA5699">
        <w:t xml:space="preserve"> – lipa drobnolistna w Hadrze.</w:t>
      </w:r>
    </w:p>
    <w:p w:rsidR="00106E36" w:rsidRPr="00284EEF" w:rsidRDefault="00106E36" w:rsidP="00106E36">
      <w:pPr>
        <w:pStyle w:val="Nagwek3"/>
        <w:ind w:left="720"/>
        <w:rPr>
          <w:sz w:val="12"/>
          <w:szCs w:val="12"/>
        </w:rPr>
      </w:pPr>
    </w:p>
    <w:p w:rsidR="00106E36" w:rsidRDefault="00106E36" w:rsidP="00A10D06">
      <w:pPr>
        <w:pStyle w:val="Nagwek3"/>
        <w:numPr>
          <w:ilvl w:val="2"/>
          <w:numId w:val="1"/>
        </w:numPr>
      </w:pPr>
      <w:bookmarkStart w:id="24" w:name="_Toc438118363"/>
      <w:r>
        <w:t>Użytkowanie gruntów</w:t>
      </w:r>
      <w:bookmarkEnd w:id="24"/>
    </w:p>
    <w:p w:rsidR="00106E36" w:rsidRPr="00284EEF" w:rsidRDefault="00106E36" w:rsidP="00106E36">
      <w:pPr>
        <w:rPr>
          <w:sz w:val="12"/>
          <w:szCs w:val="12"/>
        </w:rPr>
      </w:pPr>
    </w:p>
    <w:p w:rsidR="00106E36" w:rsidRPr="00106E36" w:rsidRDefault="00106E36" w:rsidP="00106E36">
      <w:r w:rsidRPr="00106E36">
        <w:t>Gmina Herby jest gminą o charakterze przemysłowo-rolniczym. Dominują przede wszystkim gospodarstwa indywidualne. Przeważają gleby V i VI klasy bonitacyjnej charakteryzujące się małą żyznością. Są lekkie, zbyt suche, kamieniste i płytkie. Należą do kompleksu żytniego słabego lub zbożowo-pastewnego słabego. Według ostatniego spisu powszechnego z 2010 r. na terenie gminy znajduje się 213 gospodarstw, z czego 182 prowadzi działalność rolniczą. Użytkowanie gruntów na terenie gminy przedstawia wykres 2. Pod zasiewami znajduje się 159 gospodarstw łącznie o powierzchni 1067,76 ha, natomiast teren 273,88 ha zajmuje 140 łąk trwałych, natomiast 107,11 ha zajmują lasy i grunty leśne.</w:t>
      </w:r>
    </w:p>
    <w:p w:rsidR="00284EEF" w:rsidRDefault="00106E36" w:rsidP="00284EEF">
      <w:pPr>
        <w:spacing w:after="80"/>
        <w:rPr>
          <w:b/>
          <w:bCs/>
          <w:sz w:val="20"/>
          <w:szCs w:val="20"/>
        </w:rPr>
      </w:pPr>
      <w:r w:rsidRPr="00106E36">
        <w:rPr>
          <w:noProof/>
          <w:lang w:eastAsia="pl-PL"/>
        </w:rPr>
        <w:drawing>
          <wp:inline distT="0" distB="0" distL="0" distR="0">
            <wp:extent cx="4712439" cy="2817628"/>
            <wp:effectExtent l="19050" t="0" r="11961" b="1772"/>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5" w:name="_Toc429726504"/>
    </w:p>
    <w:p w:rsidR="00106E36" w:rsidRPr="00CB3B6F" w:rsidRDefault="00106E36" w:rsidP="00284EEF">
      <w:pPr>
        <w:spacing w:after="80"/>
        <w:rPr>
          <w:b/>
          <w:bCs/>
          <w:sz w:val="20"/>
          <w:szCs w:val="20"/>
        </w:rPr>
      </w:pPr>
      <w:r w:rsidRPr="00CB3B6F">
        <w:rPr>
          <w:b/>
          <w:bCs/>
          <w:sz w:val="20"/>
          <w:szCs w:val="20"/>
        </w:rPr>
        <w:t xml:space="preserve">Wykres </w:t>
      </w:r>
      <w:r w:rsidR="00844CE4" w:rsidRPr="00844CE4">
        <w:rPr>
          <w:b/>
          <w:bCs/>
          <w:sz w:val="20"/>
          <w:szCs w:val="20"/>
        </w:rPr>
        <w:fldChar w:fldCharType="begin"/>
      </w:r>
      <w:r w:rsidRPr="00CB3B6F">
        <w:rPr>
          <w:b/>
          <w:bCs/>
          <w:sz w:val="20"/>
          <w:szCs w:val="20"/>
        </w:rPr>
        <w:instrText xml:space="preserve"> SEQ Wykres \* ARABIC </w:instrText>
      </w:r>
      <w:r w:rsidR="00844CE4" w:rsidRPr="00844CE4">
        <w:rPr>
          <w:b/>
          <w:bCs/>
          <w:sz w:val="20"/>
          <w:szCs w:val="20"/>
        </w:rPr>
        <w:fldChar w:fldCharType="separate"/>
      </w:r>
      <w:r w:rsidR="005C42FD">
        <w:rPr>
          <w:b/>
          <w:bCs/>
          <w:noProof/>
          <w:sz w:val="20"/>
          <w:szCs w:val="20"/>
        </w:rPr>
        <w:t>2</w:t>
      </w:r>
      <w:r w:rsidR="00844CE4" w:rsidRPr="00CB3B6F">
        <w:rPr>
          <w:sz w:val="20"/>
          <w:szCs w:val="20"/>
        </w:rPr>
        <w:fldChar w:fldCharType="end"/>
      </w:r>
      <w:r w:rsidRPr="00CB3B6F">
        <w:rPr>
          <w:b/>
          <w:bCs/>
          <w:sz w:val="20"/>
          <w:szCs w:val="20"/>
        </w:rPr>
        <w:t xml:space="preserve"> Użytkowanie gruntów w gospodarstwach rolnych</w:t>
      </w:r>
      <w:bookmarkEnd w:id="25"/>
    </w:p>
    <w:p w:rsidR="00106E36" w:rsidRDefault="00106E36" w:rsidP="00284EEF">
      <w:pPr>
        <w:spacing w:after="80" w:line="240" w:lineRule="auto"/>
        <w:rPr>
          <w:i/>
          <w:sz w:val="20"/>
          <w:szCs w:val="20"/>
        </w:rPr>
      </w:pPr>
      <w:r w:rsidRPr="00CB3B6F">
        <w:rPr>
          <w:i/>
          <w:sz w:val="20"/>
          <w:szCs w:val="20"/>
        </w:rPr>
        <w:t>Źródło: Opracowanie własne, Bank Danych Lokalnych GUS, Spis powszechny 2010 r.</w:t>
      </w:r>
    </w:p>
    <w:p w:rsidR="00106E36" w:rsidRPr="00106E36" w:rsidRDefault="00106E36" w:rsidP="00106E36">
      <w:r w:rsidRPr="00106E36">
        <w:lastRenderedPageBreak/>
        <w:t>Średnia powierzchnia użytków rolnych w gospodarstwach prowadzących działalność rolniczą wynosi 7,91 ha. Powierzchnia zasiewów głównych ziemiopłodów wynosi 1067,76 ha i przedstawia się następująco:</w:t>
      </w:r>
    </w:p>
    <w:p w:rsidR="00106E36" w:rsidRPr="00106E36" w:rsidRDefault="00106E36" w:rsidP="00E7342B">
      <w:pPr>
        <w:numPr>
          <w:ilvl w:val="0"/>
          <w:numId w:val="15"/>
        </w:numPr>
        <w:spacing w:line="276" w:lineRule="auto"/>
      </w:pPr>
      <w:r w:rsidRPr="00106E36">
        <w:t>zboża podstawowe z mieszankami zbożowymi – 974,85 ha,</w:t>
      </w:r>
    </w:p>
    <w:p w:rsidR="00106E36" w:rsidRPr="00106E36" w:rsidRDefault="00106E36" w:rsidP="00E7342B">
      <w:pPr>
        <w:numPr>
          <w:ilvl w:val="0"/>
          <w:numId w:val="15"/>
        </w:numPr>
        <w:spacing w:line="276" w:lineRule="auto"/>
      </w:pPr>
      <w:r w:rsidRPr="00106E36">
        <w:t>pszenżyto ozime – 304,72 ha,</w:t>
      </w:r>
    </w:p>
    <w:p w:rsidR="00106E36" w:rsidRPr="00106E36" w:rsidRDefault="00106E36" w:rsidP="00E7342B">
      <w:pPr>
        <w:numPr>
          <w:ilvl w:val="0"/>
          <w:numId w:val="15"/>
        </w:numPr>
        <w:spacing w:line="276" w:lineRule="auto"/>
      </w:pPr>
      <w:r w:rsidRPr="00106E36">
        <w:t>jęczmień jary – 229,99 ha,</w:t>
      </w:r>
    </w:p>
    <w:p w:rsidR="00106E36" w:rsidRPr="00106E36" w:rsidRDefault="00106E36" w:rsidP="00E7342B">
      <w:pPr>
        <w:numPr>
          <w:ilvl w:val="0"/>
          <w:numId w:val="15"/>
        </w:numPr>
        <w:spacing w:line="276" w:lineRule="auto"/>
      </w:pPr>
      <w:r w:rsidRPr="00106E36">
        <w:t xml:space="preserve"> żyto – 110,36 ha,</w:t>
      </w:r>
    </w:p>
    <w:p w:rsidR="00106E36" w:rsidRPr="00106E36" w:rsidRDefault="00106E36" w:rsidP="00E7342B">
      <w:pPr>
        <w:numPr>
          <w:ilvl w:val="0"/>
          <w:numId w:val="15"/>
        </w:numPr>
        <w:spacing w:line="276" w:lineRule="auto"/>
      </w:pPr>
      <w:r w:rsidRPr="00106E36">
        <w:t>mieszanki zbożowe jare – 82,34 ha,</w:t>
      </w:r>
    </w:p>
    <w:p w:rsidR="00106E36" w:rsidRPr="00106E36" w:rsidRDefault="00106E36" w:rsidP="00E7342B">
      <w:pPr>
        <w:numPr>
          <w:ilvl w:val="0"/>
          <w:numId w:val="15"/>
        </w:numPr>
        <w:spacing w:line="276" w:lineRule="auto"/>
      </w:pPr>
      <w:r w:rsidRPr="00106E36">
        <w:t>pszenica jara – 75,97 ha,</w:t>
      </w:r>
    </w:p>
    <w:p w:rsidR="00106E36" w:rsidRPr="00106E36" w:rsidRDefault="00106E36" w:rsidP="00E7342B">
      <w:pPr>
        <w:numPr>
          <w:ilvl w:val="0"/>
          <w:numId w:val="15"/>
        </w:numPr>
        <w:spacing w:line="276" w:lineRule="auto"/>
      </w:pPr>
      <w:r w:rsidRPr="00106E36">
        <w:t>pszenżyto jare – 62,78 ha,</w:t>
      </w:r>
    </w:p>
    <w:p w:rsidR="00106E36" w:rsidRPr="00106E36" w:rsidRDefault="00106E36" w:rsidP="00E7342B">
      <w:pPr>
        <w:numPr>
          <w:ilvl w:val="0"/>
          <w:numId w:val="15"/>
        </w:numPr>
        <w:spacing w:line="276" w:lineRule="auto"/>
      </w:pPr>
      <w:r w:rsidRPr="00106E36">
        <w:t>owies – 44,32 ha,</w:t>
      </w:r>
    </w:p>
    <w:p w:rsidR="00106E36" w:rsidRPr="00106E36" w:rsidRDefault="00106E36" w:rsidP="00E7342B">
      <w:pPr>
        <w:numPr>
          <w:ilvl w:val="0"/>
          <w:numId w:val="15"/>
        </w:numPr>
        <w:spacing w:line="276" w:lineRule="auto"/>
      </w:pPr>
      <w:r w:rsidRPr="00106E36">
        <w:t>pszenica ozima – 42,50 ha,</w:t>
      </w:r>
    </w:p>
    <w:p w:rsidR="00106E36" w:rsidRPr="00106E36" w:rsidRDefault="00106E36" w:rsidP="00E7342B">
      <w:pPr>
        <w:numPr>
          <w:ilvl w:val="0"/>
          <w:numId w:val="15"/>
        </w:numPr>
        <w:spacing w:line="276" w:lineRule="auto"/>
      </w:pPr>
      <w:r w:rsidRPr="00106E36">
        <w:t>ziemniaki – 32,13 ha,</w:t>
      </w:r>
    </w:p>
    <w:p w:rsidR="00106E36" w:rsidRPr="00106E36" w:rsidRDefault="00106E36" w:rsidP="00E7342B">
      <w:pPr>
        <w:numPr>
          <w:ilvl w:val="0"/>
          <w:numId w:val="15"/>
        </w:numPr>
        <w:spacing w:line="276" w:lineRule="auto"/>
      </w:pPr>
      <w:r w:rsidRPr="00106E36">
        <w:t>jęczmień ozimy – 12,39 ha,</w:t>
      </w:r>
    </w:p>
    <w:p w:rsidR="00106E36" w:rsidRPr="00106E36" w:rsidRDefault="00106E36" w:rsidP="00E7342B">
      <w:pPr>
        <w:numPr>
          <w:ilvl w:val="0"/>
          <w:numId w:val="15"/>
        </w:numPr>
        <w:spacing w:line="276" w:lineRule="auto"/>
      </w:pPr>
      <w:r w:rsidRPr="00106E36">
        <w:t>mieszanki zbożowe ozime – 9,48 ha,</w:t>
      </w:r>
    </w:p>
    <w:p w:rsidR="00106E36" w:rsidRPr="00106E36" w:rsidRDefault="00106E36" w:rsidP="00E7342B">
      <w:pPr>
        <w:numPr>
          <w:ilvl w:val="0"/>
          <w:numId w:val="15"/>
        </w:numPr>
        <w:spacing w:line="276" w:lineRule="auto"/>
      </w:pPr>
      <w:r w:rsidRPr="00106E36">
        <w:t>strączkowe jadalne – 4,33 ha,</w:t>
      </w:r>
    </w:p>
    <w:p w:rsidR="00106E36" w:rsidRPr="00106E36" w:rsidRDefault="00106E36" w:rsidP="00E7342B">
      <w:pPr>
        <w:numPr>
          <w:ilvl w:val="0"/>
          <w:numId w:val="15"/>
        </w:numPr>
        <w:spacing w:line="276" w:lineRule="auto"/>
      </w:pPr>
      <w:r w:rsidRPr="00106E36">
        <w:t>kukurydza na ziarno – 1,24 ha.</w:t>
      </w:r>
    </w:p>
    <w:p w:rsidR="00106E36" w:rsidRPr="00106E36" w:rsidRDefault="00106E36" w:rsidP="00106E36"/>
    <w:p w:rsidR="00106E36" w:rsidRPr="00106E36" w:rsidRDefault="00106E36" w:rsidP="00106E36">
      <w:r w:rsidRPr="00106E36">
        <w:rPr>
          <w:noProof/>
          <w:lang w:eastAsia="pl-PL"/>
        </w:rPr>
        <w:lastRenderedPageBreak/>
        <w:drawing>
          <wp:inline distT="0" distB="0" distL="0" distR="0">
            <wp:extent cx="5906622" cy="3848986"/>
            <wp:effectExtent l="19050" t="0" r="17928" b="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6E36" w:rsidRPr="00CB3B6F" w:rsidRDefault="00106E36" w:rsidP="00CB3B6F">
      <w:pPr>
        <w:spacing w:line="276" w:lineRule="auto"/>
        <w:jc w:val="left"/>
        <w:rPr>
          <w:b/>
          <w:bCs/>
          <w:sz w:val="20"/>
          <w:szCs w:val="20"/>
        </w:rPr>
      </w:pPr>
      <w:bookmarkStart w:id="26" w:name="_Toc429726505"/>
      <w:r w:rsidRPr="00CB3B6F">
        <w:rPr>
          <w:b/>
          <w:bCs/>
          <w:sz w:val="20"/>
          <w:szCs w:val="20"/>
        </w:rPr>
        <w:t xml:space="preserve">Wykres </w:t>
      </w:r>
      <w:r w:rsidR="00844CE4" w:rsidRPr="00844CE4">
        <w:rPr>
          <w:b/>
          <w:bCs/>
          <w:sz w:val="20"/>
          <w:szCs w:val="20"/>
        </w:rPr>
        <w:fldChar w:fldCharType="begin"/>
      </w:r>
      <w:r w:rsidRPr="00CB3B6F">
        <w:rPr>
          <w:b/>
          <w:bCs/>
          <w:sz w:val="20"/>
          <w:szCs w:val="20"/>
        </w:rPr>
        <w:instrText xml:space="preserve"> SEQ Wykres \* ARABIC </w:instrText>
      </w:r>
      <w:r w:rsidR="00844CE4" w:rsidRPr="00844CE4">
        <w:rPr>
          <w:b/>
          <w:bCs/>
          <w:sz w:val="20"/>
          <w:szCs w:val="20"/>
        </w:rPr>
        <w:fldChar w:fldCharType="separate"/>
      </w:r>
      <w:r w:rsidR="005C42FD">
        <w:rPr>
          <w:b/>
          <w:bCs/>
          <w:noProof/>
          <w:sz w:val="20"/>
          <w:szCs w:val="20"/>
        </w:rPr>
        <w:t>3</w:t>
      </w:r>
      <w:r w:rsidR="00844CE4" w:rsidRPr="00CB3B6F">
        <w:rPr>
          <w:sz w:val="20"/>
          <w:szCs w:val="20"/>
        </w:rPr>
        <w:fldChar w:fldCharType="end"/>
      </w:r>
      <w:r w:rsidRPr="00CB3B6F">
        <w:rPr>
          <w:b/>
          <w:bCs/>
          <w:sz w:val="20"/>
          <w:szCs w:val="20"/>
        </w:rPr>
        <w:t xml:space="preserve"> Powierzchnia zasiewów według typu gospodarstwa</w:t>
      </w:r>
      <w:bookmarkEnd w:id="26"/>
    </w:p>
    <w:p w:rsidR="00CB3B6F" w:rsidRDefault="00106E36" w:rsidP="00CB3B6F">
      <w:pPr>
        <w:spacing w:line="276" w:lineRule="auto"/>
        <w:jc w:val="left"/>
        <w:rPr>
          <w:i/>
          <w:sz w:val="20"/>
          <w:szCs w:val="20"/>
        </w:rPr>
      </w:pPr>
      <w:r w:rsidRPr="00CB3B6F">
        <w:rPr>
          <w:i/>
          <w:sz w:val="20"/>
          <w:szCs w:val="20"/>
        </w:rPr>
        <w:t>Źródło: Opracowanie własne, Bank Danych Lokalnych GUS, Spis powszechny 2010 r.</w:t>
      </w:r>
    </w:p>
    <w:p w:rsidR="00CF5C21" w:rsidRDefault="00CF5C21" w:rsidP="00CB3B6F"/>
    <w:p w:rsidR="00106E36" w:rsidRPr="00106E36" w:rsidRDefault="00106E36" w:rsidP="00CB3B6F">
      <w:r w:rsidRPr="00106E36">
        <w:t xml:space="preserve">Na terenie gminy funkcjonują 124 gospodarstwa utrzymujące duże zwierzęta gospodarskie, przede wszystkim jednak dominują hodowle drobiu 87117 sztuk (w tym hodowla drobiu kurzego 86608 sztuk). Trzoda chlewna hodowana jest w liczbie 3270 sztuk, natomiast bydło, to 392 sztuk. </w:t>
      </w:r>
    </w:p>
    <w:p w:rsidR="00106E36" w:rsidRPr="00106E36" w:rsidRDefault="00106E36" w:rsidP="00106E36"/>
    <w:p w:rsidR="00106E36" w:rsidRPr="00106E36" w:rsidRDefault="00106E36" w:rsidP="00106E36">
      <w:r w:rsidRPr="00106E36">
        <w:rPr>
          <w:noProof/>
          <w:lang w:eastAsia="pl-PL"/>
        </w:rPr>
        <w:lastRenderedPageBreak/>
        <w:drawing>
          <wp:inline distT="0" distB="0" distL="0" distR="0">
            <wp:extent cx="4581201" cy="2758751"/>
            <wp:effectExtent l="19050" t="0" r="9849" b="3499"/>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6E36" w:rsidRPr="00CB3B6F" w:rsidRDefault="00106E36" w:rsidP="00CB3B6F">
      <w:pPr>
        <w:spacing w:line="276" w:lineRule="auto"/>
        <w:jc w:val="left"/>
        <w:rPr>
          <w:b/>
          <w:bCs/>
          <w:sz w:val="20"/>
          <w:szCs w:val="20"/>
        </w:rPr>
      </w:pPr>
      <w:bookmarkStart w:id="27" w:name="_Toc429726506"/>
      <w:r w:rsidRPr="00CB3B6F">
        <w:rPr>
          <w:b/>
          <w:bCs/>
          <w:sz w:val="20"/>
          <w:szCs w:val="20"/>
        </w:rPr>
        <w:t xml:space="preserve">Wykres </w:t>
      </w:r>
      <w:r w:rsidR="00844CE4" w:rsidRPr="00844CE4">
        <w:rPr>
          <w:b/>
          <w:bCs/>
          <w:sz w:val="20"/>
          <w:szCs w:val="20"/>
        </w:rPr>
        <w:fldChar w:fldCharType="begin"/>
      </w:r>
      <w:r w:rsidRPr="00CB3B6F">
        <w:rPr>
          <w:b/>
          <w:bCs/>
          <w:sz w:val="20"/>
          <w:szCs w:val="20"/>
        </w:rPr>
        <w:instrText xml:space="preserve"> SEQ Wykres \* ARABIC </w:instrText>
      </w:r>
      <w:r w:rsidR="00844CE4" w:rsidRPr="00844CE4">
        <w:rPr>
          <w:b/>
          <w:bCs/>
          <w:sz w:val="20"/>
          <w:szCs w:val="20"/>
        </w:rPr>
        <w:fldChar w:fldCharType="separate"/>
      </w:r>
      <w:r w:rsidR="005C42FD">
        <w:rPr>
          <w:b/>
          <w:bCs/>
          <w:noProof/>
          <w:sz w:val="20"/>
          <w:szCs w:val="20"/>
        </w:rPr>
        <w:t>4</w:t>
      </w:r>
      <w:r w:rsidR="00844CE4" w:rsidRPr="00CB3B6F">
        <w:rPr>
          <w:sz w:val="20"/>
          <w:szCs w:val="20"/>
        </w:rPr>
        <w:fldChar w:fldCharType="end"/>
      </w:r>
      <w:r w:rsidRPr="00CB3B6F">
        <w:rPr>
          <w:b/>
          <w:bCs/>
          <w:sz w:val="20"/>
          <w:szCs w:val="20"/>
        </w:rPr>
        <w:t xml:space="preserve"> Pogłowie zwierząt hodowlanych</w:t>
      </w:r>
      <w:bookmarkEnd w:id="27"/>
    </w:p>
    <w:p w:rsidR="00106E36" w:rsidRDefault="00106E36" w:rsidP="00CB3B6F">
      <w:pPr>
        <w:spacing w:line="276" w:lineRule="auto"/>
        <w:jc w:val="left"/>
        <w:rPr>
          <w:i/>
          <w:sz w:val="20"/>
          <w:szCs w:val="20"/>
        </w:rPr>
      </w:pPr>
      <w:r w:rsidRPr="00CB3B6F">
        <w:rPr>
          <w:i/>
          <w:sz w:val="20"/>
          <w:szCs w:val="20"/>
        </w:rPr>
        <w:t>Źródło: Opracowanie własne, Bank Danych Lokalnych GUS, Spis powszechny 2010 r.</w:t>
      </w:r>
    </w:p>
    <w:p w:rsidR="00CB3B6F" w:rsidRDefault="00CB3B6F" w:rsidP="00CB3B6F">
      <w:pPr>
        <w:spacing w:line="276" w:lineRule="auto"/>
        <w:jc w:val="left"/>
      </w:pPr>
    </w:p>
    <w:p w:rsidR="00AD41C2" w:rsidRDefault="000117A8" w:rsidP="00A10D06">
      <w:pPr>
        <w:pStyle w:val="Nagwek2"/>
        <w:numPr>
          <w:ilvl w:val="1"/>
          <w:numId w:val="1"/>
        </w:numPr>
      </w:pPr>
      <w:bookmarkStart w:id="28" w:name="_Toc438118364"/>
      <w:r>
        <w:t xml:space="preserve"> </w:t>
      </w:r>
      <w:r w:rsidR="00AD41C2">
        <w:t>Otoczenie społeczno-gospodarcze gminy Herby</w:t>
      </w:r>
      <w:bookmarkEnd w:id="28"/>
    </w:p>
    <w:p w:rsidR="00AD41C2" w:rsidRDefault="00AD41C2" w:rsidP="00AD41C2"/>
    <w:p w:rsidR="00AD41C2" w:rsidRDefault="00AD41C2" w:rsidP="00B6637C">
      <w:r>
        <w:t>Według stanu z dnia 31. grudnia 2014 r. (dane pochodzące z Lokalnej Bazy Danych GUS) w ogólnej liczbie ludności zamieszkującej tereny powiatu lublinieckiego, mieszkańcy gminy Herby stanowią 8,9% populacji. Obszar gminy zamieszkuje 6886 osób. Kobiety stanowią 50,1% ogółu mieszkańców. Jest to niewielka różnica w udziale kobiet i mężczyzn w społeczeństwie. Najlepiej prezentuje to współczynnik feminizacji, który w przypadku gminy Herby wynosi 100 kobiet na 100 mężczyzn. Należy jednak podkreślić, że współczynnik ten zmienia się w zależności od wieku, ponieważ – jak wynika z dostępnych danych – współczynnik feminizacji jest wyższy w grupie wiekowej powyżej 65 roku życia, w której na 100 mężczyzn przypada 150 kobiet. Jest to rezultat dłuższego okresu życia kobiet. Skutkiem przemian demograficznych jest także zmniejszenie się liczby dzieci i młodzieży. Pod koniec 2014 roku statystyczny mieszkaniec gminy Herby miał 35,5 lat (mediana wieku). Mediana wieku kobiet – ze względu na dłuższy okres trwania życia – znajduje się w przedziale wiekowym powyżej 70 roku życia.</w:t>
      </w:r>
      <w:r>
        <w:br w:type="page"/>
      </w:r>
    </w:p>
    <w:p w:rsidR="006C120E" w:rsidRPr="00EF0785" w:rsidRDefault="006C120E" w:rsidP="006C120E">
      <w:pPr>
        <w:pStyle w:val="Legenda"/>
        <w:keepNext/>
        <w:ind w:firstLine="0"/>
        <w:rPr>
          <w:color w:val="auto"/>
        </w:rPr>
      </w:pPr>
      <w:bookmarkStart w:id="29" w:name="_Toc436586225"/>
      <w:r w:rsidRPr="00EF0785">
        <w:rPr>
          <w:color w:val="auto"/>
        </w:rPr>
        <w:lastRenderedPageBreak/>
        <w:t xml:space="preserve">Tabela </w:t>
      </w:r>
      <w:r w:rsidR="00844CE4" w:rsidRPr="00EF0785">
        <w:rPr>
          <w:color w:val="auto"/>
        </w:rPr>
        <w:fldChar w:fldCharType="begin"/>
      </w:r>
      <w:r w:rsidR="006E6F7F" w:rsidRPr="00EF0785">
        <w:rPr>
          <w:color w:val="auto"/>
        </w:rPr>
        <w:instrText xml:space="preserve"> SEQ Tabela \* ARABIC </w:instrText>
      </w:r>
      <w:r w:rsidR="00844CE4" w:rsidRPr="00EF0785">
        <w:rPr>
          <w:color w:val="auto"/>
        </w:rPr>
        <w:fldChar w:fldCharType="separate"/>
      </w:r>
      <w:r w:rsidR="005C42FD">
        <w:rPr>
          <w:noProof/>
          <w:color w:val="auto"/>
        </w:rPr>
        <w:t>3</w:t>
      </w:r>
      <w:r w:rsidR="00844CE4" w:rsidRPr="00EF0785">
        <w:rPr>
          <w:noProof/>
          <w:color w:val="auto"/>
        </w:rPr>
        <w:fldChar w:fldCharType="end"/>
      </w:r>
      <w:r w:rsidR="00AA43FE">
        <w:rPr>
          <w:noProof/>
          <w:color w:val="auto"/>
        </w:rPr>
        <w:t xml:space="preserve"> </w:t>
      </w:r>
      <w:r w:rsidRPr="00EF0785">
        <w:rPr>
          <w:color w:val="auto"/>
        </w:rPr>
        <w:t>Ludność wg grup wieku i płci (stan na 31.XII.2014 r.)</w:t>
      </w:r>
      <w:bookmarkEnd w:id="29"/>
    </w:p>
    <w:tbl>
      <w:tblPr>
        <w:tblW w:w="4522" w:type="pct"/>
        <w:tblBorders>
          <w:top w:val="single" w:sz="8" w:space="0" w:color="4F81BD"/>
          <w:left w:val="single" w:sz="8" w:space="0" w:color="4F81BD"/>
          <w:bottom w:val="single" w:sz="8" w:space="0" w:color="4F81BD"/>
          <w:right w:val="single" w:sz="8" w:space="0" w:color="4F81BD"/>
        </w:tblBorders>
        <w:tblLayout w:type="fixed"/>
        <w:tblLook w:val="04A0"/>
      </w:tblPr>
      <w:tblGrid>
        <w:gridCol w:w="2100"/>
        <w:gridCol w:w="2100"/>
        <w:gridCol w:w="2100"/>
        <w:gridCol w:w="2100"/>
      </w:tblGrid>
      <w:tr w:rsidR="00AD41C2" w:rsidTr="00B6637C">
        <w:trPr>
          <w:trHeight w:val="688"/>
        </w:trPr>
        <w:tc>
          <w:tcPr>
            <w:tcW w:w="1250" w:type="pct"/>
            <w:tcBorders>
              <w:top w:val="single" w:sz="12" w:space="0" w:color="4F81BD"/>
              <w:left w:val="nil"/>
              <w:bottom w:val="single" w:sz="12" w:space="0" w:color="4F81BD"/>
              <w:right w:val="nil"/>
            </w:tcBorders>
            <w:shd w:val="clear" w:color="auto" w:fill="FFFFFF"/>
            <w:noWrap/>
          </w:tcPr>
          <w:p w:rsidR="00AD41C2" w:rsidRPr="007932C0" w:rsidRDefault="00AD41C2" w:rsidP="00601C5A">
            <w:pPr>
              <w:spacing w:line="240" w:lineRule="auto"/>
              <w:jc w:val="left"/>
              <w:rPr>
                <w:rFonts w:eastAsia="Times New Roman"/>
                <w:sz w:val="20"/>
                <w:szCs w:val="20"/>
              </w:rPr>
            </w:pPr>
            <w:r w:rsidRPr="007932C0">
              <w:rPr>
                <w:rFonts w:eastAsia="Times New Roman"/>
                <w:sz w:val="20"/>
                <w:szCs w:val="20"/>
              </w:rPr>
              <w:t xml:space="preserve">Ludność według </w:t>
            </w:r>
          </w:p>
          <w:p w:rsidR="00AD41C2" w:rsidRPr="007932C0" w:rsidRDefault="00AD41C2" w:rsidP="00601C5A">
            <w:pPr>
              <w:spacing w:line="240" w:lineRule="auto"/>
              <w:jc w:val="left"/>
              <w:rPr>
                <w:rFonts w:eastAsia="Times New Roman"/>
                <w:sz w:val="20"/>
                <w:szCs w:val="20"/>
              </w:rPr>
            </w:pPr>
            <w:r w:rsidRPr="007932C0">
              <w:rPr>
                <w:rFonts w:eastAsia="Times New Roman"/>
                <w:sz w:val="20"/>
                <w:szCs w:val="20"/>
              </w:rPr>
              <w:t>grupy wieku</w:t>
            </w:r>
          </w:p>
        </w:tc>
        <w:tc>
          <w:tcPr>
            <w:tcW w:w="1250" w:type="pct"/>
            <w:tcBorders>
              <w:top w:val="single" w:sz="12" w:space="0" w:color="4F81BD"/>
              <w:left w:val="nil"/>
              <w:bottom w:val="single" w:sz="12" w:space="0" w:color="4F81BD"/>
              <w:right w:val="nil"/>
            </w:tcBorders>
            <w:shd w:val="clear" w:color="auto" w:fill="FFFFFF"/>
          </w:tcPr>
          <w:p w:rsidR="00AD41C2" w:rsidRPr="007932C0" w:rsidRDefault="00AD41C2" w:rsidP="00601C5A">
            <w:pPr>
              <w:spacing w:line="240" w:lineRule="auto"/>
              <w:ind w:firstLine="319"/>
              <w:jc w:val="center"/>
              <w:rPr>
                <w:rFonts w:eastAsia="Times New Roman"/>
                <w:sz w:val="20"/>
                <w:szCs w:val="20"/>
              </w:rPr>
            </w:pPr>
          </w:p>
          <w:p w:rsidR="00AD41C2" w:rsidRPr="007932C0" w:rsidRDefault="00AD41C2" w:rsidP="00601C5A">
            <w:pPr>
              <w:spacing w:line="240" w:lineRule="auto"/>
              <w:ind w:firstLine="319"/>
              <w:jc w:val="center"/>
              <w:rPr>
                <w:rFonts w:eastAsia="Times New Roman"/>
                <w:sz w:val="20"/>
                <w:szCs w:val="20"/>
              </w:rPr>
            </w:pPr>
            <w:r w:rsidRPr="007932C0">
              <w:rPr>
                <w:rFonts w:eastAsia="Times New Roman"/>
                <w:sz w:val="20"/>
                <w:szCs w:val="20"/>
              </w:rPr>
              <w:t>ogółem</w:t>
            </w:r>
          </w:p>
        </w:tc>
        <w:tc>
          <w:tcPr>
            <w:tcW w:w="1250" w:type="pct"/>
            <w:tcBorders>
              <w:top w:val="single" w:sz="12" w:space="0" w:color="4F81BD"/>
              <w:left w:val="nil"/>
              <w:bottom w:val="single" w:sz="12" w:space="0" w:color="4F81BD"/>
              <w:right w:val="nil"/>
            </w:tcBorders>
            <w:shd w:val="clear" w:color="auto" w:fill="FFFFFF"/>
          </w:tcPr>
          <w:p w:rsidR="00AD41C2" w:rsidRPr="007932C0" w:rsidRDefault="00AD41C2" w:rsidP="00601C5A">
            <w:pPr>
              <w:spacing w:line="240" w:lineRule="auto"/>
              <w:ind w:firstLine="416"/>
              <w:jc w:val="center"/>
              <w:rPr>
                <w:rFonts w:eastAsia="Times New Roman"/>
                <w:sz w:val="20"/>
                <w:szCs w:val="20"/>
              </w:rPr>
            </w:pPr>
          </w:p>
          <w:p w:rsidR="00AD41C2" w:rsidRPr="007932C0" w:rsidRDefault="00AD41C2" w:rsidP="00601C5A">
            <w:pPr>
              <w:spacing w:line="240" w:lineRule="auto"/>
              <w:ind w:left="-392" w:firstLine="567"/>
              <w:jc w:val="center"/>
              <w:rPr>
                <w:rFonts w:eastAsia="Times New Roman"/>
                <w:sz w:val="20"/>
                <w:szCs w:val="20"/>
              </w:rPr>
            </w:pPr>
            <w:r w:rsidRPr="007932C0">
              <w:rPr>
                <w:rFonts w:eastAsia="Times New Roman"/>
                <w:sz w:val="20"/>
                <w:szCs w:val="20"/>
              </w:rPr>
              <w:t>kobiety</w:t>
            </w:r>
          </w:p>
        </w:tc>
        <w:tc>
          <w:tcPr>
            <w:tcW w:w="1250" w:type="pct"/>
            <w:tcBorders>
              <w:top w:val="single" w:sz="12" w:space="0" w:color="4F81BD"/>
              <w:left w:val="nil"/>
              <w:bottom w:val="single" w:sz="12" w:space="0" w:color="4F81BD"/>
              <w:right w:val="nil"/>
            </w:tcBorders>
            <w:shd w:val="clear" w:color="auto" w:fill="FFFFFF"/>
          </w:tcPr>
          <w:p w:rsidR="00AD41C2" w:rsidRPr="007932C0" w:rsidRDefault="00AD41C2" w:rsidP="00601C5A">
            <w:pPr>
              <w:spacing w:line="240" w:lineRule="auto"/>
              <w:ind w:firstLine="88"/>
              <w:jc w:val="center"/>
              <w:rPr>
                <w:rFonts w:eastAsia="Times New Roman"/>
                <w:sz w:val="20"/>
                <w:szCs w:val="20"/>
              </w:rPr>
            </w:pPr>
          </w:p>
          <w:p w:rsidR="00AD41C2" w:rsidRPr="007932C0" w:rsidRDefault="00AD41C2" w:rsidP="00601C5A">
            <w:pPr>
              <w:spacing w:line="240" w:lineRule="auto"/>
              <w:ind w:firstLine="88"/>
              <w:jc w:val="center"/>
              <w:rPr>
                <w:rFonts w:eastAsia="Times New Roman"/>
                <w:sz w:val="20"/>
                <w:szCs w:val="20"/>
              </w:rPr>
            </w:pPr>
            <w:r w:rsidRPr="007932C0">
              <w:rPr>
                <w:rFonts w:eastAsia="Times New Roman"/>
                <w:sz w:val="20"/>
                <w:szCs w:val="20"/>
              </w:rPr>
              <w:t>mężczyźni</w:t>
            </w:r>
          </w:p>
        </w:tc>
      </w:tr>
      <w:tr w:rsidR="00AD41C2" w:rsidTr="00BB5F46">
        <w:trPr>
          <w:trHeight w:val="351"/>
        </w:trPr>
        <w:tc>
          <w:tcPr>
            <w:tcW w:w="1250" w:type="pct"/>
            <w:tcBorders>
              <w:top w:val="single" w:sz="12" w:space="0" w:color="4F81BD"/>
              <w:left w:val="nil"/>
              <w:bottom w:val="nil"/>
              <w:right w:val="single" w:sz="8" w:space="0" w:color="4F81BD"/>
            </w:tcBorders>
            <w:shd w:val="clear" w:color="auto" w:fill="FFFFFF"/>
            <w:noWrap/>
          </w:tcPr>
          <w:p w:rsidR="00AD41C2" w:rsidRPr="007932C0" w:rsidRDefault="00AD41C2" w:rsidP="00BB5F46">
            <w:pPr>
              <w:rPr>
                <w:rFonts w:eastAsia="Times New Roman"/>
                <w:sz w:val="20"/>
                <w:szCs w:val="20"/>
              </w:rPr>
            </w:pPr>
            <w:r w:rsidRPr="007932C0">
              <w:rPr>
                <w:rFonts w:eastAsia="Times New Roman"/>
                <w:sz w:val="20"/>
                <w:szCs w:val="20"/>
              </w:rPr>
              <w:t>0-4</w:t>
            </w:r>
          </w:p>
        </w:tc>
        <w:tc>
          <w:tcPr>
            <w:tcW w:w="1250" w:type="pct"/>
            <w:tcBorders>
              <w:top w:val="single" w:sz="12" w:space="0" w:color="4F81BD"/>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330</w:t>
            </w:r>
          </w:p>
        </w:tc>
        <w:tc>
          <w:tcPr>
            <w:tcW w:w="1250" w:type="pct"/>
            <w:tcBorders>
              <w:top w:val="single" w:sz="12" w:space="0" w:color="4F81BD"/>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155</w:t>
            </w:r>
          </w:p>
        </w:tc>
        <w:tc>
          <w:tcPr>
            <w:tcW w:w="1250" w:type="pct"/>
            <w:tcBorders>
              <w:top w:val="single" w:sz="12" w:space="0" w:color="4F81BD"/>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175</w:t>
            </w:r>
          </w:p>
        </w:tc>
      </w:tr>
      <w:tr w:rsidR="00AD41C2" w:rsidTr="00BB5F46">
        <w:trPr>
          <w:trHeight w:val="337"/>
        </w:trPr>
        <w:tc>
          <w:tcPr>
            <w:tcW w:w="1250" w:type="pct"/>
            <w:tcBorders>
              <w:left w:val="nil"/>
              <w:bottom w:val="nil"/>
              <w:right w:val="single" w:sz="8" w:space="0" w:color="4F81BD"/>
            </w:tcBorders>
            <w:shd w:val="clear" w:color="auto" w:fill="FFFFFF"/>
            <w:noWrap/>
          </w:tcPr>
          <w:p w:rsidR="00AD41C2" w:rsidRPr="007932C0" w:rsidRDefault="00AD41C2" w:rsidP="00BB5F46">
            <w:pPr>
              <w:rPr>
                <w:rFonts w:eastAsia="Times New Roman"/>
                <w:sz w:val="20"/>
                <w:szCs w:val="20"/>
              </w:rPr>
            </w:pPr>
            <w:r w:rsidRPr="007932C0">
              <w:rPr>
                <w:rFonts w:eastAsia="Times New Roman"/>
                <w:sz w:val="20"/>
                <w:szCs w:val="20"/>
              </w:rPr>
              <w:t>5-9</w:t>
            </w:r>
          </w:p>
        </w:tc>
        <w:tc>
          <w:tcPr>
            <w:tcW w:w="1250" w:type="pct"/>
          </w:tcPr>
          <w:p w:rsidR="00AD41C2" w:rsidRPr="007932C0" w:rsidRDefault="00AD41C2" w:rsidP="00BB5F46">
            <w:pPr>
              <w:jc w:val="center"/>
              <w:rPr>
                <w:rFonts w:eastAsia="Times New Roman"/>
                <w:sz w:val="20"/>
                <w:szCs w:val="20"/>
              </w:rPr>
            </w:pPr>
            <w:r>
              <w:rPr>
                <w:rFonts w:eastAsia="Times New Roman"/>
                <w:sz w:val="20"/>
                <w:szCs w:val="20"/>
              </w:rPr>
              <w:t>374</w:t>
            </w:r>
          </w:p>
        </w:tc>
        <w:tc>
          <w:tcPr>
            <w:tcW w:w="1250" w:type="pct"/>
          </w:tcPr>
          <w:p w:rsidR="00AD41C2" w:rsidRPr="007932C0" w:rsidRDefault="00AD41C2" w:rsidP="00BB5F46">
            <w:pPr>
              <w:jc w:val="center"/>
              <w:rPr>
                <w:rFonts w:eastAsia="Times New Roman"/>
                <w:sz w:val="20"/>
                <w:szCs w:val="20"/>
              </w:rPr>
            </w:pPr>
            <w:r>
              <w:rPr>
                <w:rFonts w:eastAsia="Times New Roman"/>
                <w:sz w:val="20"/>
                <w:szCs w:val="20"/>
              </w:rPr>
              <w:t>192</w:t>
            </w:r>
          </w:p>
        </w:tc>
        <w:tc>
          <w:tcPr>
            <w:tcW w:w="1250" w:type="pct"/>
            <w:tcBorders>
              <w:top w:val="nil"/>
              <w:bottom w:val="nil"/>
              <w:right w:val="nil"/>
            </w:tcBorders>
          </w:tcPr>
          <w:p w:rsidR="00AD41C2" w:rsidRPr="007932C0" w:rsidRDefault="00AD41C2" w:rsidP="00BB5F46">
            <w:pPr>
              <w:jc w:val="center"/>
              <w:rPr>
                <w:rFonts w:eastAsia="Times New Roman"/>
                <w:sz w:val="20"/>
                <w:szCs w:val="20"/>
              </w:rPr>
            </w:pPr>
            <w:r>
              <w:rPr>
                <w:rFonts w:eastAsia="Times New Roman"/>
                <w:sz w:val="20"/>
                <w:szCs w:val="20"/>
              </w:rPr>
              <w:t>182</w:t>
            </w:r>
          </w:p>
        </w:tc>
      </w:tr>
      <w:tr w:rsidR="00AD41C2" w:rsidTr="00BB5F46">
        <w:trPr>
          <w:trHeight w:val="351"/>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sz w:val="20"/>
                <w:szCs w:val="20"/>
              </w:rPr>
            </w:pPr>
            <w:r w:rsidRPr="007932C0">
              <w:rPr>
                <w:rFonts w:eastAsia="Times New Roman"/>
                <w:sz w:val="20"/>
                <w:szCs w:val="20"/>
              </w:rPr>
              <w:t>10-14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356</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179</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177</w:t>
            </w:r>
          </w:p>
        </w:tc>
      </w:tr>
      <w:tr w:rsidR="00AD41C2" w:rsidTr="00BB5F46">
        <w:trPr>
          <w:trHeight w:val="337"/>
        </w:trPr>
        <w:tc>
          <w:tcPr>
            <w:tcW w:w="1250" w:type="pct"/>
            <w:tcBorders>
              <w:left w:val="nil"/>
              <w:bottom w:val="nil"/>
              <w:right w:val="single" w:sz="8" w:space="0" w:color="4F81BD"/>
            </w:tcBorders>
            <w:shd w:val="clear" w:color="auto" w:fill="FFFFFF"/>
            <w:noWrap/>
          </w:tcPr>
          <w:p w:rsidR="00AD41C2" w:rsidRPr="007932C0" w:rsidRDefault="00AD41C2" w:rsidP="00BB5F46">
            <w:pPr>
              <w:rPr>
                <w:rFonts w:eastAsia="Times New Roman"/>
                <w:sz w:val="20"/>
                <w:szCs w:val="20"/>
              </w:rPr>
            </w:pPr>
            <w:r w:rsidRPr="007932C0">
              <w:rPr>
                <w:rFonts w:eastAsia="Times New Roman"/>
                <w:sz w:val="20"/>
                <w:szCs w:val="20"/>
              </w:rPr>
              <w:t>15-19</w:t>
            </w:r>
          </w:p>
        </w:tc>
        <w:tc>
          <w:tcPr>
            <w:tcW w:w="1250" w:type="pct"/>
          </w:tcPr>
          <w:p w:rsidR="00AD41C2" w:rsidRPr="007932C0" w:rsidRDefault="00AD41C2" w:rsidP="00BB5F46">
            <w:pPr>
              <w:jc w:val="center"/>
              <w:rPr>
                <w:rFonts w:eastAsia="Times New Roman"/>
                <w:sz w:val="20"/>
                <w:szCs w:val="20"/>
              </w:rPr>
            </w:pPr>
            <w:r>
              <w:rPr>
                <w:rFonts w:eastAsia="Times New Roman"/>
                <w:sz w:val="20"/>
                <w:szCs w:val="20"/>
              </w:rPr>
              <w:t>359</w:t>
            </w:r>
          </w:p>
        </w:tc>
        <w:tc>
          <w:tcPr>
            <w:tcW w:w="1250" w:type="pct"/>
          </w:tcPr>
          <w:p w:rsidR="00AD41C2" w:rsidRPr="007932C0" w:rsidRDefault="00AD41C2" w:rsidP="00BB5F46">
            <w:pPr>
              <w:jc w:val="center"/>
              <w:rPr>
                <w:rFonts w:eastAsia="Times New Roman"/>
                <w:sz w:val="20"/>
                <w:szCs w:val="20"/>
              </w:rPr>
            </w:pPr>
            <w:r>
              <w:rPr>
                <w:rFonts w:eastAsia="Times New Roman"/>
                <w:sz w:val="20"/>
                <w:szCs w:val="20"/>
              </w:rPr>
              <w:t>151</w:t>
            </w:r>
          </w:p>
        </w:tc>
        <w:tc>
          <w:tcPr>
            <w:tcW w:w="1250" w:type="pct"/>
            <w:tcBorders>
              <w:top w:val="nil"/>
              <w:bottom w:val="nil"/>
              <w:right w:val="nil"/>
            </w:tcBorders>
          </w:tcPr>
          <w:p w:rsidR="00AD41C2" w:rsidRPr="007932C0" w:rsidRDefault="00AD41C2" w:rsidP="00BB5F46">
            <w:pPr>
              <w:jc w:val="center"/>
              <w:rPr>
                <w:rFonts w:eastAsia="Times New Roman"/>
                <w:sz w:val="20"/>
                <w:szCs w:val="20"/>
              </w:rPr>
            </w:pPr>
            <w:r>
              <w:rPr>
                <w:rFonts w:eastAsia="Times New Roman"/>
                <w:sz w:val="20"/>
                <w:szCs w:val="20"/>
              </w:rPr>
              <w:t>208</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sz w:val="20"/>
                <w:szCs w:val="20"/>
              </w:rPr>
            </w:pPr>
            <w:r w:rsidRPr="007932C0">
              <w:rPr>
                <w:rFonts w:eastAsia="Times New Roman"/>
                <w:sz w:val="20"/>
                <w:szCs w:val="20"/>
              </w:rPr>
              <w:t>20-24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453</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221</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sz w:val="20"/>
                <w:szCs w:val="20"/>
              </w:rPr>
            </w:pPr>
            <w:r>
              <w:rPr>
                <w:rFonts w:eastAsia="Times New Roman"/>
                <w:sz w:val="20"/>
                <w:szCs w:val="20"/>
              </w:rPr>
              <w:t>232</w:t>
            </w:r>
          </w:p>
        </w:tc>
      </w:tr>
      <w:tr w:rsidR="00AD41C2" w:rsidTr="00BB5F46">
        <w:trPr>
          <w:trHeight w:val="337"/>
        </w:trPr>
        <w:tc>
          <w:tcPr>
            <w:tcW w:w="1250" w:type="pct"/>
            <w:tcBorders>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sidRPr="007932C0">
              <w:rPr>
                <w:rFonts w:eastAsia="Times New Roman"/>
                <w:color w:val="000000"/>
                <w:sz w:val="20"/>
                <w:szCs w:val="20"/>
              </w:rPr>
              <w:t>25-29</w:t>
            </w:r>
          </w:p>
        </w:tc>
        <w:tc>
          <w:tcPr>
            <w:tcW w:w="1250" w:type="pct"/>
          </w:tcPr>
          <w:p w:rsidR="00AD41C2" w:rsidRPr="007932C0" w:rsidRDefault="00AD41C2" w:rsidP="00BB5F46">
            <w:pPr>
              <w:jc w:val="center"/>
              <w:rPr>
                <w:rFonts w:eastAsia="Times New Roman"/>
                <w:color w:val="000000"/>
                <w:sz w:val="20"/>
                <w:szCs w:val="20"/>
              </w:rPr>
            </w:pPr>
            <w:r>
              <w:rPr>
                <w:rFonts w:eastAsia="Times New Roman"/>
                <w:color w:val="000000"/>
                <w:sz w:val="20"/>
                <w:szCs w:val="20"/>
              </w:rPr>
              <w:t>563</w:t>
            </w:r>
          </w:p>
        </w:tc>
        <w:tc>
          <w:tcPr>
            <w:tcW w:w="1250" w:type="pct"/>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254</w:t>
            </w:r>
          </w:p>
        </w:tc>
        <w:tc>
          <w:tcPr>
            <w:tcW w:w="1250" w:type="pct"/>
            <w:tcBorders>
              <w:right w:val="nil"/>
            </w:tcBorders>
          </w:tcPr>
          <w:p w:rsidR="00AD41C2" w:rsidRPr="007932C0" w:rsidRDefault="00AD41C2" w:rsidP="00BB5F46">
            <w:pPr>
              <w:jc w:val="center"/>
              <w:rPr>
                <w:rFonts w:eastAsia="Times New Roman"/>
                <w:color w:val="000000"/>
                <w:sz w:val="20"/>
                <w:szCs w:val="20"/>
              </w:rPr>
            </w:pPr>
            <w:r>
              <w:rPr>
                <w:rFonts w:eastAsia="Times New Roman"/>
                <w:color w:val="000000"/>
                <w:sz w:val="20"/>
                <w:szCs w:val="20"/>
              </w:rPr>
              <w:t>309</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sidRPr="007932C0">
              <w:rPr>
                <w:rFonts w:eastAsia="Times New Roman"/>
                <w:color w:val="000000"/>
                <w:sz w:val="20"/>
                <w:szCs w:val="20"/>
              </w:rPr>
              <w:t>30-34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538</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243</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295</w:t>
            </w:r>
          </w:p>
        </w:tc>
      </w:tr>
      <w:tr w:rsidR="00AD41C2" w:rsidTr="00BB5F46">
        <w:trPr>
          <w:trHeight w:val="337"/>
        </w:trPr>
        <w:tc>
          <w:tcPr>
            <w:tcW w:w="1250" w:type="pct"/>
            <w:tcBorders>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sidRPr="007932C0">
              <w:rPr>
                <w:rFonts w:eastAsia="Times New Roman"/>
                <w:color w:val="000000"/>
                <w:sz w:val="20"/>
                <w:szCs w:val="20"/>
              </w:rPr>
              <w:t>35-39</w:t>
            </w:r>
          </w:p>
        </w:tc>
        <w:tc>
          <w:tcPr>
            <w:tcW w:w="1250" w:type="pct"/>
          </w:tcPr>
          <w:p w:rsidR="00AD41C2" w:rsidRPr="007932C0" w:rsidRDefault="00AD41C2" w:rsidP="00BB5F46">
            <w:pPr>
              <w:jc w:val="center"/>
              <w:rPr>
                <w:rFonts w:eastAsia="Times New Roman"/>
                <w:color w:val="000000"/>
                <w:sz w:val="20"/>
                <w:szCs w:val="20"/>
              </w:rPr>
            </w:pPr>
            <w:r>
              <w:rPr>
                <w:rFonts w:eastAsia="Times New Roman"/>
                <w:color w:val="000000"/>
                <w:sz w:val="20"/>
                <w:szCs w:val="20"/>
              </w:rPr>
              <w:t>521</w:t>
            </w:r>
          </w:p>
        </w:tc>
        <w:tc>
          <w:tcPr>
            <w:tcW w:w="1250" w:type="pct"/>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265</w:t>
            </w:r>
          </w:p>
        </w:tc>
        <w:tc>
          <w:tcPr>
            <w:tcW w:w="1250" w:type="pct"/>
            <w:tcBorders>
              <w:right w:val="nil"/>
            </w:tcBorders>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256</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sidRPr="007932C0">
              <w:rPr>
                <w:rFonts w:eastAsia="Times New Roman"/>
                <w:color w:val="000000"/>
                <w:sz w:val="20"/>
                <w:szCs w:val="20"/>
              </w:rPr>
              <w:t>40-44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489</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225</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264</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Pr>
                <w:rFonts w:eastAsia="Times New Roman"/>
                <w:color w:val="000000"/>
                <w:sz w:val="20"/>
                <w:szCs w:val="20"/>
              </w:rPr>
              <w:t>45-49</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421</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203</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218</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Pr>
                <w:rFonts w:eastAsia="Times New Roman"/>
                <w:color w:val="000000"/>
                <w:sz w:val="20"/>
                <w:szCs w:val="20"/>
              </w:rPr>
              <w:t>50-54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487</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245</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242</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Pr>
                <w:rFonts w:eastAsia="Times New Roman"/>
                <w:color w:val="000000"/>
                <w:sz w:val="20"/>
                <w:szCs w:val="20"/>
              </w:rPr>
              <w:t>55-59</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524</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272</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252</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Pr>
                <w:rFonts w:eastAsia="Times New Roman"/>
                <w:color w:val="000000"/>
                <w:sz w:val="20"/>
                <w:szCs w:val="20"/>
              </w:rPr>
              <w:t>60-64</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473</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245</w:t>
            </w:r>
          </w:p>
        </w:tc>
        <w:tc>
          <w:tcPr>
            <w:tcW w:w="1250" w:type="pct"/>
            <w:tcBorders>
              <w:top w:val="nil"/>
              <w:left w:val="nil"/>
              <w:bottom w:val="nil"/>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228</w:t>
            </w:r>
          </w:p>
        </w:tc>
      </w:tr>
      <w:tr w:rsidR="00AD41C2" w:rsidTr="00BB5F46">
        <w:trPr>
          <w:trHeight w:val="337"/>
        </w:trPr>
        <w:tc>
          <w:tcPr>
            <w:tcW w:w="1250" w:type="pct"/>
            <w:tcBorders>
              <w:top w:val="nil"/>
              <w:left w:val="nil"/>
              <w:bottom w:val="nil"/>
              <w:right w:val="single" w:sz="8" w:space="0" w:color="4F81BD"/>
            </w:tcBorders>
            <w:shd w:val="clear" w:color="auto" w:fill="FFFFFF"/>
            <w:noWrap/>
          </w:tcPr>
          <w:p w:rsidR="00AD41C2" w:rsidRPr="007932C0" w:rsidRDefault="00AD41C2" w:rsidP="00BB5F46">
            <w:pPr>
              <w:rPr>
                <w:rFonts w:eastAsia="Times New Roman"/>
                <w:color w:val="000000"/>
                <w:sz w:val="20"/>
                <w:szCs w:val="20"/>
              </w:rPr>
            </w:pPr>
            <w:r>
              <w:rPr>
                <w:rFonts w:eastAsia="Times New Roman"/>
                <w:color w:val="000000"/>
                <w:sz w:val="20"/>
                <w:szCs w:val="20"/>
              </w:rPr>
              <w:t>65-69</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331</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176</w:t>
            </w:r>
          </w:p>
        </w:tc>
        <w:tc>
          <w:tcPr>
            <w:tcW w:w="1250" w:type="pct"/>
            <w:tcBorders>
              <w:top w:val="nil"/>
              <w:left w:val="nil"/>
              <w:bottom w:val="nil"/>
              <w:right w:val="nil"/>
            </w:tcBorders>
            <w:shd w:val="clear" w:color="auto" w:fill="FFFFFF"/>
          </w:tcPr>
          <w:p w:rsidR="00AD41C2" w:rsidRPr="007932C0" w:rsidRDefault="00AD41C2" w:rsidP="00BB5F46">
            <w:pPr>
              <w:jc w:val="center"/>
              <w:rPr>
                <w:rFonts w:eastAsia="Times New Roman"/>
                <w:color w:val="000000"/>
                <w:sz w:val="20"/>
                <w:szCs w:val="20"/>
              </w:rPr>
            </w:pPr>
            <w:r>
              <w:rPr>
                <w:rFonts w:eastAsia="Times New Roman"/>
                <w:color w:val="000000"/>
                <w:sz w:val="20"/>
                <w:szCs w:val="20"/>
              </w:rPr>
              <w:t>155</w:t>
            </w:r>
          </w:p>
        </w:tc>
      </w:tr>
      <w:tr w:rsidR="00AD41C2" w:rsidTr="00BB5F46">
        <w:trPr>
          <w:trHeight w:val="337"/>
        </w:trPr>
        <w:tc>
          <w:tcPr>
            <w:tcW w:w="1250" w:type="pct"/>
            <w:tcBorders>
              <w:top w:val="nil"/>
              <w:left w:val="nil"/>
              <w:bottom w:val="single" w:sz="8" w:space="0" w:color="4F81BD"/>
              <w:right w:val="single" w:sz="8" w:space="0" w:color="4F81BD"/>
            </w:tcBorders>
            <w:shd w:val="clear" w:color="auto" w:fill="FFFFFF"/>
            <w:noWrap/>
          </w:tcPr>
          <w:p w:rsidR="00AD41C2" w:rsidRDefault="00AD41C2" w:rsidP="00BB5F46">
            <w:pPr>
              <w:rPr>
                <w:rFonts w:eastAsia="Times New Roman"/>
                <w:color w:val="000000"/>
                <w:sz w:val="20"/>
                <w:szCs w:val="20"/>
              </w:rPr>
            </w:pPr>
            <w:r>
              <w:rPr>
                <w:rFonts w:eastAsia="Times New Roman"/>
                <w:color w:val="000000"/>
                <w:sz w:val="20"/>
                <w:szCs w:val="20"/>
              </w:rPr>
              <w:t>70 i więcej</w:t>
            </w:r>
          </w:p>
        </w:tc>
        <w:tc>
          <w:tcPr>
            <w:tcW w:w="1250" w:type="pct"/>
            <w:tcBorders>
              <w:top w:val="nil"/>
              <w:left w:val="nil"/>
              <w:bottom w:val="single" w:sz="8" w:space="0" w:color="4F81BD"/>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667</w:t>
            </w:r>
          </w:p>
        </w:tc>
        <w:tc>
          <w:tcPr>
            <w:tcW w:w="1250" w:type="pct"/>
            <w:tcBorders>
              <w:top w:val="nil"/>
              <w:left w:val="nil"/>
              <w:bottom w:val="single" w:sz="8" w:space="0" w:color="4F81BD"/>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424</w:t>
            </w:r>
          </w:p>
        </w:tc>
        <w:tc>
          <w:tcPr>
            <w:tcW w:w="1250" w:type="pct"/>
            <w:tcBorders>
              <w:top w:val="nil"/>
              <w:left w:val="nil"/>
              <w:bottom w:val="single" w:sz="8" w:space="0" w:color="4F81BD"/>
              <w:right w:val="nil"/>
            </w:tcBorders>
            <w:shd w:val="clear" w:color="auto" w:fill="D3DFEE"/>
          </w:tcPr>
          <w:p w:rsidR="00AD41C2" w:rsidRPr="007932C0" w:rsidRDefault="00AD41C2" w:rsidP="00BB5F46">
            <w:pPr>
              <w:jc w:val="center"/>
              <w:rPr>
                <w:rFonts w:eastAsia="Times New Roman"/>
                <w:color w:val="000000"/>
                <w:sz w:val="20"/>
                <w:szCs w:val="20"/>
              </w:rPr>
            </w:pPr>
            <w:r>
              <w:rPr>
                <w:rFonts w:eastAsia="Times New Roman"/>
                <w:color w:val="000000"/>
                <w:sz w:val="20"/>
                <w:szCs w:val="20"/>
              </w:rPr>
              <w:t>243</w:t>
            </w:r>
          </w:p>
        </w:tc>
      </w:tr>
      <w:tr w:rsidR="00AD41C2" w:rsidTr="00BB5F46">
        <w:trPr>
          <w:trHeight w:val="337"/>
        </w:trPr>
        <w:tc>
          <w:tcPr>
            <w:tcW w:w="1250" w:type="pct"/>
            <w:tcBorders>
              <w:top w:val="single" w:sz="8" w:space="0" w:color="4F81BD"/>
              <w:left w:val="nil"/>
              <w:bottom w:val="nil"/>
              <w:right w:val="nil"/>
            </w:tcBorders>
            <w:shd w:val="clear" w:color="auto" w:fill="FFFFFF"/>
            <w:noWrap/>
          </w:tcPr>
          <w:p w:rsidR="00AD41C2" w:rsidRDefault="00AD41C2" w:rsidP="00BB5F46">
            <w:pPr>
              <w:rPr>
                <w:rFonts w:eastAsia="Times New Roman"/>
                <w:color w:val="000000"/>
                <w:sz w:val="20"/>
                <w:szCs w:val="20"/>
              </w:rPr>
            </w:pPr>
            <w:r>
              <w:rPr>
                <w:rFonts w:eastAsia="Times New Roman"/>
                <w:color w:val="000000"/>
                <w:sz w:val="20"/>
                <w:szCs w:val="20"/>
              </w:rPr>
              <w:t>OGÓŁEM</w:t>
            </w:r>
          </w:p>
        </w:tc>
        <w:tc>
          <w:tcPr>
            <w:tcW w:w="1250" w:type="pct"/>
            <w:tcBorders>
              <w:top w:val="single" w:sz="8" w:space="0" w:color="4F81BD"/>
              <w:left w:val="nil"/>
              <w:bottom w:val="nil"/>
              <w:right w:val="nil"/>
            </w:tcBorders>
            <w:shd w:val="clear" w:color="auto" w:fill="FFFFFF"/>
          </w:tcPr>
          <w:p w:rsidR="00AD41C2" w:rsidRDefault="00AD41C2" w:rsidP="00BB5F46">
            <w:pPr>
              <w:jc w:val="center"/>
              <w:rPr>
                <w:rFonts w:eastAsia="Times New Roman"/>
                <w:color w:val="000000"/>
                <w:sz w:val="20"/>
                <w:szCs w:val="20"/>
              </w:rPr>
            </w:pPr>
            <w:r>
              <w:rPr>
                <w:rFonts w:eastAsia="Times New Roman"/>
                <w:color w:val="000000"/>
                <w:sz w:val="20"/>
                <w:szCs w:val="20"/>
              </w:rPr>
              <w:t>6886</w:t>
            </w:r>
          </w:p>
        </w:tc>
        <w:tc>
          <w:tcPr>
            <w:tcW w:w="1250" w:type="pct"/>
            <w:tcBorders>
              <w:top w:val="single" w:sz="8" w:space="0" w:color="4F81BD"/>
              <w:left w:val="nil"/>
              <w:bottom w:val="nil"/>
              <w:right w:val="nil"/>
            </w:tcBorders>
            <w:shd w:val="clear" w:color="auto" w:fill="FFFFFF"/>
          </w:tcPr>
          <w:p w:rsidR="00AD41C2" w:rsidRDefault="00AD41C2" w:rsidP="00BB5F46">
            <w:pPr>
              <w:jc w:val="center"/>
              <w:rPr>
                <w:rFonts w:eastAsia="Times New Roman"/>
                <w:color w:val="000000"/>
                <w:sz w:val="20"/>
                <w:szCs w:val="20"/>
              </w:rPr>
            </w:pPr>
            <w:r>
              <w:rPr>
                <w:rFonts w:eastAsia="Times New Roman"/>
                <w:color w:val="000000"/>
                <w:sz w:val="20"/>
                <w:szCs w:val="20"/>
              </w:rPr>
              <w:t>3450</w:t>
            </w:r>
          </w:p>
        </w:tc>
        <w:tc>
          <w:tcPr>
            <w:tcW w:w="1250" w:type="pct"/>
            <w:tcBorders>
              <w:top w:val="single" w:sz="8" w:space="0" w:color="4F81BD"/>
              <w:left w:val="nil"/>
              <w:bottom w:val="nil"/>
              <w:right w:val="nil"/>
            </w:tcBorders>
            <w:shd w:val="clear" w:color="auto" w:fill="FFFFFF"/>
          </w:tcPr>
          <w:p w:rsidR="00AD41C2" w:rsidRDefault="00AD41C2" w:rsidP="00BB5F46">
            <w:pPr>
              <w:jc w:val="center"/>
              <w:rPr>
                <w:rFonts w:eastAsia="Times New Roman"/>
                <w:color w:val="000000"/>
                <w:sz w:val="20"/>
                <w:szCs w:val="20"/>
              </w:rPr>
            </w:pPr>
            <w:r>
              <w:rPr>
                <w:rFonts w:eastAsia="Times New Roman"/>
                <w:color w:val="000000"/>
                <w:sz w:val="20"/>
                <w:szCs w:val="20"/>
              </w:rPr>
              <w:t>3436</w:t>
            </w:r>
          </w:p>
        </w:tc>
      </w:tr>
    </w:tbl>
    <w:p w:rsidR="00AD41C2" w:rsidRPr="006C120E" w:rsidRDefault="00AD41C2" w:rsidP="00AD41C2">
      <w:pPr>
        <w:spacing w:line="240" w:lineRule="auto"/>
        <w:rPr>
          <w:sz w:val="20"/>
          <w:szCs w:val="20"/>
        </w:rPr>
      </w:pPr>
      <w:r w:rsidRPr="006C120E">
        <w:rPr>
          <w:sz w:val="20"/>
          <w:szCs w:val="20"/>
        </w:rPr>
        <w:t>Źródło: Opracowanie własne, Bank Danych Lokalnych GUS</w:t>
      </w:r>
    </w:p>
    <w:p w:rsidR="00AD41C2" w:rsidRDefault="00AD41C2" w:rsidP="00AD41C2">
      <w:r>
        <w:t xml:space="preserve">Tabela </w:t>
      </w:r>
      <w:r w:rsidR="009F6DE0">
        <w:t>3</w:t>
      </w:r>
      <w:r>
        <w:t xml:space="preserve"> prezentuje strukturę ludności w podziale na wiek i płeć. Według danych GUS, ludność w wieku produkcyjnym (od 15 do 64 roku życia) stanowi 66,5% mieszkańców gminy. Wśród osób w omawianej grupie wiekowej, nieznacznie większą, stanowiącą 60,5% populacji gminy, jest grupa osób w </w:t>
      </w:r>
      <w:proofErr w:type="spellStart"/>
      <w:r>
        <w:t>niemobilnym</w:t>
      </w:r>
      <w:proofErr w:type="spellEnd"/>
      <w:r>
        <w:t xml:space="preserve"> wieku produkcyjnym (do 45 roku życia), czyli osób, które nie są już chętne do zmian miejsca pracy, dokształcania, a także przekwalifikowywania się. Wskaźnik obciążenia demograficznego dla gminy Herby, czyli stosunku liczby osób w wieku produkcyjnym i nieprodukcyjnym, wynosi 58,1, co oznacza, że na 100 osób w wieku produkcyjnym przypada </w:t>
      </w:r>
      <w:r>
        <w:lastRenderedPageBreak/>
        <w:t xml:space="preserve">58,1 osób w wieku nieprodukcyjnym. Prognozy dotyczące kształtowania się liczby osób w wieku produkcyjnym mają duże znaczenie dla rozwoju gospodarczego, pozwalają one bowiem przewidywać obciążenie systemu zabezpieczeń społecznych, zasobów czynnika pracy, jak również zasobów żłobków, przedszkoli oraz szkół. </w:t>
      </w:r>
    </w:p>
    <w:p w:rsidR="006C120E" w:rsidRPr="00EF0785" w:rsidRDefault="006C120E" w:rsidP="006C120E">
      <w:pPr>
        <w:pStyle w:val="Legenda"/>
        <w:keepNext/>
        <w:ind w:firstLine="0"/>
        <w:rPr>
          <w:color w:val="auto"/>
        </w:rPr>
      </w:pPr>
      <w:bookmarkStart w:id="30" w:name="_Toc436586226"/>
      <w:r w:rsidRPr="00EF0785">
        <w:rPr>
          <w:color w:val="auto"/>
        </w:rPr>
        <w:t xml:space="preserve">Tabela </w:t>
      </w:r>
      <w:r w:rsidR="00844CE4" w:rsidRPr="00EF0785">
        <w:rPr>
          <w:color w:val="auto"/>
        </w:rPr>
        <w:fldChar w:fldCharType="begin"/>
      </w:r>
      <w:r w:rsidR="006E6F7F" w:rsidRPr="00EF0785">
        <w:rPr>
          <w:color w:val="auto"/>
        </w:rPr>
        <w:instrText xml:space="preserve"> SEQ Tabela \* ARABIC </w:instrText>
      </w:r>
      <w:r w:rsidR="00844CE4" w:rsidRPr="00EF0785">
        <w:rPr>
          <w:color w:val="auto"/>
        </w:rPr>
        <w:fldChar w:fldCharType="separate"/>
      </w:r>
      <w:r w:rsidR="005C42FD">
        <w:rPr>
          <w:noProof/>
          <w:color w:val="auto"/>
        </w:rPr>
        <w:t>4</w:t>
      </w:r>
      <w:r w:rsidR="00844CE4" w:rsidRPr="00EF0785">
        <w:rPr>
          <w:noProof/>
          <w:color w:val="auto"/>
        </w:rPr>
        <w:fldChar w:fldCharType="end"/>
      </w:r>
      <w:r w:rsidR="00AA43FE">
        <w:rPr>
          <w:noProof/>
          <w:color w:val="auto"/>
        </w:rPr>
        <w:t xml:space="preserve"> </w:t>
      </w:r>
      <w:r w:rsidRPr="00EF0785">
        <w:rPr>
          <w:color w:val="auto"/>
        </w:rPr>
        <w:t>Struktura ludności w wieku przedprodukcyjnym, produkcyjnym i poprodukcyjnym</w:t>
      </w:r>
      <w:bookmarkEnd w:id="30"/>
    </w:p>
    <w:tbl>
      <w:tblPr>
        <w:tblW w:w="4246" w:type="pct"/>
        <w:tblInd w:w="443" w:type="dxa"/>
        <w:tblBorders>
          <w:top w:val="single" w:sz="8" w:space="0" w:color="4F81BD"/>
          <w:left w:val="single" w:sz="8" w:space="0" w:color="4F81BD"/>
          <w:bottom w:val="single" w:sz="8" w:space="0" w:color="4F81BD"/>
          <w:right w:val="single" w:sz="8" w:space="0" w:color="4F81BD"/>
        </w:tblBorders>
        <w:tblLayout w:type="fixed"/>
        <w:tblLook w:val="04A0"/>
      </w:tblPr>
      <w:tblGrid>
        <w:gridCol w:w="3388"/>
        <w:gridCol w:w="1666"/>
        <w:gridCol w:w="1275"/>
        <w:gridCol w:w="1558"/>
      </w:tblGrid>
      <w:tr w:rsidR="00AD41C2" w:rsidRPr="005A51E6" w:rsidTr="006C120E">
        <w:tc>
          <w:tcPr>
            <w:tcW w:w="2148" w:type="pct"/>
            <w:shd w:val="clear" w:color="auto" w:fill="FFFFFF"/>
            <w:noWrap/>
          </w:tcPr>
          <w:p w:rsidR="00AD41C2" w:rsidRPr="005A51E6" w:rsidRDefault="00AD41C2" w:rsidP="00BB5F46">
            <w:pPr>
              <w:spacing w:line="240" w:lineRule="auto"/>
              <w:rPr>
                <w:rFonts w:eastAsia="Times New Roman"/>
                <w:sz w:val="20"/>
                <w:szCs w:val="20"/>
              </w:rPr>
            </w:pPr>
          </w:p>
          <w:p w:rsidR="00AD41C2" w:rsidRPr="005A51E6" w:rsidRDefault="00AD41C2" w:rsidP="00BB5F46">
            <w:pPr>
              <w:rPr>
                <w:rFonts w:eastAsia="Times New Roman"/>
                <w:sz w:val="20"/>
                <w:szCs w:val="20"/>
              </w:rPr>
            </w:pPr>
            <w:r w:rsidRPr="005A51E6">
              <w:rPr>
                <w:rFonts w:eastAsia="Times New Roman"/>
                <w:sz w:val="20"/>
                <w:szCs w:val="20"/>
              </w:rPr>
              <w:t>Struktura ludności</w:t>
            </w:r>
          </w:p>
        </w:tc>
        <w:tc>
          <w:tcPr>
            <w:tcW w:w="1056" w:type="pct"/>
            <w:shd w:val="clear" w:color="auto" w:fill="FFFFFF"/>
          </w:tcPr>
          <w:p w:rsidR="00AD41C2" w:rsidRPr="005A51E6" w:rsidRDefault="00AD41C2" w:rsidP="00BB5F46">
            <w:pPr>
              <w:jc w:val="center"/>
              <w:rPr>
                <w:rFonts w:eastAsia="Times New Roman"/>
                <w:sz w:val="20"/>
                <w:szCs w:val="20"/>
              </w:rPr>
            </w:pPr>
          </w:p>
          <w:p w:rsidR="00AD41C2" w:rsidRPr="005A51E6" w:rsidRDefault="00AD41C2" w:rsidP="00BB5F46">
            <w:pPr>
              <w:ind w:firstLine="413"/>
              <w:jc w:val="center"/>
              <w:rPr>
                <w:rFonts w:eastAsia="Times New Roman"/>
                <w:sz w:val="20"/>
                <w:szCs w:val="20"/>
              </w:rPr>
            </w:pPr>
            <w:r w:rsidRPr="005A51E6">
              <w:rPr>
                <w:rFonts w:eastAsia="Times New Roman"/>
                <w:sz w:val="20"/>
                <w:szCs w:val="20"/>
              </w:rPr>
              <w:t>ogółem</w:t>
            </w:r>
          </w:p>
        </w:tc>
        <w:tc>
          <w:tcPr>
            <w:tcW w:w="808" w:type="pct"/>
            <w:shd w:val="clear" w:color="auto" w:fill="FFFFFF"/>
          </w:tcPr>
          <w:p w:rsidR="00AD41C2" w:rsidRPr="005A51E6" w:rsidRDefault="00AD41C2" w:rsidP="00BB5F46">
            <w:pPr>
              <w:jc w:val="center"/>
              <w:rPr>
                <w:rFonts w:eastAsia="Times New Roman"/>
                <w:sz w:val="20"/>
                <w:szCs w:val="20"/>
              </w:rPr>
            </w:pPr>
          </w:p>
          <w:p w:rsidR="00AD41C2" w:rsidRPr="005A51E6" w:rsidRDefault="00AD41C2" w:rsidP="00BB5F46">
            <w:pPr>
              <w:ind w:firstLine="292"/>
              <w:jc w:val="center"/>
              <w:rPr>
                <w:rFonts w:eastAsia="Times New Roman"/>
                <w:sz w:val="20"/>
                <w:szCs w:val="20"/>
              </w:rPr>
            </w:pPr>
            <w:r w:rsidRPr="005A51E6">
              <w:rPr>
                <w:rFonts w:eastAsia="Times New Roman"/>
                <w:sz w:val="20"/>
                <w:szCs w:val="20"/>
              </w:rPr>
              <w:t>kobiety</w:t>
            </w:r>
          </w:p>
        </w:tc>
        <w:tc>
          <w:tcPr>
            <w:tcW w:w="988" w:type="pct"/>
            <w:shd w:val="clear" w:color="auto" w:fill="FFFFFF"/>
          </w:tcPr>
          <w:p w:rsidR="00AD41C2" w:rsidRPr="005A51E6" w:rsidRDefault="00AD41C2" w:rsidP="00BB5F46">
            <w:pPr>
              <w:jc w:val="center"/>
              <w:rPr>
                <w:rFonts w:eastAsia="Times New Roman"/>
                <w:sz w:val="20"/>
                <w:szCs w:val="20"/>
              </w:rPr>
            </w:pPr>
          </w:p>
          <w:p w:rsidR="00AD41C2" w:rsidRPr="005A51E6" w:rsidRDefault="00AD41C2" w:rsidP="00BB5F46">
            <w:pPr>
              <w:ind w:firstLine="171"/>
              <w:jc w:val="center"/>
              <w:rPr>
                <w:rFonts w:eastAsia="Times New Roman"/>
                <w:sz w:val="20"/>
                <w:szCs w:val="20"/>
              </w:rPr>
            </w:pPr>
            <w:r w:rsidRPr="005A51E6">
              <w:rPr>
                <w:rFonts w:eastAsia="Times New Roman"/>
                <w:sz w:val="20"/>
                <w:szCs w:val="20"/>
              </w:rPr>
              <w:t>mężczyźni</w:t>
            </w:r>
          </w:p>
        </w:tc>
      </w:tr>
      <w:tr w:rsidR="00AD41C2" w:rsidRPr="005A51E6" w:rsidTr="006C120E">
        <w:tc>
          <w:tcPr>
            <w:tcW w:w="2148" w:type="pct"/>
            <w:shd w:val="clear" w:color="auto" w:fill="FFFFFF"/>
            <w:noWrap/>
          </w:tcPr>
          <w:p w:rsidR="00AD41C2" w:rsidRPr="005A51E6" w:rsidRDefault="00AD41C2" w:rsidP="00BB5F46">
            <w:pPr>
              <w:rPr>
                <w:rFonts w:eastAsia="Times New Roman"/>
                <w:sz w:val="20"/>
                <w:szCs w:val="20"/>
              </w:rPr>
            </w:pPr>
            <w:r w:rsidRPr="005A51E6">
              <w:rPr>
                <w:rFonts w:eastAsia="Times New Roman"/>
                <w:sz w:val="20"/>
                <w:szCs w:val="20"/>
              </w:rPr>
              <w:t>Wiek przedprodukcyjny (0-14)</w:t>
            </w:r>
          </w:p>
        </w:tc>
        <w:tc>
          <w:tcPr>
            <w:tcW w:w="1056" w:type="pct"/>
            <w:shd w:val="clear" w:color="auto" w:fill="D3DFEE"/>
          </w:tcPr>
          <w:p w:rsidR="00AD41C2" w:rsidRPr="005A51E6" w:rsidRDefault="00AD41C2" w:rsidP="00BB5F46">
            <w:pPr>
              <w:jc w:val="center"/>
              <w:rPr>
                <w:rFonts w:eastAsia="Times New Roman"/>
                <w:sz w:val="20"/>
                <w:szCs w:val="20"/>
              </w:rPr>
            </w:pPr>
            <w:r w:rsidRPr="005A51E6">
              <w:rPr>
                <w:rFonts w:eastAsia="Times New Roman"/>
                <w:sz w:val="20"/>
                <w:szCs w:val="20"/>
              </w:rPr>
              <w:t>1060</w:t>
            </w:r>
          </w:p>
        </w:tc>
        <w:tc>
          <w:tcPr>
            <w:tcW w:w="808" w:type="pct"/>
            <w:shd w:val="clear" w:color="auto" w:fill="D3DFEE"/>
          </w:tcPr>
          <w:p w:rsidR="00AD41C2" w:rsidRPr="005A51E6" w:rsidRDefault="00AD41C2" w:rsidP="00BB5F46">
            <w:pPr>
              <w:ind w:firstLine="457"/>
              <w:jc w:val="center"/>
              <w:rPr>
                <w:rFonts w:eastAsia="Times New Roman"/>
                <w:sz w:val="20"/>
                <w:szCs w:val="20"/>
              </w:rPr>
            </w:pPr>
            <w:r w:rsidRPr="005A51E6">
              <w:rPr>
                <w:rFonts w:eastAsia="Times New Roman"/>
                <w:sz w:val="20"/>
                <w:szCs w:val="20"/>
              </w:rPr>
              <w:t>526</w:t>
            </w:r>
          </w:p>
        </w:tc>
        <w:tc>
          <w:tcPr>
            <w:tcW w:w="988" w:type="pct"/>
            <w:shd w:val="clear" w:color="auto" w:fill="D3DFEE"/>
          </w:tcPr>
          <w:p w:rsidR="00AD41C2" w:rsidRPr="005A51E6" w:rsidRDefault="00AD41C2" w:rsidP="00BB5F46">
            <w:pPr>
              <w:jc w:val="center"/>
              <w:rPr>
                <w:rFonts w:eastAsia="Times New Roman"/>
                <w:sz w:val="20"/>
                <w:szCs w:val="20"/>
              </w:rPr>
            </w:pPr>
            <w:r w:rsidRPr="005A51E6">
              <w:rPr>
                <w:rFonts w:eastAsia="Times New Roman"/>
                <w:sz w:val="20"/>
                <w:szCs w:val="20"/>
              </w:rPr>
              <w:t>534</w:t>
            </w:r>
          </w:p>
        </w:tc>
      </w:tr>
      <w:tr w:rsidR="00AD41C2" w:rsidRPr="005A51E6" w:rsidTr="006C120E">
        <w:tc>
          <w:tcPr>
            <w:tcW w:w="2148" w:type="pct"/>
            <w:shd w:val="clear" w:color="auto" w:fill="FFFFFF"/>
            <w:noWrap/>
          </w:tcPr>
          <w:p w:rsidR="00AD41C2" w:rsidRPr="005A51E6" w:rsidRDefault="00AD41C2" w:rsidP="00BB5F46">
            <w:pPr>
              <w:rPr>
                <w:rFonts w:eastAsia="Times New Roman"/>
                <w:sz w:val="20"/>
                <w:szCs w:val="20"/>
              </w:rPr>
            </w:pPr>
            <w:r w:rsidRPr="005A51E6">
              <w:rPr>
                <w:rFonts w:eastAsia="Times New Roman"/>
                <w:sz w:val="20"/>
                <w:szCs w:val="20"/>
              </w:rPr>
              <w:t>Wiek produkcyjny (15-64)</w:t>
            </w:r>
          </w:p>
        </w:tc>
        <w:tc>
          <w:tcPr>
            <w:tcW w:w="1056" w:type="pct"/>
          </w:tcPr>
          <w:p w:rsidR="00AD41C2" w:rsidRPr="005A51E6" w:rsidRDefault="00AD41C2" w:rsidP="00BB5F46">
            <w:pPr>
              <w:jc w:val="center"/>
              <w:rPr>
                <w:rFonts w:eastAsia="Times New Roman"/>
                <w:sz w:val="20"/>
                <w:szCs w:val="20"/>
              </w:rPr>
            </w:pPr>
            <w:r w:rsidRPr="005A51E6">
              <w:rPr>
                <w:rFonts w:eastAsia="Times New Roman"/>
                <w:sz w:val="20"/>
                <w:szCs w:val="20"/>
              </w:rPr>
              <w:t>4583</w:t>
            </w:r>
          </w:p>
        </w:tc>
        <w:tc>
          <w:tcPr>
            <w:tcW w:w="808" w:type="pct"/>
          </w:tcPr>
          <w:p w:rsidR="00AD41C2" w:rsidRPr="005A51E6" w:rsidRDefault="00AD41C2" w:rsidP="00BB5F46">
            <w:pPr>
              <w:ind w:firstLine="457"/>
              <w:jc w:val="center"/>
              <w:rPr>
                <w:rFonts w:eastAsia="Times New Roman"/>
                <w:sz w:val="20"/>
                <w:szCs w:val="20"/>
              </w:rPr>
            </w:pPr>
            <w:r w:rsidRPr="005A51E6">
              <w:rPr>
                <w:rFonts w:eastAsia="Times New Roman"/>
                <w:sz w:val="20"/>
                <w:szCs w:val="20"/>
              </w:rPr>
              <w:t>2079</w:t>
            </w:r>
          </w:p>
        </w:tc>
        <w:tc>
          <w:tcPr>
            <w:tcW w:w="988" w:type="pct"/>
          </w:tcPr>
          <w:p w:rsidR="00AD41C2" w:rsidRPr="005A51E6" w:rsidRDefault="00AD41C2" w:rsidP="00BB5F46">
            <w:pPr>
              <w:jc w:val="center"/>
              <w:rPr>
                <w:rFonts w:eastAsia="Times New Roman"/>
                <w:sz w:val="20"/>
                <w:szCs w:val="20"/>
              </w:rPr>
            </w:pPr>
            <w:r w:rsidRPr="005A51E6">
              <w:rPr>
                <w:rFonts w:eastAsia="Times New Roman"/>
                <w:sz w:val="20"/>
                <w:szCs w:val="20"/>
              </w:rPr>
              <w:t>2504</w:t>
            </w:r>
          </w:p>
        </w:tc>
      </w:tr>
      <w:tr w:rsidR="00AD41C2" w:rsidRPr="005A51E6" w:rsidTr="006C120E">
        <w:tc>
          <w:tcPr>
            <w:tcW w:w="2148" w:type="pct"/>
            <w:shd w:val="clear" w:color="auto" w:fill="FFFFFF"/>
            <w:noWrap/>
          </w:tcPr>
          <w:p w:rsidR="00AD41C2" w:rsidRPr="005A51E6" w:rsidRDefault="00AD41C2" w:rsidP="00BB5F46">
            <w:pPr>
              <w:rPr>
                <w:rFonts w:eastAsia="Times New Roman"/>
                <w:sz w:val="20"/>
                <w:szCs w:val="20"/>
              </w:rPr>
            </w:pPr>
            <w:r w:rsidRPr="005A51E6">
              <w:rPr>
                <w:rFonts w:eastAsia="Times New Roman"/>
                <w:sz w:val="20"/>
                <w:szCs w:val="20"/>
              </w:rPr>
              <w:t>Wiek poprodukcyjny (powyżej 64)</w:t>
            </w:r>
          </w:p>
        </w:tc>
        <w:tc>
          <w:tcPr>
            <w:tcW w:w="1056" w:type="pct"/>
            <w:shd w:val="clear" w:color="auto" w:fill="D3DFEE"/>
          </w:tcPr>
          <w:p w:rsidR="00AD41C2" w:rsidRPr="005A51E6" w:rsidRDefault="00AD41C2" w:rsidP="00BB5F46">
            <w:pPr>
              <w:jc w:val="center"/>
              <w:rPr>
                <w:rFonts w:eastAsia="Times New Roman"/>
                <w:sz w:val="20"/>
                <w:szCs w:val="20"/>
              </w:rPr>
            </w:pPr>
            <w:r>
              <w:rPr>
                <w:rFonts w:eastAsia="Times New Roman"/>
                <w:sz w:val="20"/>
                <w:szCs w:val="20"/>
              </w:rPr>
              <w:t>998</w:t>
            </w:r>
          </w:p>
        </w:tc>
        <w:tc>
          <w:tcPr>
            <w:tcW w:w="808" w:type="pct"/>
            <w:shd w:val="clear" w:color="auto" w:fill="D3DFEE"/>
          </w:tcPr>
          <w:p w:rsidR="00AD41C2" w:rsidRPr="005A51E6" w:rsidRDefault="00AD41C2" w:rsidP="00BB5F46">
            <w:pPr>
              <w:ind w:firstLine="457"/>
              <w:jc w:val="center"/>
              <w:rPr>
                <w:rFonts w:eastAsia="Times New Roman"/>
                <w:sz w:val="20"/>
                <w:szCs w:val="20"/>
              </w:rPr>
            </w:pPr>
            <w:r>
              <w:rPr>
                <w:rFonts w:eastAsia="Times New Roman"/>
                <w:sz w:val="20"/>
                <w:szCs w:val="20"/>
              </w:rPr>
              <w:t>600</w:t>
            </w:r>
          </w:p>
        </w:tc>
        <w:tc>
          <w:tcPr>
            <w:tcW w:w="988" w:type="pct"/>
            <w:shd w:val="clear" w:color="auto" w:fill="D3DFEE"/>
          </w:tcPr>
          <w:p w:rsidR="00AD41C2" w:rsidRPr="005A51E6" w:rsidRDefault="00AD41C2" w:rsidP="00BB5F46">
            <w:pPr>
              <w:jc w:val="center"/>
              <w:rPr>
                <w:rFonts w:eastAsia="Times New Roman"/>
                <w:sz w:val="20"/>
                <w:szCs w:val="20"/>
              </w:rPr>
            </w:pPr>
            <w:r>
              <w:rPr>
                <w:rFonts w:eastAsia="Times New Roman"/>
                <w:sz w:val="20"/>
                <w:szCs w:val="20"/>
              </w:rPr>
              <w:t>398</w:t>
            </w:r>
          </w:p>
        </w:tc>
      </w:tr>
    </w:tbl>
    <w:p w:rsidR="00AD41C2" w:rsidRDefault="00AD41C2" w:rsidP="00AD41C2">
      <w:pPr>
        <w:pStyle w:val="Legenda"/>
      </w:pPr>
    </w:p>
    <w:p w:rsidR="00AD41C2" w:rsidRPr="006C120E" w:rsidRDefault="00AD41C2" w:rsidP="00AD41C2">
      <w:pPr>
        <w:ind w:firstLine="284"/>
        <w:rPr>
          <w:sz w:val="20"/>
          <w:szCs w:val="20"/>
        </w:rPr>
      </w:pPr>
      <w:r w:rsidRPr="006C120E">
        <w:rPr>
          <w:sz w:val="20"/>
          <w:szCs w:val="20"/>
        </w:rPr>
        <w:t xml:space="preserve">Źródło: Opracowanie własne, Bank Danych Lokalnych GUS, 31.XII. 2014 r. </w:t>
      </w:r>
    </w:p>
    <w:p w:rsidR="00AD41C2" w:rsidRDefault="00AD41C2" w:rsidP="00AD41C2">
      <w:pPr>
        <w:spacing w:line="240" w:lineRule="auto"/>
      </w:pPr>
    </w:p>
    <w:p w:rsidR="00AD41C2" w:rsidRDefault="00AD41C2" w:rsidP="00AD41C2">
      <w:r>
        <w:t xml:space="preserve">Przyrost naturalny, czyli różnica między liczbą urodzeń i zgonów w badanym okresie, był równy 11. Warto podkreślić, że w Polsce w 2014 roku odnotowano dodatni przyrost naturalny. Było to spowodowane mniejszą niż w poprzednim roku liczbą zgonów oraz niewielkim niż w poprzednich latach wzrostem liczby urodzeń. Podobnie sytuacja kształtowała się również w gminie Herby. Współczynnik przyrostu naturalnego (liczony na 1000 osób) wyniósł 1,59‰, gdy w Polsce współczynnik ten oszacowano na 0,1‰. Współczynnik przyrostu naturalnego przyjmuje od wielu lat niskie wartości. Jest to konsekwencja wydłużania się życia ludzkiego oraz zmniejszenia skłonności do posiadania dziecka lub odkładania decyzji o jego urodzeniu. W 2014 roku współczynnik dzietności ogólnej na obszarze gminy wyniósł 0,29, co oznacza, że na 100 kobiet w wieku rozrodczym – pomiędzy 15. a 49. rokiem życia – przypadało 29 urodzonych dzieci. Należy podkreślić, że wartość optymalna współczynnika, uznawana za korzystną dla stabilnego rozwoju demograficznego, to 2,10-2,15, czyli gdy na 100 kobiet w wieku rozrodczym przypada średnio 210-215 urodzonych dzieci. </w:t>
      </w:r>
    </w:p>
    <w:p w:rsidR="00AD41C2" w:rsidRPr="005021E6" w:rsidRDefault="00AD41C2" w:rsidP="00AD41C2">
      <w:pPr>
        <w:keepNext/>
        <w:spacing w:line="240" w:lineRule="auto"/>
        <w:rPr>
          <w:sz w:val="16"/>
          <w:szCs w:val="16"/>
        </w:rPr>
      </w:pPr>
    </w:p>
    <w:p w:rsidR="00AD41C2" w:rsidRDefault="00AD41C2" w:rsidP="00AD41C2">
      <w:pPr>
        <w:rPr>
          <w:noProof/>
          <w:lang w:eastAsia="pl-PL"/>
        </w:rPr>
      </w:pPr>
      <w:r>
        <w:rPr>
          <w:noProof/>
          <w:lang w:eastAsia="pl-PL"/>
        </w:rPr>
        <w:drawing>
          <wp:inline distT="0" distB="0" distL="0" distR="0">
            <wp:extent cx="4148837" cy="2691378"/>
            <wp:effectExtent l="8470" t="4197" r="5118" b="0"/>
            <wp:docPr id="7"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41C2" w:rsidRPr="00CB1052" w:rsidRDefault="00AD41C2" w:rsidP="00AD41C2">
      <w:pPr>
        <w:pStyle w:val="Legenda"/>
        <w:ind w:firstLine="0"/>
        <w:rPr>
          <w:color w:val="auto"/>
        </w:rPr>
      </w:pPr>
      <w:bookmarkStart w:id="31" w:name="_Toc429726507"/>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5</w:t>
      </w:r>
      <w:r w:rsidR="00844CE4">
        <w:rPr>
          <w:color w:val="auto"/>
        </w:rPr>
        <w:fldChar w:fldCharType="end"/>
      </w:r>
      <w:r w:rsidRPr="00CB1052">
        <w:rPr>
          <w:color w:val="auto"/>
        </w:rPr>
        <w:t xml:space="preserve"> Ruch naturalny wg płci</w:t>
      </w:r>
      <w:bookmarkEnd w:id="31"/>
    </w:p>
    <w:p w:rsidR="00AD41C2" w:rsidRPr="00EA1FB2" w:rsidRDefault="00AD41C2" w:rsidP="00AD41C2">
      <w:pPr>
        <w:jc w:val="left"/>
        <w:rPr>
          <w:i/>
          <w:sz w:val="20"/>
          <w:szCs w:val="20"/>
        </w:rPr>
      </w:pPr>
      <w:r w:rsidRPr="00B47951">
        <w:rPr>
          <w:i/>
          <w:sz w:val="20"/>
          <w:szCs w:val="20"/>
        </w:rPr>
        <w:t xml:space="preserve">Źródło: </w:t>
      </w:r>
      <w:r>
        <w:rPr>
          <w:i/>
          <w:sz w:val="20"/>
          <w:szCs w:val="20"/>
        </w:rPr>
        <w:t xml:space="preserve">Opracowanie własne, </w:t>
      </w:r>
      <w:r w:rsidRPr="00B47951">
        <w:rPr>
          <w:i/>
          <w:sz w:val="20"/>
          <w:szCs w:val="20"/>
        </w:rPr>
        <w:t>Bank Danych Lokalnych GUS</w:t>
      </w:r>
      <w:r>
        <w:rPr>
          <w:i/>
          <w:sz w:val="20"/>
          <w:szCs w:val="20"/>
        </w:rPr>
        <w:t>, 31.XII.2014 r.</w:t>
      </w:r>
      <w:r>
        <w:rPr>
          <w:i/>
          <w:sz w:val="20"/>
          <w:szCs w:val="20"/>
        </w:rPr>
        <w:br w:type="textWrapping" w:clear="all"/>
      </w:r>
    </w:p>
    <w:p w:rsidR="00AD41C2" w:rsidRDefault="0039014D" w:rsidP="00A10D06">
      <w:pPr>
        <w:pStyle w:val="Nagwek3"/>
        <w:numPr>
          <w:ilvl w:val="2"/>
          <w:numId w:val="1"/>
        </w:numPr>
      </w:pPr>
      <w:bookmarkStart w:id="32" w:name="_Toc438118365"/>
      <w:r>
        <w:t>Migracje</w:t>
      </w:r>
      <w:bookmarkEnd w:id="32"/>
    </w:p>
    <w:p w:rsidR="00106E36" w:rsidRPr="00106E36" w:rsidRDefault="00106E36" w:rsidP="00AD41C2">
      <w:pPr>
        <w:pStyle w:val="Nagwek3"/>
        <w:ind w:left="720"/>
      </w:pPr>
    </w:p>
    <w:p w:rsidR="0039014D" w:rsidRDefault="0039014D" w:rsidP="0039014D">
      <w:r>
        <w:t xml:space="preserve">Istotnym powodem zmian liczby ludności, poza przyrostem naturalnym, jest także wpływ migracji zewnętrznych. Polska należy do krajów europejskich, w których przy jednoczesnym wzroście skali emigracji Polaków do państw członkowskich Unii Europejskiej, migracje cudzoziemców (szczególnie obywateli państw trzecich graniczących z Rzeczpospolitą Polską) nabierają coraz większego znaczenia. </w:t>
      </w:r>
      <w:r w:rsidRPr="00BD21F5">
        <w:t xml:space="preserve">Występujące na ternie gminy migracje ludności nie są </w:t>
      </w:r>
      <w:r>
        <w:t>typowymi migracjami zarobkowymi –</w:t>
      </w:r>
      <w:r w:rsidRPr="00BD21F5">
        <w:t xml:space="preserve"> mają</w:t>
      </w:r>
      <w:r>
        <w:t xml:space="preserve"> głównie </w:t>
      </w:r>
      <w:r w:rsidRPr="00BD21F5">
        <w:t>charakter krajowy. Wynikają one ze zjawiska przenoszenia się ludności</w:t>
      </w:r>
      <w:r w:rsidR="006F2005">
        <w:t xml:space="preserve"> </w:t>
      </w:r>
      <w:r w:rsidRPr="00BD21F5">
        <w:t xml:space="preserve">z terenów wiejskich do ośrodków miejskich, aby uzyskać wyższy standard życia, lepszy dostęp do edukacji i kultury oraz atrakcyjniejszego rynku pracy. Rozmiary tego zjawiska nie są niepokojące, jednak należy podjąć działania mogące przyczynić się do poprawy warunków życia mieszkańców, aby zapobiec w przyszłości możliwej destabilizacji rozwoju </w:t>
      </w:r>
      <w:r>
        <w:t xml:space="preserve">społeczno-gospodarczego gminy. </w:t>
      </w:r>
      <w:r w:rsidRPr="00BD21F5">
        <w:t>Żeby zatrzymać młode i wykształcone osoby na terenie gminy należy stworzyć im możliwości rozwoju zawodowego (poza sektorem rolniczym), a</w:t>
      </w:r>
      <w:r>
        <w:t xml:space="preserve"> także zapewnić szerszy dostęp </w:t>
      </w:r>
      <w:r w:rsidRPr="00BD21F5">
        <w:t xml:space="preserve">do edukacji i kultury. </w:t>
      </w:r>
      <w:r>
        <w:t xml:space="preserve">Jak widać na wykresie </w:t>
      </w:r>
      <w:r w:rsidR="009F6DE0">
        <w:t>6</w:t>
      </w:r>
      <w:r>
        <w:t>,</w:t>
      </w:r>
      <w:r w:rsidR="009F6DE0">
        <w:t xml:space="preserve"> </w:t>
      </w:r>
      <w:r>
        <w:t xml:space="preserve">saldo migracji na terenie gminy jest ujemne zarówno w przypadki migracji wewnętrznych, jak i zewnętrznych. W ostatnich latach widać wyraźną tendencję do wzrostu jego wartości, będącego różnicą między liczbą osób, które napłynęły a liczbą osób, które opuściły terytorium gminy w przedstawionym okresie czasu. </w:t>
      </w:r>
    </w:p>
    <w:p w:rsidR="0039014D" w:rsidRDefault="0039014D" w:rsidP="0039014D"/>
    <w:p w:rsidR="0039014D" w:rsidRDefault="0039014D" w:rsidP="0039014D">
      <w:r w:rsidRPr="001B5044">
        <w:rPr>
          <w:noProof/>
          <w:lang w:eastAsia="pl-PL"/>
        </w:rPr>
        <w:drawing>
          <wp:inline distT="0" distB="0" distL="0" distR="0">
            <wp:extent cx="5760720" cy="2811153"/>
            <wp:effectExtent l="19050" t="0" r="11430" b="8247"/>
            <wp:docPr id="1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014D" w:rsidRPr="001B5044" w:rsidRDefault="0039014D" w:rsidP="0039014D">
      <w:pPr>
        <w:pStyle w:val="Legenda"/>
        <w:ind w:firstLine="0"/>
        <w:rPr>
          <w:color w:val="auto"/>
        </w:rPr>
      </w:pPr>
      <w:bookmarkStart w:id="33" w:name="_Toc429726508"/>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6</w:t>
      </w:r>
      <w:r w:rsidR="00844CE4">
        <w:rPr>
          <w:color w:val="auto"/>
        </w:rPr>
        <w:fldChar w:fldCharType="end"/>
      </w:r>
      <w:r w:rsidRPr="001B5044">
        <w:rPr>
          <w:color w:val="auto"/>
        </w:rPr>
        <w:t xml:space="preserve"> Saldo migracji na pobyt stały w gminie Herby</w:t>
      </w:r>
      <w:bookmarkEnd w:id="33"/>
    </w:p>
    <w:p w:rsidR="0039014D" w:rsidRPr="00D4745A" w:rsidRDefault="0039014D" w:rsidP="0039014D">
      <w:pPr>
        <w:rPr>
          <w:i/>
          <w:sz w:val="20"/>
          <w:szCs w:val="20"/>
        </w:rPr>
      </w:pPr>
      <w:r w:rsidRPr="001B5044">
        <w:rPr>
          <w:i/>
          <w:sz w:val="20"/>
          <w:szCs w:val="20"/>
        </w:rPr>
        <w:t xml:space="preserve">Źródło: </w:t>
      </w:r>
      <w:r>
        <w:rPr>
          <w:i/>
          <w:sz w:val="20"/>
          <w:szCs w:val="20"/>
        </w:rPr>
        <w:t xml:space="preserve">Opracowanie własne, </w:t>
      </w:r>
      <w:r w:rsidRPr="001B5044">
        <w:rPr>
          <w:i/>
          <w:sz w:val="20"/>
          <w:szCs w:val="20"/>
        </w:rPr>
        <w:t>Bank Danych Lokalnych, 31.XII.2014 r.</w:t>
      </w:r>
    </w:p>
    <w:p w:rsidR="00106E36" w:rsidRDefault="00106E36" w:rsidP="00D43557">
      <w:pPr>
        <w:pStyle w:val="Nagwek3"/>
      </w:pPr>
    </w:p>
    <w:p w:rsidR="00D43557" w:rsidRDefault="00D43557" w:rsidP="00A10D06">
      <w:pPr>
        <w:pStyle w:val="Nagwek3"/>
        <w:numPr>
          <w:ilvl w:val="2"/>
          <w:numId w:val="1"/>
        </w:numPr>
      </w:pPr>
      <w:bookmarkStart w:id="34" w:name="_Toc438118366"/>
      <w:r>
        <w:t>Bezrobocie</w:t>
      </w:r>
      <w:bookmarkEnd w:id="34"/>
    </w:p>
    <w:p w:rsidR="00D43557" w:rsidRDefault="00D43557" w:rsidP="00D43557"/>
    <w:p w:rsidR="00D43557" w:rsidRDefault="00D43557" w:rsidP="00D43557">
      <w:r>
        <w:t>Według danych Ministerstwa Pracy i Polityki Społecznej, w 2014 roku, przy niewielkiej poprawie koniunktury w gospodarce europejskiej, w Polsce odnotowano wyższe tempo wzrostu gospodarczego. W końcu marca 2015 roku liczba bezrobotnych wyniosła 1860,6 tysięcy. Poziom bezrobocia obniżył się we wszystkich województwach</w:t>
      </w:r>
      <w:r>
        <w:rPr>
          <w:rStyle w:val="Odwoanieprzypisudolnego"/>
        </w:rPr>
        <w:footnoteReference w:id="10"/>
      </w:r>
      <w:r>
        <w:t>. Stopa bezrobocia dla kraju wyniosła 11,7%, w województwie śląskim natomiast – 9,8%, co oznacza, że bezrobotnych zarejestrowanych było na obszarze województwa 180 tysięcy 600 mieszkańców. W przypadku powiatu lublinieckiego stopa bezrobocia była już nieco wyższa, wynosiła bowiem 11,5%. Na przykładzie województwa śląskiego wyraźnie widać stopień zróżnicowania bezrobocia. Jest to wynikiem nierównomiernego rozwoju gospodarczego regionów, jak i ich położenia geograficznego</w:t>
      </w:r>
      <w:r>
        <w:rPr>
          <w:rStyle w:val="Odwoanieprzypisudolnego"/>
        </w:rPr>
        <w:footnoteReference w:id="11"/>
      </w:r>
      <w:r>
        <w:t xml:space="preserve">. </w:t>
      </w:r>
    </w:p>
    <w:p w:rsidR="00D43557" w:rsidRDefault="00D43557" w:rsidP="00D43557">
      <w:pPr>
        <w:keepNext/>
      </w:pPr>
      <w:r>
        <w:rPr>
          <w:noProof/>
          <w:lang w:eastAsia="pl-PL"/>
        </w:rPr>
        <w:lastRenderedPageBreak/>
        <w:drawing>
          <wp:inline distT="0" distB="0" distL="0" distR="0">
            <wp:extent cx="3175412" cy="4253831"/>
            <wp:effectExtent l="19050" t="0" r="5938" b="0"/>
            <wp:docPr id="13" name="Obraz 3" descr="Bezrobocie-w-Polsce-III-2015-GZTT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robocie-w-Polsce-III-2015-GZTTFw.jpg"/>
                    <pic:cNvPicPr/>
                  </pic:nvPicPr>
                  <pic:blipFill>
                    <a:blip r:embed="rId21" cstate="print"/>
                    <a:stretch>
                      <a:fillRect/>
                    </a:stretch>
                  </pic:blipFill>
                  <pic:spPr>
                    <a:xfrm>
                      <a:off x="0" y="0"/>
                      <a:ext cx="3176376" cy="4255122"/>
                    </a:xfrm>
                    <a:prstGeom prst="rect">
                      <a:avLst/>
                    </a:prstGeom>
                  </pic:spPr>
                </pic:pic>
              </a:graphicData>
            </a:graphic>
          </wp:inline>
        </w:drawing>
      </w:r>
    </w:p>
    <w:p w:rsidR="00D43557" w:rsidRDefault="00D43557" w:rsidP="00D43557">
      <w:pPr>
        <w:pStyle w:val="Legenda"/>
        <w:ind w:firstLine="0"/>
        <w:rPr>
          <w:color w:val="000000" w:themeColor="text1"/>
        </w:rPr>
      </w:pPr>
      <w:bookmarkStart w:id="35" w:name="_Toc429726544"/>
      <w:r w:rsidRPr="00F3584F">
        <w:rPr>
          <w:color w:val="000000" w:themeColor="text1"/>
        </w:rPr>
        <w:t xml:space="preserve">Rysunek </w:t>
      </w:r>
      <w:r w:rsidR="00844CE4" w:rsidRPr="00F3584F">
        <w:rPr>
          <w:color w:val="000000" w:themeColor="text1"/>
        </w:rPr>
        <w:fldChar w:fldCharType="begin"/>
      </w:r>
      <w:r w:rsidRPr="00F3584F">
        <w:rPr>
          <w:color w:val="000000" w:themeColor="text1"/>
        </w:rPr>
        <w:instrText xml:space="preserve"> SEQ Rysunek \* ARABIC </w:instrText>
      </w:r>
      <w:r w:rsidR="00844CE4" w:rsidRPr="00F3584F">
        <w:rPr>
          <w:color w:val="000000" w:themeColor="text1"/>
        </w:rPr>
        <w:fldChar w:fldCharType="separate"/>
      </w:r>
      <w:r w:rsidR="005C42FD">
        <w:rPr>
          <w:noProof/>
          <w:color w:val="000000" w:themeColor="text1"/>
        </w:rPr>
        <w:t>1</w:t>
      </w:r>
      <w:r w:rsidR="00844CE4" w:rsidRPr="00F3584F">
        <w:rPr>
          <w:color w:val="000000" w:themeColor="text1"/>
        </w:rPr>
        <w:fldChar w:fldCharType="end"/>
      </w:r>
      <w:r>
        <w:rPr>
          <w:color w:val="000000" w:themeColor="text1"/>
        </w:rPr>
        <w:t xml:space="preserve"> Liczba bezrobotnych i stopa bezrobocia według województw stan na koniec marca 2015 r.</w:t>
      </w:r>
      <w:bookmarkEnd w:id="35"/>
    </w:p>
    <w:p w:rsidR="00D43557" w:rsidRDefault="00D43557" w:rsidP="00D43557">
      <w:pPr>
        <w:spacing w:line="240" w:lineRule="auto"/>
        <w:rPr>
          <w:i/>
          <w:sz w:val="20"/>
          <w:szCs w:val="20"/>
        </w:rPr>
      </w:pPr>
      <w:r>
        <w:rPr>
          <w:i/>
          <w:sz w:val="20"/>
          <w:szCs w:val="20"/>
        </w:rPr>
        <w:t>Źródło: www.egospodarka.pl</w:t>
      </w:r>
    </w:p>
    <w:p w:rsidR="00D43557" w:rsidRPr="00A7414C" w:rsidRDefault="00D43557" w:rsidP="00D43557">
      <w:pPr>
        <w:spacing w:line="240" w:lineRule="auto"/>
        <w:rPr>
          <w:i/>
          <w:sz w:val="16"/>
          <w:szCs w:val="16"/>
        </w:rPr>
      </w:pPr>
    </w:p>
    <w:p w:rsidR="00D43557" w:rsidRDefault="00D43557" w:rsidP="00D43557">
      <w:r>
        <w:t xml:space="preserve">W przypadku mieszkańców gminy Herby, według danych GUS z 2014 roku, zarejestrowanych było 318 bezrobotnych, co stanowi 10,5% mieszkańców powiatu lublinieckiego. Stopa bezrobocia rejestrowanego na terenie gminy w ciągu ostatnich lat utrzymuje się na podobnym poziomie, waha się w granicach od 16,05% w 2009 roku do 18,42% w 2011 roku. </w:t>
      </w:r>
    </w:p>
    <w:p w:rsidR="00D43557" w:rsidRPr="00A7414C" w:rsidRDefault="00D43557" w:rsidP="00D43557">
      <w:pPr>
        <w:spacing w:line="240" w:lineRule="auto"/>
        <w:rPr>
          <w:sz w:val="16"/>
          <w:szCs w:val="16"/>
        </w:rPr>
      </w:pPr>
    </w:p>
    <w:p w:rsidR="00D43557" w:rsidRDefault="00D43557" w:rsidP="00D43557">
      <w:pPr>
        <w:keepNext/>
      </w:pPr>
      <w:r w:rsidRPr="00D4745A">
        <w:rPr>
          <w:noProof/>
          <w:lang w:eastAsia="pl-PL"/>
        </w:rPr>
        <w:lastRenderedPageBreak/>
        <w:drawing>
          <wp:inline distT="0" distB="0" distL="0" distR="0">
            <wp:extent cx="5044270" cy="2238233"/>
            <wp:effectExtent l="19050" t="0" r="23030" b="0"/>
            <wp:docPr id="1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3557" w:rsidRPr="00EF0785" w:rsidRDefault="00D43557" w:rsidP="00D43557">
      <w:pPr>
        <w:pStyle w:val="Legenda"/>
        <w:ind w:firstLine="0"/>
        <w:rPr>
          <w:color w:val="auto"/>
        </w:rPr>
      </w:pPr>
      <w:bookmarkStart w:id="36" w:name="_Toc429726509"/>
      <w:r w:rsidRPr="00EF0785">
        <w:rPr>
          <w:color w:val="auto"/>
        </w:rPr>
        <w:t>Wykres</w:t>
      </w:r>
      <w:r w:rsidR="00AA43FE">
        <w:rPr>
          <w:color w:val="auto"/>
        </w:rPr>
        <w:t xml:space="preserve"> </w:t>
      </w:r>
      <w:r w:rsidR="00844CE4" w:rsidRPr="00EF0785">
        <w:rPr>
          <w:color w:val="auto"/>
        </w:rPr>
        <w:fldChar w:fldCharType="begin"/>
      </w:r>
      <w:r w:rsidRPr="00EF0785">
        <w:rPr>
          <w:color w:val="auto"/>
        </w:rPr>
        <w:instrText xml:space="preserve"> SEQ Wykres \* ARABIC </w:instrText>
      </w:r>
      <w:r w:rsidR="00844CE4" w:rsidRPr="00EF0785">
        <w:rPr>
          <w:color w:val="auto"/>
        </w:rPr>
        <w:fldChar w:fldCharType="separate"/>
      </w:r>
      <w:r w:rsidR="005C42FD">
        <w:rPr>
          <w:noProof/>
          <w:color w:val="auto"/>
        </w:rPr>
        <w:t>7</w:t>
      </w:r>
      <w:r w:rsidR="00844CE4" w:rsidRPr="00EF0785">
        <w:rPr>
          <w:color w:val="auto"/>
        </w:rPr>
        <w:fldChar w:fldCharType="end"/>
      </w:r>
      <w:r w:rsidRPr="00EF0785">
        <w:rPr>
          <w:color w:val="auto"/>
        </w:rPr>
        <w:t xml:space="preserve"> Stopa bezrobocia rejestrowanego dla gminy Herby</w:t>
      </w:r>
      <w:bookmarkEnd w:id="36"/>
    </w:p>
    <w:p w:rsidR="00D43557" w:rsidRPr="001A4F06" w:rsidRDefault="00D43557" w:rsidP="00D43557">
      <w:pPr>
        <w:spacing w:line="240" w:lineRule="auto"/>
        <w:rPr>
          <w:i/>
          <w:sz w:val="20"/>
          <w:szCs w:val="20"/>
        </w:rPr>
      </w:pPr>
      <w:r w:rsidRPr="001A4F06">
        <w:rPr>
          <w:i/>
          <w:sz w:val="20"/>
          <w:szCs w:val="20"/>
        </w:rPr>
        <w:t>Źródło:</w:t>
      </w:r>
      <w:r>
        <w:rPr>
          <w:i/>
          <w:sz w:val="20"/>
          <w:szCs w:val="20"/>
        </w:rPr>
        <w:t xml:space="preserve"> Opracowanie własne, </w:t>
      </w:r>
      <w:r w:rsidRPr="001A4F06">
        <w:rPr>
          <w:i/>
          <w:sz w:val="20"/>
          <w:szCs w:val="20"/>
        </w:rPr>
        <w:t>Bank Danych Lokalnych GUS</w:t>
      </w:r>
      <w:r>
        <w:rPr>
          <w:i/>
          <w:sz w:val="20"/>
          <w:szCs w:val="20"/>
        </w:rPr>
        <w:t xml:space="preserve"> 2009-2013</w:t>
      </w:r>
    </w:p>
    <w:p w:rsidR="00D43557" w:rsidRPr="00A7414C" w:rsidRDefault="00D43557" w:rsidP="00D43557">
      <w:pPr>
        <w:rPr>
          <w:sz w:val="16"/>
          <w:szCs w:val="16"/>
        </w:rPr>
      </w:pPr>
    </w:p>
    <w:p w:rsidR="00D43557" w:rsidRDefault="00D43557" w:rsidP="00D43557">
      <w:r>
        <w:t>Stosunek osób bezrobotnych do aktywnych zawodowo w grupie mężczyzn jest wyraźnie wyższy niż wśród kobiet średnio o 9 punktów procentowych. Warto dodać, że wskaźniki obrazujące zatrudnienie są ściśle skorelowane z wiekiem oraz poziomem wykształcenia. Jak przedstawiają dane dla powiatu lubl</w:t>
      </w:r>
      <w:r w:rsidR="009F6DE0">
        <w:t>inieckiego z 2014 roku (wykres 8</w:t>
      </w:r>
      <w:r>
        <w:t xml:space="preserve">), najkorzystniejsze wartości przyjmują dla osób z wykształceniem wyższym i średnim ogólnokształcącym, najniższe natomiast dla osób z wykształceniem zasadniczym zawodowym i gimnazjalnym. </w:t>
      </w:r>
    </w:p>
    <w:p w:rsidR="00D43557" w:rsidRPr="00DC0DE8" w:rsidRDefault="00D43557" w:rsidP="00D43557">
      <w:pPr>
        <w:jc w:val="left"/>
      </w:pPr>
      <w:r w:rsidRPr="00D4745A">
        <w:rPr>
          <w:noProof/>
          <w:lang w:eastAsia="pl-PL"/>
        </w:rPr>
        <w:drawing>
          <wp:inline distT="0" distB="0" distL="0" distR="0">
            <wp:extent cx="5218032" cy="2892056"/>
            <wp:effectExtent l="19050" t="0" r="20718" b="3544"/>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3557" w:rsidRDefault="00D43557" w:rsidP="00D43557">
      <w:pPr>
        <w:pStyle w:val="Legenda"/>
        <w:ind w:firstLine="0"/>
        <w:rPr>
          <w:color w:val="auto"/>
        </w:rPr>
      </w:pPr>
      <w:bookmarkStart w:id="37" w:name="_Toc429726510"/>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8</w:t>
      </w:r>
      <w:r w:rsidR="00844CE4">
        <w:rPr>
          <w:color w:val="auto"/>
        </w:rPr>
        <w:fldChar w:fldCharType="end"/>
      </w:r>
      <w:r>
        <w:rPr>
          <w:color w:val="auto"/>
        </w:rPr>
        <w:t xml:space="preserve"> Bezrobotni zarejestrowani wg poziomu wykształcenia – powiat lubliniecki</w:t>
      </w:r>
      <w:bookmarkEnd w:id="37"/>
    </w:p>
    <w:p w:rsidR="00D43557" w:rsidRDefault="00D43557" w:rsidP="00D43557">
      <w:pPr>
        <w:rPr>
          <w:i/>
          <w:sz w:val="20"/>
          <w:szCs w:val="20"/>
        </w:rPr>
      </w:pPr>
      <w:r w:rsidRPr="001A4F06">
        <w:rPr>
          <w:i/>
          <w:sz w:val="20"/>
          <w:szCs w:val="20"/>
        </w:rPr>
        <w:t xml:space="preserve">Źródło: </w:t>
      </w:r>
      <w:r>
        <w:rPr>
          <w:i/>
          <w:sz w:val="20"/>
          <w:szCs w:val="20"/>
        </w:rPr>
        <w:t xml:space="preserve">Opracowanie własne, </w:t>
      </w:r>
      <w:r w:rsidRPr="001A4F06">
        <w:rPr>
          <w:i/>
          <w:sz w:val="20"/>
          <w:szCs w:val="20"/>
        </w:rPr>
        <w:t>Bank Danych Lokalnych GUS, 31.XII.2015 r.</w:t>
      </w:r>
    </w:p>
    <w:p w:rsidR="00D43557" w:rsidRDefault="00D43557" w:rsidP="00D43557">
      <w:r>
        <w:lastRenderedPageBreak/>
        <w:t xml:space="preserve">Informacja o lokalnym rynku pracy na dzień </w:t>
      </w:r>
      <w:r w:rsidR="00284EEF">
        <w:t>31.XII.</w:t>
      </w:r>
      <w:r w:rsidRPr="00E97626">
        <w:t>201</w:t>
      </w:r>
      <w:r w:rsidR="00F33D20" w:rsidRPr="00E97626">
        <w:t>4</w:t>
      </w:r>
      <w:r>
        <w:t xml:space="preserve"> r. przedstawiona w rocznym raporcie Powiatowego Urzędu Pracy w Lublińcu</w:t>
      </w:r>
      <w:r>
        <w:rPr>
          <w:rStyle w:val="Odwoanieprzypisudolnego"/>
        </w:rPr>
        <w:footnoteReference w:id="12"/>
      </w:r>
      <w:r>
        <w:t xml:space="preserve"> wskazuje, że liczba osób bezrobotnych zarejestrowanych w urzędzie w stosunku do 2013 roku zmniejszyła się o 17,4%. Biorąc pod uwagę stopień natężenia bezrobocia, czyli stosunek liczby bezrobotnych do liczby ludności w wieku produkcyjnym na koniec grudnia, najwyższe wartości przyjął on w gminie Herby i wynosił 7,02%. Średni stopień natężenia dla powiatu lublinieckiego wyniósł 5,93%. </w:t>
      </w:r>
    </w:p>
    <w:p w:rsidR="00D43557" w:rsidRDefault="00D43557" w:rsidP="00D43557"/>
    <w:tbl>
      <w:tblPr>
        <w:tblStyle w:val="rednialista2akcent1"/>
        <w:tblW w:w="3950" w:type="pct"/>
        <w:tblLook w:val="04A0"/>
      </w:tblPr>
      <w:tblGrid>
        <w:gridCol w:w="2648"/>
        <w:gridCol w:w="4690"/>
      </w:tblGrid>
      <w:tr w:rsidR="00D43557" w:rsidTr="00BB5F46">
        <w:trPr>
          <w:cnfStyle w:val="100000000000"/>
        </w:trPr>
        <w:tc>
          <w:tcPr>
            <w:cnfStyle w:val="001000000100"/>
            <w:tcW w:w="1804" w:type="pct"/>
            <w:noWrap/>
          </w:tcPr>
          <w:p w:rsidR="00D43557" w:rsidRPr="001323D8" w:rsidRDefault="00D43557" w:rsidP="00BB5F46">
            <w:pPr>
              <w:rPr>
                <w:rFonts w:asciiTheme="minorHAnsi" w:eastAsiaTheme="minorEastAsia" w:hAnsiTheme="minorHAnsi" w:cstheme="minorBidi"/>
                <w:b/>
                <w:color w:val="auto"/>
                <w:sz w:val="20"/>
                <w:szCs w:val="20"/>
              </w:rPr>
            </w:pPr>
            <w:r w:rsidRPr="001323D8">
              <w:rPr>
                <w:rFonts w:asciiTheme="minorHAnsi" w:eastAsiaTheme="minorEastAsia" w:hAnsiTheme="minorHAnsi" w:cstheme="minorBidi"/>
                <w:b/>
                <w:color w:val="auto"/>
                <w:sz w:val="20"/>
                <w:szCs w:val="20"/>
              </w:rPr>
              <w:t>GMINA</w:t>
            </w:r>
          </w:p>
        </w:tc>
        <w:tc>
          <w:tcPr>
            <w:tcW w:w="3196" w:type="pct"/>
          </w:tcPr>
          <w:p w:rsidR="00D43557" w:rsidRPr="001323D8" w:rsidRDefault="00D43557" w:rsidP="00BB5F46">
            <w:pPr>
              <w:jc w:val="center"/>
              <w:cnfStyle w:val="100000000000"/>
              <w:rPr>
                <w:rFonts w:asciiTheme="minorHAnsi" w:eastAsiaTheme="minorEastAsia" w:hAnsiTheme="minorHAnsi" w:cstheme="minorBidi"/>
                <w:b/>
                <w:color w:val="auto"/>
                <w:sz w:val="20"/>
                <w:szCs w:val="20"/>
              </w:rPr>
            </w:pPr>
            <w:r w:rsidRPr="001323D8">
              <w:rPr>
                <w:rFonts w:asciiTheme="minorHAnsi" w:eastAsiaTheme="minorEastAsia" w:hAnsiTheme="minorHAnsi" w:cstheme="minorBidi"/>
                <w:b/>
                <w:color w:val="auto"/>
                <w:sz w:val="20"/>
                <w:szCs w:val="20"/>
              </w:rPr>
              <w:t>WSKAŹNIK NATĘŻENIA BEZROBOCIA</w:t>
            </w:r>
          </w:p>
        </w:tc>
      </w:tr>
      <w:tr w:rsidR="00D43557" w:rsidTr="00BB5F46">
        <w:trPr>
          <w:cnfStyle w:val="000000100000"/>
        </w:trPr>
        <w:tc>
          <w:tcPr>
            <w:cnfStyle w:val="001000000000"/>
            <w:tcW w:w="1804" w:type="pct"/>
            <w:noWrap/>
          </w:tcPr>
          <w:p w:rsidR="00D43557" w:rsidRDefault="00D43557" w:rsidP="00BB5F46">
            <w:pPr>
              <w:rPr>
                <w:rFonts w:asciiTheme="minorHAnsi" w:eastAsiaTheme="minorEastAsia" w:hAnsiTheme="minorHAnsi" w:cstheme="minorBidi"/>
                <w:color w:val="auto"/>
              </w:rPr>
            </w:pPr>
            <w:r>
              <w:rPr>
                <w:rFonts w:asciiTheme="minorHAnsi" w:eastAsiaTheme="minorEastAsia" w:hAnsiTheme="minorHAnsi" w:cstheme="minorBidi"/>
                <w:color w:val="auto"/>
              </w:rPr>
              <w:t>Herby</w:t>
            </w:r>
          </w:p>
        </w:tc>
        <w:tc>
          <w:tcPr>
            <w:tcW w:w="3196" w:type="pct"/>
          </w:tcPr>
          <w:p w:rsidR="00D43557" w:rsidRDefault="00D43557" w:rsidP="00BB5F46">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7,02</w:t>
            </w:r>
          </w:p>
        </w:tc>
      </w:tr>
      <w:tr w:rsidR="00D43557" w:rsidTr="00BB5F46">
        <w:tc>
          <w:tcPr>
            <w:cnfStyle w:val="001000000000"/>
            <w:tcW w:w="1804" w:type="pct"/>
            <w:noWrap/>
          </w:tcPr>
          <w:p w:rsidR="00D43557" w:rsidRDefault="00D43557" w:rsidP="00BB5F46">
            <w:pPr>
              <w:rPr>
                <w:rFonts w:asciiTheme="minorHAnsi" w:eastAsiaTheme="minorEastAsia" w:hAnsiTheme="minorHAnsi" w:cstheme="minorBidi"/>
                <w:color w:val="auto"/>
              </w:rPr>
            </w:pPr>
            <w:r>
              <w:rPr>
                <w:rFonts w:asciiTheme="minorHAnsi" w:eastAsiaTheme="minorEastAsia" w:hAnsiTheme="minorHAnsi" w:cstheme="minorBidi"/>
                <w:color w:val="auto"/>
              </w:rPr>
              <w:t>Koszęcin</w:t>
            </w:r>
          </w:p>
        </w:tc>
        <w:tc>
          <w:tcPr>
            <w:tcW w:w="3196" w:type="pct"/>
          </w:tcPr>
          <w:p w:rsidR="00D43557" w:rsidRDefault="00D43557" w:rsidP="00BB5F46">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6,52</w:t>
            </w:r>
          </w:p>
        </w:tc>
      </w:tr>
      <w:tr w:rsidR="00D43557" w:rsidTr="00BB5F46">
        <w:trPr>
          <w:cnfStyle w:val="000000100000"/>
        </w:trPr>
        <w:tc>
          <w:tcPr>
            <w:cnfStyle w:val="001000000000"/>
            <w:tcW w:w="1804" w:type="pct"/>
            <w:noWrap/>
          </w:tcPr>
          <w:p w:rsidR="00D43557" w:rsidRDefault="00D43557" w:rsidP="00BB5F46">
            <w:pPr>
              <w:rPr>
                <w:rFonts w:asciiTheme="minorHAnsi" w:eastAsiaTheme="minorEastAsia" w:hAnsiTheme="minorHAnsi" w:cstheme="minorBidi"/>
                <w:color w:val="auto"/>
              </w:rPr>
            </w:pPr>
            <w:r>
              <w:rPr>
                <w:rFonts w:asciiTheme="minorHAnsi" w:eastAsiaTheme="minorEastAsia" w:hAnsiTheme="minorHAnsi" w:cstheme="minorBidi"/>
                <w:color w:val="auto"/>
              </w:rPr>
              <w:t>Kochanowice</w:t>
            </w:r>
          </w:p>
        </w:tc>
        <w:tc>
          <w:tcPr>
            <w:tcW w:w="3196" w:type="pct"/>
          </w:tcPr>
          <w:p w:rsidR="00D43557" w:rsidRDefault="00D43557" w:rsidP="00BB5F46">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6,42</w:t>
            </w:r>
          </w:p>
        </w:tc>
      </w:tr>
      <w:tr w:rsidR="00D43557" w:rsidTr="00BB5F46">
        <w:tc>
          <w:tcPr>
            <w:cnfStyle w:val="001000000000"/>
            <w:tcW w:w="1804" w:type="pct"/>
            <w:noWrap/>
          </w:tcPr>
          <w:p w:rsidR="00D43557" w:rsidRDefault="00D43557" w:rsidP="00BB5F46">
            <w:pPr>
              <w:rPr>
                <w:rFonts w:asciiTheme="minorHAnsi" w:eastAsiaTheme="minorEastAsia" w:hAnsiTheme="minorHAnsi" w:cstheme="minorBidi"/>
                <w:color w:val="auto"/>
              </w:rPr>
            </w:pPr>
            <w:r>
              <w:rPr>
                <w:rFonts w:asciiTheme="minorHAnsi" w:eastAsiaTheme="minorEastAsia" w:hAnsiTheme="minorHAnsi" w:cstheme="minorBidi"/>
                <w:color w:val="auto"/>
              </w:rPr>
              <w:t>Boronów</w:t>
            </w:r>
          </w:p>
        </w:tc>
        <w:tc>
          <w:tcPr>
            <w:tcW w:w="3196" w:type="pct"/>
          </w:tcPr>
          <w:p w:rsidR="00D43557" w:rsidRDefault="00D43557" w:rsidP="00BB5F46">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6,21</w:t>
            </w:r>
          </w:p>
        </w:tc>
      </w:tr>
      <w:tr w:rsidR="00D43557" w:rsidTr="00BB5F46">
        <w:trPr>
          <w:cnfStyle w:val="000000100000"/>
        </w:trPr>
        <w:tc>
          <w:tcPr>
            <w:cnfStyle w:val="001000000000"/>
            <w:tcW w:w="1804" w:type="pct"/>
            <w:noWrap/>
          </w:tcPr>
          <w:p w:rsidR="00D43557" w:rsidRDefault="00D43557" w:rsidP="00BB5F46">
            <w:pPr>
              <w:rPr>
                <w:rFonts w:asciiTheme="minorHAnsi" w:eastAsiaTheme="minorEastAsia" w:hAnsiTheme="minorHAnsi" w:cstheme="minorBidi"/>
                <w:color w:val="auto"/>
              </w:rPr>
            </w:pPr>
            <w:r>
              <w:rPr>
                <w:rFonts w:asciiTheme="minorHAnsi" w:eastAsiaTheme="minorEastAsia" w:hAnsiTheme="minorHAnsi" w:cstheme="minorBidi"/>
                <w:color w:val="auto"/>
              </w:rPr>
              <w:t>Lubliniec</w:t>
            </w:r>
          </w:p>
        </w:tc>
        <w:tc>
          <w:tcPr>
            <w:tcW w:w="3196" w:type="pct"/>
          </w:tcPr>
          <w:p w:rsidR="00D43557" w:rsidRDefault="00D43557" w:rsidP="00BB5F46">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5,85</w:t>
            </w:r>
          </w:p>
        </w:tc>
      </w:tr>
      <w:tr w:rsidR="00D43557" w:rsidTr="00BB5F46">
        <w:tc>
          <w:tcPr>
            <w:cnfStyle w:val="001000000000"/>
            <w:tcW w:w="1804" w:type="pct"/>
            <w:noWrap/>
          </w:tcPr>
          <w:p w:rsidR="00D43557" w:rsidRDefault="00D43557" w:rsidP="00BB5F46">
            <w:pPr>
              <w:rPr>
                <w:rFonts w:asciiTheme="minorHAnsi" w:eastAsiaTheme="minorEastAsia" w:hAnsiTheme="minorHAnsi" w:cstheme="minorBidi"/>
              </w:rPr>
            </w:pPr>
            <w:r>
              <w:rPr>
                <w:rFonts w:asciiTheme="minorHAnsi" w:eastAsiaTheme="minorEastAsia" w:hAnsiTheme="minorHAnsi" w:cstheme="minorBidi"/>
              </w:rPr>
              <w:t>Woźniki</w:t>
            </w:r>
          </w:p>
        </w:tc>
        <w:tc>
          <w:tcPr>
            <w:tcW w:w="3196" w:type="pct"/>
          </w:tcPr>
          <w:p w:rsidR="00D43557" w:rsidRDefault="00D43557" w:rsidP="00BB5F46">
            <w:pPr>
              <w:jc w:val="center"/>
              <w:cnfStyle w:val="000000000000"/>
              <w:rPr>
                <w:rFonts w:asciiTheme="minorHAnsi" w:eastAsiaTheme="minorEastAsia" w:hAnsiTheme="minorHAnsi" w:cstheme="minorBidi"/>
              </w:rPr>
            </w:pPr>
            <w:r>
              <w:rPr>
                <w:rFonts w:asciiTheme="minorHAnsi" w:eastAsiaTheme="minorEastAsia" w:hAnsiTheme="minorHAnsi" w:cstheme="minorBidi"/>
              </w:rPr>
              <w:t>5,70</w:t>
            </w:r>
          </w:p>
        </w:tc>
      </w:tr>
      <w:tr w:rsidR="00D43557" w:rsidTr="00BB5F46">
        <w:trPr>
          <w:cnfStyle w:val="000000100000"/>
        </w:trPr>
        <w:tc>
          <w:tcPr>
            <w:cnfStyle w:val="001000000000"/>
            <w:tcW w:w="1804" w:type="pct"/>
            <w:noWrap/>
          </w:tcPr>
          <w:p w:rsidR="00D43557" w:rsidRDefault="00D43557" w:rsidP="00BB5F46">
            <w:pPr>
              <w:rPr>
                <w:rFonts w:asciiTheme="minorHAnsi" w:eastAsiaTheme="minorEastAsia" w:hAnsiTheme="minorHAnsi" w:cstheme="minorBidi"/>
              </w:rPr>
            </w:pPr>
            <w:r>
              <w:rPr>
                <w:rFonts w:asciiTheme="minorHAnsi" w:eastAsiaTheme="minorEastAsia" w:hAnsiTheme="minorHAnsi" w:cstheme="minorBidi"/>
              </w:rPr>
              <w:t>Ciasna</w:t>
            </w:r>
          </w:p>
        </w:tc>
        <w:tc>
          <w:tcPr>
            <w:tcW w:w="3196" w:type="pct"/>
          </w:tcPr>
          <w:p w:rsidR="00D43557" w:rsidRDefault="00D43557" w:rsidP="00BB5F46">
            <w:pPr>
              <w:jc w:val="center"/>
              <w:cnfStyle w:val="000000100000"/>
              <w:rPr>
                <w:rFonts w:asciiTheme="minorHAnsi" w:eastAsiaTheme="minorEastAsia" w:hAnsiTheme="minorHAnsi" w:cstheme="minorBidi"/>
              </w:rPr>
            </w:pPr>
            <w:r>
              <w:rPr>
                <w:rFonts w:asciiTheme="minorHAnsi" w:eastAsiaTheme="minorEastAsia" w:hAnsiTheme="minorHAnsi" w:cstheme="minorBidi"/>
              </w:rPr>
              <w:t>5,21</w:t>
            </w:r>
          </w:p>
        </w:tc>
      </w:tr>
      <w:tr w:rsidR="00D43557" w:rsidTr="00BB5F46">
        <w:tc>
          <w:tcPr>
            <w:cnfStyle w:val="001000000000"/>
            <w:tcW w:w="1804" w:type="pct"/>
            <w:noWrap/>
          </w:tcPr>
          <w:p w:rsidR="00D43557" w:rsidRDefault="00D43557" w:rsidP="00BB5F46">
            <w:pPr>
              <w:rPr>
                <w:rFonts w:asciiTheme="minorHAnsi" w:eastAsiaTheme="minorEastAsia" w:hAnsiTheme="minorHAnsi" w:cstheme="minorBidi"/>
              </w:rPr>
            </w:pPr>
            <w:r>
              <w:rPr>
                <w:rFonts w:asciiTheme="minorHAnsi" w:eastAsiaTheme="minorEastAsia" w:hAnsiTheme="minorHAnsi" w:cstheme="minorBidi"/>
              </w:rPr>
              <w:t>Pawonków</w:t>
            </w:r>
          </w:p>
        </w:tc>
        <w:tc>
          <w:tcPr>
            <w:tcW w:w="3196" w:type="pct"/>
          </w:tcPr>
          <w:p w:rsidR="00D43557" w:rsidRDefault="00D43557" w:rsidP="00BB5F46">
            <w:pPr>
              <w:jc w:val="center"/>
              <w:cnfStyle w:val="000000000000"/>
              <w:rPr>
                <w:rFonts w:asciiTheme="minorHAnsi" w:eastAsiaTheme="minorEastAsia" w:hAnsiTheme="minorHAnsi" w:cstheme="minorBidi"/>
              </w:rPr>
            </w:pPr>
            <w:r>
              <w:rPr>
                <w:rFonts w:asciiTheme="minorHAnsi" w:eastAsiaTheme="minorEastAsia" w:hAnsiTheme="minorHAnsi" w:cstheme="minorBidi"/>
              </w:rPr>
              <w:t>4,59</w:t>
            </w:r>
          </w:p>
        </w:tc>
      </w:tr>
    </w:tbl>
    <w:p w:rsidR="00D43557" w:rsidRDefault="00D43557" w:rsidP="00D43557"/>
    <w:p w:rsidR="00D43557" w:rsidRPr="00EF0785" w:rsidRDefault="00D43557" w:rsidP="00E168DD">
      <w:pPr>
        <w:pStyle w:val="Legenda"/>
        <w:ind w:firstLine="0"/>
        <w:rPr>
          <w:color w:val="auto"/>
        </w:rPr>
      </w:pPr>
      <w:bookmarkStart w:id="38" w:name="_Toc429726511"/>
      <w:r w:rsidRPr="00EF0785">
        <w:rPr>
          <w:color w:val="auto"/>
        </w:rPr>
        <w:t>Wykres</w:t>
      </w:r>
      <w:r w:rsidR="00AA43FE">
        <w:rPr>
          <w:color w:val="auto"/>
        </w:rPr>
        <w:t xml:space="preserve"> </w:t>
      </w:r>
      <w:r w:rsidR="00844CE4" w:rsidRPr="00EF0785">
        <w:rPr>
          <w:color w:val="auto"/>
        </w:rPr>
        <w:fldChar w:fldCharType="begin"/>
      </w:r>
      <w:r w:rsidRPr="00EF0785">
        <w:rPr>
          <w:color w:val="auto"/>
        </w:rPr>
        <w:instrText xml:space="preserve"> SEQ Wykres \* ARABIC </w:instrText>
      </w:r>
      <w:r w:rsidR="00844CE4" w:rsidRPr="00EF0785">
        <w:rPr>
          <w:color w:val="auto"/>
        </w:rPr>
        <w:fldChar w:fldCharType="separate"/>
      </w:r>
      <w:r w:rsidR="005C42FD">
        <w:rPr>
          <w:noProof/>
          <w:color w:val="auto"/>
        </w:rPr>
        <w:t>9</w:t>
      </w:r>
      <w:r w:rsidR="00844CE4" w:rsidRPr="00EF0785">
        <w:rPr>
          <w:color w:val="auto"/>
        </w:rPr>
        <w:fldChar w:fldCharType="end"/>
      </w:r>
      <w:r w:rsidRPr="00EF0785">
        <w:rPr>
          <w:color w:val="auto"/>
        </w:rPr>
        <w:t xml:space="preserve"> Stopień natężenia bezrobocia dla powiatu lublinieckiego</w:t>
      </w:r>
      <w:bookmarkEnd w:id="38"/>
    </w:p>
    <w:p w:rsidR="00D43557" w:rsidRDefault="00D43557" w:rsidP="00E168DD">
      <w:pPr>
        <w:spacing w:line="240" w:lineRule="auto"/>
        <w:rPr>
          <w:i/>
          <w:sz w:val="20"/>
          <w:szCs w:val="20"/>
        </w:rPr>
      </w:pPr>
      <w:r w:rsidRPr="00C02F8B">
        <w:rPr>
          <w:i/>
          <w:sz w:val="20"/>
          <w:szCs w:val="20"/>
        </w:rPr>
        <w:t xml:space="preserve">Źródło: </w:t>
      </w:r>
      <w:r>
        <w:rPr>
          <w:i/>
          <w:sz w:val="20"/>
          <w:szCs w:val="20"/>
        </w:rPr>
        <w:t>Opracowanie własne, Informacja o lokalnym rynku pracy, Powiatowy Urząd Pracy w Lublińcu, 31.XII.2014 r.</w:t>
      </w:r>
    </w:p>
    <w:p w:rsidR="00D43557" w:rsidRDefault="00D43557" w:rsidP="00D43557">
      <w:pPr>
        <w:rPr>
          <w:i/>
          <w:sz w:val="20"/>
          <w:szCs w:val="20"/>
        </w:rPr>
      </w:pPr>
    </w:p>
    <w:p w:rsidR="00D43557" w:rsidRDefault="00D43557" w:rsidP="00D43557">
      <w:r>
        <w:t xml:space="preserve">Kolejną cechą charakteryzującą zjawisko bezrobocia w powiecie lublinieckim jest wysoki udział młodych ludzi do 24 roku życia, a także od 25 do 34 lat, wśród osób zarejestrowanych w Powiatowym Urzędzie Pracy w Lublińcu. Osoby do 34 roku życia stanowią w powiecie lublinieckim 62,47% ogółem zarejestrowanych bezrobotnych. </w:t>
      </w:r>
    </w:p>
    <w:p w:rsidR="00E168DD" w:rsidRDefault="00E168DD" w:rsidP="00D43557"/>
    <w:p w:rsidR="00D43557" w:rsidRDefault="00D43557" w:rsidP="00D43557">
      <w:r w:rsidRPr="002C5BBC">
        <w:rPr>
          <w:noProof/>
          <w:lang w:eastAsia="pl-PL"/>
        </w:rPr>
        <w:lastRenderedPageBreak/>
        <w:drawing>
          <wp:inline distT="0" distB="0" distL="0" distR="0">
            <wp:extent cx="4572000" cy="2743200"/>
            <wp:effectExtent l="19050" t="0" r="19050" b="0"/>
            <wp:docPr id="1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3557" w:rsidRPr="002C5BBC" w:rsidRDefault="00D43557" w:rsidP="00E168DD">
      <w:pPr>
        <w:pStyle w:val="Legenda"/>
        <w:ind w:firstLine="0"/>
        <w:rPr>
          <w:color w:val="auto"/>
        </w:rPr>
      </w:pPr>
      <w:bookmarkStart w:id="39" w:name="_Toc429726512"/>
      <w:r>
        <w:rPr>
          <w:color w:val="auto"/>
        </w:rPr>
        <w:t>Wykre</w:t>
      </w:r>
      <w:r w:rsidR="00AA43FE">
        <w:rPr>
          <w:color w:val="auto"/>
        </w:rPr>
        <w:t xml:space="preserve">s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10</w:t>
      </w:r>
      <w:r w:rsidR="00844CE4">
        <w:rPr>
          <w:color w:val="auto"/>
        </w:rPr>
        <w:fldChar w:fldCharType="end"/>
      </w:r>
      <w:r w:rsidRPr="002C5BBC">
        <w:rPr>
          <w:color w:val="auto"/>
        </w:rPr>
        <w:t xml:space="preserve"> Struktura wiekowa bezrobotnych zarejestrowanych w PUP w Lublińcu</w:t>
      </w:r>
      <w:bookmarkEnd w:id="39"/>
    </w:p>
    <w:p w:rsidR="00D43557" w:rsidRDefault="00D43557" w:rsidP="00E168DD">
      <w:pPr>
        <w:spacing w:line="240" w:lineRule="auto"/>
        <w:jc w:val="left"/>
        <w:rPr>
          <w:i/>
          <w:sz w:val="20"/>
          <w:szCs w:val="20"/>
        </w:rPr>
      </w:pPr>
      <w:r w:rsidRPr="002C5BBC">
        <w:rPr>
          <w:i/>
          <w:sz w:val="20"/>
          <w:szCs w:val="20"/>
        </w:rPr>
        <w:t xml:space="preserve">Źródło: </w:t>
      </w:r>
      <w:r>
        <w:rPr>
          <w:i/>
          <w:sz w:val="20"/>
          <w:szCs w:val="20"/>
        </w:rPr>
        <w:t xml:space="preserve">Opracowanie własne, </w:t>
      </w:r>
      <w:r w:rsidRPr="002C5BBC">
        <w:rPr>
          <w:i/>
          <w:sz w:val="20"/>
          <w:szCs w:val="20"/>
        </w:rPr>
        <w:t xml:space="preserve">Informacja o lokalnym rynku pracy, Powiatowy Urząd Pracy w Lublińcu, </w:t>
      </w:r>
      <w:r>
        <w:rPr>
          <w:i/>
          <w:sz w:val="20"/>
          <w:szCs w:val="20"/>
        </w:rPr>
        <w:t>31.XII.2014 r.</w:t>
      </w:r>
    </w:p>
    <w:p w:rsidR="00E168DD" w:rsidRPr="006F2005" w:rsidRDefault="00E168DD" w:rsidP="00D43557"/>
    <w:p w:rsidR="00D43557" w:rsidRDefault="00D43557" w:rsidP="00D43557">
      <w:r w:rsidRPr="006F2005">
        <w:t>W latach 2008-2014 r. Powiatowy Urząd Pracy w Lublińcu realizował między innymi projekt systemowy „Idziemy naprzód – aktywizacja bezrobotnych w powiecie lublinieckim”</w:t>
      </w:r>
      <w:r w:rsidR="005156DA" w:rsidRPr="006F2005">
        <w:t xml:space="preserve"> </w:t>
      </w:r>
      <w:r w:rsidRPr="006F2005">
        <w:rPr>
          <w:bCs/>
        </w:rPr>
        <w:t xml:space="preserve">w ramach Działania 6.1 Poprawa dostępu do zatrudnienia oraz wspieranie aktywności zawodowej w regionie, </w:t>
      </w:r>
      <w:proofErr w:type="spellStart"/>
      <w:r w:rsidRPr="006F2005">
        <w:rPr>
          <w:bCs/>
        </w:rPr>
        <w:t>Poddziałanie</w:t>
      </w:r>
      <w:proofErr w:type="spellEnd"/>
      <w:r w:rsidRPr="006F2005">
        <w:rPr>
          <w:bCs/>
        </w:rPr>
        <w:t xml:space="preserve"> 6.1.3 Poprawa zdolności do zatrudnienia oraz podnoszenie poziomu aktywności zawodowej osób bezrobotnych Program Operacyjny Kapitał Ludzki</w:t>
      </w:r>
      <w:r w:rsidRPr="006F2005">
        <w:t xml:space="preserve">. </w:t>
      </w:r>
      <w:r w:rsidRPr="006F2005">
        <w:rPr>
          <w:bCs/>
        </w:rPr>
        <w:t>Projekt umożliwił</w:t>
      </w:r>
      <w:r>
        <w:rPr>
          <w:bCs/>
        </w:rPr>
        <w:t xml:space="preserve"> aktywizację 1</w:t>
      </w:r>
      <w:r w:rsidRPr="00D93D3A">
        <w:rPr>
          <w:bCs/>
        </w:rPr>
        <w:t>790 osób bezrobotnych, w tym 950 kobiet</w:t>
      </w:r>
      <w:r w:rsidRPr="00D93D3A">
        <w:t>. Najlicz</w:t>
      </w:r>
      <w:r>
        <w:t>niejszą grupę stanowiły osoby z terenów wiejskich – 1</w:t>
      </w:r>
      <w:r w:rsidRPr="00D93D3A">
        <w:t>141 osób (606 kobiet), młodzież do 25 roku życia – 913 osób (488 kobiet), oraz osoby długotrwale bezrobotne – 520 (314 kobiet). Wsparcie w projekcie otrzymały także inne osoby będące w szczególnej sytuacji na rynku pracy: osoby bez kwalifikacji zawodowych, bez doświadczenia zawodowego, niepełnosprawne i w wieku powyżej 50 roku życia.</w:t>
      </w:r>
    </w:p>
    <w:p w:rsidR="00E168DD" w:rsidRDefault="00E168DD" w:rsidP="00D43557"/>
    <w:p w:rsidR="00BB5F46" w:rsidRDefault="00BB5F46" w:rsidP="00A10D06">
      <w:pPr>
        <w:pStyle w:val="Nagwek3"/>
        <w:numPr>
          <w:ilvl w:val="2"/>
          <w:numId w:val="1"/>
        </w:numPr>
      </w:pPr>
      <w:bookmarkStart w:id="40" w:name="_Toc438118367"/>
      <w:r>
        <w:t>Rozwój gospodarczy</w:t>
      </w:r>
      <w:bookmarkEnd w:id="40"/>
    </w:p>
    <w:p w:rsidR="00BB5F46" w:rsidRDefault="00BB5F46" w:rsidP="00BB5F46"/>
    <w:p w:rsidR="00BB5F46" w:rsidRDefault="00BB5F46" w:rsidP="00BB5F46">
      <w:r>
        <w:t xml:space="preserve">Gmina Herby ma charakter przemysłowo-rolniczy. Wśród ogółu – 538 zidentyfikowanych na terenie gminy Herby w 2014 roku podmiotów gospodarki narodowej, większość – aż 95% – stanowią przedsiębiorstwa sektora prywatnego, czyli posiadające prywatny kapitał krajowy lub </w:t>
      </w:r>
      <w:r>
        <w:lastRenderedPageBreak/>
        <w:t xml:space="preserve">zagraniczny. Klasyfikacja na podmioty sektora prywatnego i publicznego, to jeden z podstawowych sposobów grupowania danych statystycznych.  </w:t>
      </w:r>
    </w:p>
    <w:p w:rsidR="00BB5F46" w:rsidRDefault="00BB5F46" w:rsidP="00BB5F46"/>
    <w:p w:rsidR="00BB5F46" w:rsidRDefault="00BB5F46" w:rsidP="00BB5F46">
      <w:r w:rsidRPr="004C51EB">
        <w:rPr>
          <w:noProof/>
          <w:lang w:eastAsia="pl-PL"/>
        </w:rPr>
        <w:drawing>
          <wp:inline distT="0" distB="0" distL="0" distR="0">
            <wp:extent cx="4563583" cy="2743200"/>
            <wp:effectExtent l="19050" t="0" r="27467" b="0"/>
            <wp:docPr id="2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5F46" w:rsidRPr="008079D4" w:rsidRDefault="00BB5F46" w:rsidP="00BB5F46">
      <w:pPr>
        <w:pStyle w:val="Legenda"/>
        <w:ind w:firstLine="0"/>
        <w:rPr>
          <w:color w:val="000000" w:themeColor="text1"/>
        </w:rPr>
      </w:pPr>
      <w:bookmarkStart w:id="41" w:name="_Toc429726513"/>
      <w:r>
        <w:rPr>
          <w:color w:val="000000" w:themeColor="text1"/>
        </w:rPr>
        <w:t>Wykres</w:t>
      </w:r>
      <w:r w:rsidR="00AA43FE">
        <w:rPr>
          <w:color w:val="000000" w:themeColor="text1"/>
        </w:rPr>
        <w:t xml:space="preserve"> </w:t>
      </w:r>
      <w:r w:rsidR="00844CE4">
        <w:rPr>
          <w:color w:val="000000" w:themeColor="text1"/>
        </w:rPr>
        <w:fldChar w:fldCharType="begin"/>
      </w:r>
      <w:r>
        <w:rPr>
          <w:color w:val="000000" w:themeColor="text1"/>
        </w:rPr>
        <w:instrText xml:space="preserve"> SEQ Wykres \* ARABIC </w:instrText>
      </w:r>
      <w:r w:rsidR="00844CE4">
        <w:rPr>
          <w:color w:val="000000" w:themeColor="text1"/>
        </w:rPr>
        <w:fldChar w:fldCharType="separate"/>
      </w:r>
      <w:r w:rsidR="005C42FD">
        <w:rPr>
          <w:noProof/>
          <w:color w:val="000000" w:themeColor="text1"/>
        </w:rPr>
        <w:t>11</w:t>
      </w:r>
      <w:r w:rsidR="00844CE4">
        <w:rPr>
          <w:color w:val="000000" w:themeColor="text1"/>
        </w:rPr>
        <w:fldChar w:fldCharType="end"/>
      </w:r>
      <w:r w:rsidRPr="008079D4">
        <w:rPr>
          <w:color w:val="000000" w:themeColor="text1"/>
        </w:rPr>
        <w:t xml:space="preserve"> Podmioty gospodarki narodowej </w:t>
      </w:r>
      <w:r>
        <w:rPr>
          <w:color w:val="000000" w:themeColor="text1"/>
        </w:rPr>
        <w:t xml:space="preserve">według sektorów własnościowych </w:t>
      </w:r>
      <w:r w:rsidRPr="008079D4">
        <w:rPr>
          <w:color w:val="000000" w:themeColor="text1"/>
        </w:rPr>
        <w:t>w gminie Herby</w:t>
      </w:r>
      <w:bookmarkEnd w:id="41"/>
    </w:p>
    <w:p w:rsidR="00BB5F46" w:rsidRPr="008079D4" w:rsidRDefault="00BB5F46" w:rsidP="00BB5F46">
      <w:pPr>
        <w:rPr>
          <w:i/>
          <w:sz w:val="20"/>
          <w:szCs w:val="20"/>
        </w:rPr>
      </w:pPr>
      <w:r w:rsidRPr="008079D4">
        <w:rPr>
          <w:i/>
          <w:sz w:val="20"/>
          <w:szCs w:val="20"/>
        </w:rPr>
        <w:t xml:space="preserve">Źródło: </w:t>
      </w:r>
      <w:r>
        <w:rPr>
          <w:i/>
          <w:sz w:val="20"/>
          <w:szCs w:val="20"/>
        </w:rPr>
        <w:t xml:space="preserve">opracowanie własne, </w:t>
      </w:r>
      <w:r w:rsidRPr="008079D4">
        <w:rPr>
          <w:i/>
          <w:sz w:val="20"/>
          <w:szCs w:val="20"/>
        </w:rPr>
        <w:t>Bank Danych Lokalnych GUS, 31.XII.2014 r.</w:t>
      </w:r>
    </w:p>
    <w:p w:rsidR="00BB5F46" w:rsidRDefault="00BB5F46" w:rsidP="00BB5F46"/>
    <w:p w:rsidR="00BB5F46" w:rsidRDefault="00BB5F46" w:rsidP="00BB5F46">
      <w:r>
        <w:t>Innym, pozwalającym ocenić działania podmiotów gospodarczych, jest podział na mikro, małe, średnie i duże przedsiębiorstwa. Obowiązująca klasyfikacja, przyjęta przez GUS, dotyczy podziału przedsiębiorstw według liczby zatrudnianych pracowników. W badanej zbiorowości, największy odsetek 96%  (516 podmiotów) stanowiły przedsiębiorstwa najmniejsze, tj. o liczbie pracujących poniżej 9 osób. Udział podmiotów o liczbie pracujących od 10 do 49 wyniósł 3%, a zaledwie 1%, to przedsiębiorstwa średnie zatrudniające od 50 do 249 pracowników. Dominujące na terenie gminy mikro-przedsiębiorstwa cechuje rodzinny charakter</w:t>
      </w:r>
      <w:r w:rsidRPr="00B21E13">
        <w:t xml:space="preserve"> oraz </w:t>
      </w:r>
      <w:r>
        <w:t>fakt</w:t>
      </w:r>
      <w:r w:rsidRPr="00B21E13">
        <w:t>, że znajduje w nich zatrudnienie coraz większa liczba osób. Zaletą mikro</w:t>
      </w:r>
      <w:r>
        <w:t>-</w:t>
      </w:r>
      <w:r w:rsidRPr="00B21E13">
        <w:t xml:space="preserve">przedsiębiorstw jest ich elastyczność działania, finansowania i podziału zysku. </w:t>
      </w:r>
      <w:r>
        <w:t>Do</w:t>
      </w:r>
      <w:r w:rsidRPr="00B21E13">
        <w:t xml:space="preserve"> wad należy zaliczyć ograniczone możliwości gromadzenia środków finansowych przez pojedynczego właściciela. Ograniczone środki finansowe hamują również rozwój tego typu firm.</w:t>
      </w:r>
      <w:r>
        <w:t xml:space="preserve"> Zmiany w ewidencji firm są niewielkie </w:t>
      </w:r>
      <w:r>
        <w:br/>
        <w:t>i świadczą o relatywnej stabilności istniejących podmiotów gospodarczych, oraz o średnim wzroście podmiotów nowo zarejestrowanych.</w:t>
      </w:r>
    </w:p>
    <w:p w:rsidR="00BB5F46" w:rsidRPr="00C2700A" w:rsidRDefault="00BB5F46" w:rsidP="00BB5F46">
      <w:pPr>
        <w:spacing w:line="240" w:lineRule="auto"/>
        <w:rPr>
          <w:sz w:val="16"/>
          <w:szCs w:val="16"/>
        </w:rPr>
      </w:pPr>
    </w:p>
    <w:p w:rsidR="00BB5F46" w:rsidRDefault="00BB5F46" w:rsidP="00BB5F46">
      <w:r w:rsidRPr="00CE0238">
        <w:rPr>
          <w:noProof/>
          <w:lang w:eastAsia="pl-PL"/>
        </w:rPr>
        <w:lastRenderedPageBreak/>
        <w:drawing>
          <wp:inline distT="0" distB="0" distL="0" distR="0">
            <wp:extent cx="3883099" cy="2456121"/>
            <wp:effectExtent l="19050" t="0" r="22151" b="1329"/>
            <wp:docPr id="2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5F46" w:rsidRPr="00CE0238" w:rsidRDefault="00BB5F46" w:rsidP="00DB52CA">
      <w:pPr>
        <w:pStyle w:val="Legenda"/>
        <w:ind w:firstLine="0"/>
        <w:rPr>
          <w:color w:val="000000" w:themeColor="text1"/>
        </w:rPr>
      </w:pPr>
      <w:bookmarkStart w:id="42" w:name="_Toc429726514"/>
      <w:r>
        <w:rPr>
          <w:color w:val="000000" w:themeColor="text1"/>
        </w:rPr>
        <w:t>Wykres</w:t>
      </w:r>
      <w:r w:rsidR="00AA43FE">
        <w:rPr>
          <w:color w:val="000000" w:themeColor="text1"/>
        </w:rPr>
        <w:t xml:space="preserve"> </w:t>
      </w:r>
      <w:r w:rsidR="00844CE4">
        <w:rPr>
          <w:color w:val="000000" w:themeColor="text1"/>
        </w:rPr>
        <w:fldChar w:fldCharType="begin"/>
      </w:r>
      <w:r>
        <w:rPr>
          <w:color w:val="000000" w:themeColor="text1"/>
        </w:rPr>
        <w:instrText xml:space="preserve"> SEQ Wykres \* ARABIC </w:instrText>
      </w:r>
      <w:r w:rsidR="00844CE4">
        <w:rPr>
          <w:color w:val="000000" w:themeColor="text1"/>
        </w:rPr>
        <w:fldChar w:fldCharType="separate"/>
      </w:r>
      <w:r w:rsidR="005C42FD">
        <w:rPr>
          <w:noProof/>
          <w:color w:val="000000" w:themeColor="text1"/>
        </w:rPr>
        <w:t>12</w:t>
      </w:r>
      <w:r w:rsidR="00844CE4">
        <w:rPr>
          <w:color w:val="000000" w:themeColor="text1"/>
        </w:rPr>
        <w:fldChar w:fldCharType="end"/>
      </w:r>
      <w:r w:rsidRPr="00CE0238">
        <w:rPr>
          <w:color w:val="000000" w:themeColor="text1"/>
        </w:rPr>
        <w:t xml:space="preserve"> Podmioty gospodarcze wg klas wielkości w gminie Herby</w:t>
      </w:r>
      <w:bookmarkEnd w:id="42"/>
    </w:p>
    <w:p w:rsidR="00BB5F46" w:rsidRPr="00C2700A" w:rsidRDefault="00BB5F46" w:rsidP="00DB52CA">
      <w:pPr>
        <w:spacing w:line="240" w:lineRule="auto"/>
        <w:rPr>
          <w:i/>
          <w:sz w:val="20"/>
          <w:szCs w:val="20"/>
        </w:rPr>
      </w:pPr>
      <w:r w:rsidRPr="00CE0238">
        <w:rPr>
          <w:i/>
          <w:sz w:val="20"/>
          <w:szCs w:val="20"/>
        </w:rPr>
        <w:t xml:space="preserve">Źródło: </w:t>
      </w:r>
      <w:r>
        <w:rPr>
          <w:i/>
          <w:sz w:val="20"/>
          <w:szCs w:val="20"/>
        </w:rPr>
        <w:t xml:space="preserve">opracowanie własne, </w:t>
      </w:r>
      <w:r w:rsidRPr="00CE0238">
        <w:rPr>
          <w:i/>
          <w:sz w:val="20"/>
          <w:szCs w:val="20"/>
        </w:rPr>
        <w:t>Bank Danych Lokalnych GUS, 31.XII.2014 r.</w:t>
      </w:r>
    </w:p>
    <w:p w:rsidR="00BB5F46" w:rsidRPr="00C2700A" w:rsidRDefault="00BB5F46" w:rsidP="00BB5F46">
      <w:pPr>
        <w:spacing w:line="240" w:lineRule="auto"/>
        <w:rPr>
          <w:sz w:val="16"/>
          <w:szCs w:val="16"/>
        </w:rPr>
      </w:pPr>
    </w:p>
    <w:p w:rsidR="00BB5F46" w:rsidRDefault="00BB5F46" w:rsidP="00BB5F46">
      <w:r>
        <w:t xml:space="preserve">Spośród ogółu przedsiębiorstw działających na terenie gminy Herby (538) na koniec 2014 roku najwięcej prowadziło działalność związaną z handlem (151), budownictwem (81) i przetwórstwem przemysłowym (61). Te trzy branże stanowią 54,5% ogółu wpisanych do rejestru REGON podmiotów działających na terenie gminy. </w:t>
      </w:r>
    </w:p>
    <w:p w:rsidR="00BB5F46" w:rsidRDefault="00BB5F46" w:rsidP="00BB5F46">
      <w:pPr>
        <w:keepNext/>
      </w:pPr>
      <w:r w:rsidRPr="0049338E">
        <w:rPr>
          <w:noProof/>
          <w:lang w:eastAsia="pl-PL"/>
        </w:rPr>
        <w:drawing>
          <wp:inline distT="0" distB="0" distL="0" distR="0">
            <wp:extent cx="5616206" cy="3213410"/>
            <wp:effectExtent l="19050" t="0" r="22594" b="6040"/>
            <wp:docPr id="2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B5F46" w:rsidRDefault="00BB5F46" w:rsidP="00BB5F46">
      <w:pPr>
        <w:pStyle w:val="Legenda"/>
        <w:ind w:firstLine="0"/>
        <w:rPr>
          <w:color w:val="auto"/>
        </w:rPr>
      </w:pPr>
      <w:bookmarkStart w:id="43" w:name="_Toc429726515"/>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13</w:t>
      </w:r>
      <w:r w:rsidR="00844CE4">
        <w:rPr>
          <w:color w:val="auto"/>
        </w:rPr>
        <w:fldChar w:fldCharType="end"/>
      </w:r>
      <w:r w:rsidRPr="0049338E">
        <w:rPr>
          <w:color w:val="auto"/>
        </w:rPr>
        <w:t xml:space="preserve"> Jednostki wpisane do rejestru REGON wg sekcji PKD</w:t>
      </w:r>
      <w:r>
        <w:rPr>
          <w:color w:val="auto"/>
        </w:rPr>
        <w:t xml:space="preserve"> 2007 w gminie Herby</w:t>
      </w:r>
      <w:bookmarkEnd w:id="43"/>
    </w:p>
    <w:p w:rsidR="00BB5F46" w:rsidRDefault="00BB5F46" w:rsidP="00BB5F46">
      <w:pPr>
        <w:rPr>
          <w:i/>
          <w:sz w:val="20"/>
          <w:szCs w:val="20"/>
        </w:rPr>
      </w:pPr>
      <w:r w:rsidRPr="005E5A6F">
        <w:rPr>
          <w:i/>
          <w:sz w:val="20"/>
          <w:szCs w:val="20"/>
        </w:rPr>
        <w:t xml:space="preserve">Źródło: </w:t>
      </w:r>
      <w:r>
        <w:rPr>
          <w:i/>
          <w:sz w:val="20"/>
          <w:szCs w:val="20"/>
        </w:rPr>
        <w:t xml:space="preserve">opracowanie własne, </w:t>
      </w:r>
      <w:r w:rsidRPr="005E5A6F">
        <w:rPr>
          <w:i/>
          <w:sz w:val="20"/>
          <w:szCs w:val="20"/>
        </w:rPr>
        <w:t>Bank Danych Lokalnych GUS, 31.XII.2014 r.</w:t>
      </w:r>
    </w:p>
    <w:p w:rsidR="00BB5F46" w:rsidRPr="00C2700A" w:rsidRDefault="00BB5F46" w:rsidP="00BB5F46">
      <w:r>
        <w:lastRenderedPageBreak/>
        <w:t>W latach od 2010 do końca 2014 roku, sektor publiczny zarejestrowanych podmiotów gospodarczych na terenie gminy nie wykazywał większych zmian. Sektor prywatny charakteryzował się nieznacznym dynamizmem. Do końca 2013 roku można zaobserwować niewielki wzrost liczby przedsiębiorstw (od 459 w 2010 roku do 525 w 2013 roku), dopiero 2014 rok cechuje niewielki spadek ze względu na likwidację 14 podmiotów gospodarczych z sektora prywatnego. Dane uzyskane z Głównego Urzędu Statystycznego przedstawione na wykresie 1</w:t>
      </w:r>
      <w:r w:rsidR="00952ADE">
        <w:t>4</w:t>
      </w:r>
      <w:r w:rsidR="005527AC">
        <w:t xml:space="preserve"> </w:t>
      </w:r>
      <w:r>
        <w:t xml:space="preserve">wskazują na stabilną sytuację gospodarczą na terenie gminy Herby. </w:t>
      </w:r>
    </w:p>
    <w:p w:rsidR="00BB5F46" w:rsidRDefault="00BB5F46" w:rsidP="00BB5F46"/>
    <w:p w:rsidR="00BB5F46" w:rsidRDefault="00BB5F46" w:rsidP="00BB5F46">
      <w:r w:rsidRPr="000C0664">
        <w:rPr>
          <w:noProof/>
          <w:lang w:eastAsia="pl-PL"/>
        </w:rPr>
        <w:drawing>
          <wp:inline distT="0" distB="0" distL="0" distR="0">
            <wp:extent cx="4542318" cy="2636875"/>
            <wp:effectExtent l="19050" t="0" r="10632" b="0"/>
            <wp:docPr id="2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5F46" w:rsidRDefault="00BB5F46" w:rsidP="00BB5F46">
      <w:pPr>
        <w:pStyle w:val="Legenda"/>
        <w:ind w:firstLine="0"/>
        <w:rPr>
          <w:color w:val="000000" w:themeColor="text1"/>
        </w:rPr>
      </w:pPr>
      <w:bookmarkStart w:id="44" w:name="_Toc429726516"/>
      <w:r>
        <w:rPr>
          <w:color w:val="000000" w:themeColor="text1"/>
        </w:rPr>
        <w:t>Wykres</w:t>
      </w:r>
      <w:r w:rsidR="00AA43FE">
        <w:rPr>
          <w:color w:val="000000" w:themeColor="text1"/>
        </w:rPr>
        <w:t xml:space="preserve"> </w:t>
      </w:r>
      <w:r w:rsidR="00844CE4">
        <w:rPr>
          <w:color w:val="000000" w:themeColor="text1"/>
        </w:rPr>
        <w:fldChar w:fldCharType="begin"/>
      </w:r>
      <w:r>
        <w:rPr>
          <w:color w:val="000000" w:themeColor="text1"/>
        </w:rPr>
        <w:instrText xml:space="preserve"> SEQ Wykres \* ARABIC </w:instrText>
      </w:r>
      <w:r w:rsidR="00844CE4">
        <w:rPr>
          <w:color w:val="000000" w:themeColor="text1"/>
        </w:rPr>
        <w:fldChar w:fldCharType="separate"/>
      </w:r>
      <w:r w:rsidR="005C42FD">
        <w:rPr>
          <w:noProof/>
          <w:color w:val="000000" w:themeColor="text1"/>
        </w:rPr>
        <w:t>14</w:t>
      </w:r>
      <w:r w:rsidR="00844CE4">
        <w:rPr>
          <w:color w:val="000000" w:themeColor="text1"/>
        </w:rPr>
        <w:fldChar w:fldCharType="end"/>
      </w:r>
      <w:r w:rsidRPr="000C0664">
        <w:rPr>
          <w:color w:val="000000" w:themeColor="text1"/>
        </w:rPr>
        <w:t xml:space="preserve"> Podmioty według sektorów własnościowych w gminie Herby w latach 2010-2014</w:t>
      </w:r>
      <w:bookmarkEnd w:id="44"/>
    </w:p>
    <w:p w:rsidR="00BB5F46" w:rsidRPr="000C0664" w:rsidRDefault="00BB5F46" w:rsidP="00BB5F46">
      <w:pPr>
        <w:jc w:val="left"/>
        <w:rPr>
          <w:i/>
          <w:sz w:val="20"/>
          <w:szCs w:val="20"/>
        </w:rPr>
      </w:pPr>
      <w:r w:rsidRPr="000C0664">
        <w:rPr>
          <w:i/>
          <w:sz w:val="20"/>
          <w:szCs w:val="20"/>
        </w:rPr>
        <w:t>Źródło: opracowanie własne, Bank Danych Lokalnych GUS</w:t>
      </w:r>
      <w:r>
        <w:rPr>
          <w:i/>
          <w:sz w:val="20"/>
          <w:szCs w:val="20"/>
        </w:rPr>
        <w:br w:type="textWrapping" w:clear="all"/>
      </w:r>
    </w:p>
    <w:p w:rsidR="00BB5F46" w:rsidRDefault="00BB5F46" w:rsidP="00BB5F46">
      <w:r w:rsidRPr="00A12FF1">
        <w:t>Przemysł</w:t>
      </w:r>
      <w:r>
        <w:t xml:space="preserve"> na terenie gminy</w:t>
      </w:r>
      <w:r w:rsidRPr="00A12FF1">
        <w:t xml:space="preserve"> zlokalizowany jest w większości w </w:t>
      </w:r>
      <w:r>
        <w:t>miejscowości Herby oraz Lisów</w:t>
      </w:r>
      <w:r w:rsidRPr="00A12FF1">
        <w:t>.  Do głównych zakładów należą:</w:t>
      </w:r>
    </w:p>
    <w:p w:rsidR="00BB5F46" w:rsidRPr="007500DD" w:rsidRDefault="00BB5F46" w:rsidP="00BB5F46">
      <w:pPr>
        <w:spacing w:line="240" w:lineRule="auto"/>
        <w:rPr>
          <w:sz w:val="16"/>
          <w:szCs w:val="16"/>
        </w:rPr>
      </w:pPr>
    </w:p>
    <w:p w:rsidR="00BB5F46" w:rsidRDefault="00BB5F46" w:rsidP="00E7342B">
      <w:pPr>
        <w:pStyle w:val="Akapitzlist"/>
        <w:numPr>
          <w:ilvl w:val="0"/>
          <w:numId w:val="16"/>
        </w:numPr>
        <w:spacing w:after="0"/>
      </w:pPr>
      <w:proofErr w:type="spellStart"/>
      <w:r>
        <w:t>Scrapena</w:t>
      </w:r>
      <w:proofErr w:type="spellEnd"/>
      <w:r>
        <w:t xml:space="preserve"> S.A. – </w:t>
      </w:r>
      <w:r w:rsidRPr="00A12FF1">
        <w:t>skup i prze</w:t>
      </w:r>
      <w:r>
        <w:t>rób złomu, recykling samochodów.</w:t>
      </w:r>
    </w:p>
    <w:p w:rsidR="00BB5F46" w:rsidRDefault="00BB5F46" w:rsidP="00E7342B">
      <w:pPr>
        <w:pStyle w:val="Akapitzlist"/>
        <w:numPr>
          <w:ilvl w:val="0"/>
          <w:numId w:val="16"/>
        </w:numPr>
        <w:spacing w:after="0"/>
        <w:jc w:val="left"/>
      </w:pPr>
      <w:r w:rsidRPr="00A12FF1">
        <w:t>YA</w:t>
      </w:r>
      <w:r>
        <w:t xml:space="preserve">WAL System sp. z o. o. – </w:t>
      </w:r>
      <w:r w:rsidRPr="00A12FF1">
        <w:t>produkcja</w:t>
      </w:r>
      <w:r w:rsidR="006F2005">
        <w:t xml:space="preserve"> </w:t>
      </w:r>
      <w:r w:rsidRPr="00A12FF1">
        <w:t xml:space="preserve">konstrukcji metalowych (profile aluminiowe),  produkcja metalowych elementów stolarki budowlanej.  </w:t>
      </w:r>
    </w:p>
    <w:p w:rsidR="00BB5F46" w:rsidRDefault="00BB5F46" w:rsidP="00E7342B">
      <w:pPr>
        <w:pStyle w:val="Akapitzlist"/>
        <w:numPr>
          <w:ilvl w:val="0"/>
          <w:numId w:val="16"/>
        </w:numPr>
        <w:spacing w:after="0"/>
        <w:jc w:val="left"/>
      </w:pPr>
      <w:r>
        <w:t>Bruk Spółka z o. o. – produkcja wyrobów z betonu.</w:t>
      </w:r>
    </w:p>
    <w:p w:rsidR="00BB5F46" w:rsidRDefault="00BB5F46" w:rsidP="00E7342B">
      <w:pPr>
        <w:pStyle w:val="Akapitzlist"/>
        <w:numPr>
          <w:ilvl w:val="0"/>
          <w:numId w:val="16"/>
        </w:numPr>
        <w:spacing w:after="0"/>
        <w:jc w:val="left"/>
      </w:pPr>
      <w:r w:rsidRPr="00A12FF1">
        <w:t>Zakłady Metalowe „KOZAMEX”, Z</w:t>
      </w:r>
      <w:r>
        <w:t xml:space="preserve">akład Pracy Chronionej – </w:t>
      </w:r>
      <w:r w:rsidRPr="00A12FF1">
        <w:t>ślusarstwo</w:t>
      </w:r>
      <w:r>
        <w:t xml:space="preserve"> produkcyjne. </w:t>
      </w:r>
    </w:p>
    <w:p w:rsidR="00BB5F46" w:rsidRDefault="00BB5F46" w:rsidP="00E7342B">
      <w:pPr>
        <w:pStyle w:val="Akapitzlist"/>
        <w:numPr>
          <w:ilvl w:val="0"/>
          <w:numId w:val="16"/>
        </w:numPr>
        <w:spacing w:after="0"/>
        <w:jc w:val="left"/>
      </w:pPr>
      <w:r w:rsidRPr="00A12FF1">
        <w:t>Przedsiębiorstwo Produkcyjne „</w:t>
      </w:r>
      <w:proofErr w:type="spellStart"/>
      <w:r w:rsidRPr="00A12FF1">
        <w:t>A</w:t>
      </w:r>
      <w:r>
        <w:t>rtco</w:t>
      </w:r>
      <w:proofErr w:type="spellEnd"/>
      <w:r>
        <w:t xml:space="preserve">” – </w:t>
      </w:r>
      <w:r w:rsidRPr="00A12FF1">
        <w:t>obróbka</w:t>
      </w:r>
      <w:r w:rsidR="006F2005">
        <w:t xml:space="preserve"> </w:t>
      </w:r>
      <w:r w:rsidRPr="00A12FF1">
        <w:t>metali</w:t>
      </w:r>
      <w:r>
        <w:t xml:space="preserve"> i nakładanie powłok na metale (galwanizernia). </w:t>
      </w:r>
    </w:p>
    <w:p w:rsidR="00BB5F46" w:rsidRDefault="00BB5F46" w:rsidP="00E7342B">
      <w:pPr>
        <w:pStyle w:val="Akapitzlist"/>
        <w:numPr>
          <w:ilvl w:val="0"/>
          <w:numId w:val="16"/>
        </w:numPr>
        <w:spacing w:after="0"/>
        <w:jc w:val="left"/>
      </w:pPr>
      <w:r>
        <w:lastRenderedPageBreak/>
        <w:t xml:space="preserve">„Joker - Herby” – </w:t>
      </w:r>
      <w:r w:rsidRPr="00A12FF1">
        <w:t>produkcja</w:t>
      </w:r>
      <w:r w:rsidR="006F2005">
        <w:t xml:space="preserve"> </w:t>
      </w:r>
      <w:r w:rsidRPr="00A12FF1">
        <w:t>i</w:t>
      </w:r>
      <w:r>
        <w:t xml:space="preserve"> przetwórstwo owoców i warzyw.</w:t>
      </w:r>
    </w:p>
    <w:p w:rsidR="00BB5F46" w:rsidRDefault="00BB5F46" w:rsidP="00E7342B">
      <w:pPr>
        <w:pStyle w:val="Akapitzlist"/>
        <w:numPr>
          <w:ilvl w:val="0"/>
          <w:numId w:val="16"/>
        </w:numPr>
        <w:spacing w:after="0"/>
        <w:jc w:val="left"/>
      </w:pPr>
      <w:r w:rsidRPr="00A12FF1">
        <w:t>Zakład Powłok Galwanicznych „G</w:t>
      </w:r>
      <w:r>
        <w:t>ALWAH” Kulej i Wspólnicy Sp. J.</w:t>
      </w:r>
      <w:r w:rsidR="006F2005">
        <w:t xml:space="preserve"> </w:t>
      </w:r>
      <w:r>
        <w:t xml:space="preserve">Pietrzaki – </w:t>
      </w:r>
      <w:r w:rsidRPr="00A12FF1">
        <w:t xml:space="preserve">obróbka metali </w:t>
      </w:r>
      <w:r>
        <w:t xml:space="preserve">i </w:t>
      </w:r>
      <w:r w:rsidRPr="00A12FF1">
        <w:t>nakładanie p</w:t>
      </w:r>
      <w:r>
        <w:t>owłok na metale (galwanizernia).</w:t>
      </w:r>
    </w:p>
    <w:p w:rsidR="00BB5F46" w:rsidRDefault="00BB5F46" w:rsidP="00E7342B">
      <w:pPr>
        <w:pStyle w:val="Akapitzlist"/>
        <w:numPr>
          <w:ilvl w:val="0"/>
          <w:numId w:val="16"/>
        </w:numPr>
        <w:spacing w:after="0"/>
        <w:jc w:val="left"/>
      </w:pPr>
      <w:r>
        <w:t>Nadleśnictwo Herby – gospodarka leśna.</w:t>
      </w:r>
    </w:p>
    <w:p w:rsidR="00BB5F46" w:rsidRDefault="00BB5F46" w:rsidP="00E7342B">
      <w:pPr>
        <w:pStyle w:val="Akapitzlist"/>
        <w:numPr>
          <w:ilvl w:val="0"/>
          <w:numId w:val="16"/>
        </w:numPr>
        <w:spacing w:after="0"/>
        <w:jc w:val="left"/>
      </w:pPr>
      <w:r w:rsidRPr="00A12FF1">
        <w:t>Gminna Sp</w:t>
      </w:r>
      <w:r>
        <w:t>ółdzielnia „Samopomoc Chłopska“ – produkcja</w:t>
      </w:r>
      <w:r w:rsidRPr="00A12FF1">
        <w:t xml:space="preserve"> chleba,</w:t>
      </w:r>
      <w:r>
        <w:t xml:space="preserve"> sprzedaż detaliczna żywności.</w:t>
      </w:r>
    </w:p>
    <w:p w:rsidR="00DB52CA" w:rsidRDefault="00DB52CA" w:rsidP="00BB5F46"/>
    <w:p w:rsidR="00BB5F46" w:rsidRDefault="00BB5F46" w:rsidP="00BB5F46">
      <w:r>
        <w:t xml:space="preserve">Ze względu na walory turystyczne terenów gminy Herby warto zwrócić uwagę na możliwości rozwoju agroturystyki i działalności towarzyszących. Rozwój gospodarstw rolnych w kierunku produkcji ekologicznej żywności oraz możliwość wypoczynku na łonie natury, są realną szansą na poprawę warunków bytowych. Działania promujące gminę, a także rozbudowa infrastruktury turystycznej (m.in. dróg, miejsc noclegowych, ośrodków rekreacyjnych i kulturalnych) mogą mieć wpływ na dalszy rozwój gminy w oparciu o ekologiczne, społeczne i kulturowe aspekty zrównoważonego rozwoju. </w:t>
      </w:r>
    </w:p>
    <w:p w:rsidR="00DB52CA" w:rsidRPr="00DD157C" w:rsidRDefault="00DB52CA" w:rsidP="00BB5F46"/>
    <w:p w:rsidR="00BB5F46" w:rsidRDefault="000117A8" w:rsidP="00A10D06">
      <w:pPr>
        <w:pStyle w:val="Nagwek2"/>
        <w:numPr>
          <w:ilvl w:val="1"/>
          <w:numId w:val="1"/>
        </w:numPr>
      </w:pPr>
      <w:bookmarkStart w:id="45" w:name="_Toc438118368"/>
      <w:r>
        <w:t xml:space="preserve"> </w:t>
      </w:r>
      <w:r w:rsidR="00FA5462">
        <w:t>Infrastruktura</w:t>
      </w:r>
      <w:bookmarkEnd w:id="45"/>
    </w:p>
    <w:p w:rsidR="00FA5462" w:rsidRDefault="00FA5462" w:rsidP="00A10D06">
      <w:pPr>
        <w:pStyle w:val="Nagwek3"/>
        <w:numPr>
          <w:ilvl w:val="2"/>
          <w:numId w:val="1"/>
        </w:numPr>
      </w:pPr>
      <w:bookmarkStart w:id="46" w:name="_Toc438118369"/>
      <w:r>
        <w:t>Komunikacja</w:t>
      </w:r>
      <w:bookmarkEnd w:id="46"/>
    </w:p>
    <w:p w:rsidR="00FA5462" w:rsidRPr="00FA5462" w:rsidRDefault="00FA5462" w:rsidP="00FA5462"/>
    <w:p w:rsidR="001B7474" w:rsidRPr="003A23A1" w:rsidRDefault="00FA5462" w:rsidP="001B7474">
      <w:pPr>
        <w:rPr>
          <w:rFonts w:cs="Tahoma"/>
          <w:color w:val="FF0000"/>
        </w:rPr>
      </w:pPr>
      <w:r w:rsidRPr="00FA5462">
        <w:t xml:space="preserve">Komunikacja (transport i łączność) jest istotnym działem gospodarki krajowej. Obecnie nie jest to dziedzina, która nadąża za dynamicznym rozwojem innych dziedzin gospodarki. Rozbudowa sieci transportowej, zwłaszcza kolejowej w gminie Herby, odegrała znaczącą rolę dla rozwoju regionu. Należy podkreślić, że gęstość szlaków transportowych, w tym także sieci kolejowej, jest wystarczająca, jednak ich jakość odbiega od standardów europejskich i wymaga licznych modernizacji. Inwestycje w zakresie infrastruktury komunikacyjnej są jednym z najpilniejszych aktualnych zadań. </w:t>
      </w:r>
      <w:r w:rsidR="001B7474" w:rsidRPr="00E97626">
        <w:rPr>
          <w:rFonts w:cs="Tahoma"/>
        </w:rPr>
        <w:t xml:space="preserve">W latach 2014 – 2015 zmodernizowano linię kolejową na odcinku Częstochowa – Opole i przystosowano ją dla ruchu pociągów </w:t>
      </w:r>
      <w:proofErr w:type="spellStart"/>
      <w:r w:rsidR="001B7474" w:rsidRPr="00E97626">
        <w:rPr>
          <w:rFonts w:cs="Tahoma"/>
        </w:rPr>
        <w:t>Pendolino</w:t>
      </w:r>
      <w:proofErr w:type="spellEnd"/>
      <w:r w:rsidR="001B7474" w:rsidRPr="00E97626">
        <w:rPr>
          <w:rFonts w:cs="Tahoma"/>
        </w:rPr>
        <w:t>.</w:t>
      </w:r>
    </w:p>
    <w:p w:rsidR="00FA5462" w:rsidRPr="00FA5462" w:rsidRDefault="00FA5462" w:rsidP="00FA5462">
      <w:r w:rsidRPr="00FA5462">
        <w:t>Gmina Herby posiada dogodne połączenia komunikacyjne</w:t>
      </w:r>
      <w:r w:rsidRPr="00FA5462">
        <w:rPr>
          <w:vertAlign w:val="superscript"/>
        </w:rPr>
        <w:footnoteReference w:id="13"/>
      </w:r>
      <w:r w:rsidRPr="00FA5462">
        <w:t>. Przez Herby przebiega szlak kolejowy Śląsk-Porty ze stacją w Herbach Nowych oraz linia kolejowa</w:t>
      </w:r>
      <w:r w:rsidR="001B7474">
        <w:t xml:space="preserve"> Opole - </w:t>
      </w:r>
      <w:r w:rsidRPr="00FA5462">
        <w:t xml:space="preserve"> Lubliniec-Częstochowa ze stacją w Herbach Starych. Szkielet drogowego układu komunikacyjnego gminy </w:t>
      </w:r>
      <w:r w:rsidRPr="00FA5462">
        <w:lastRenderedPageBreak/>
        <w:t xml:space="preserve">stanowią: droga krajowa nr 46 Częstochowa-Opole oraz droga wojewódzka nr 905 Herby-Piasek. Są to drogi </w:t>
      </w:r>
      <w:proofErr w:type="spellStart"/>
      <w:r w:rsidRPr="00FA5462">
        <w:t>jednojezdniowe</w:t>
      </w:r>
      <w:proofErr w:type="spellEnd"/>
      <w:r w:rsidRPr="00FA5462">
        <w:t>, na dużych odcinkach przebiegające pośród zabudowy.</w:t>
      </w:r>
    </w:p>
    <w:p w:rsidR="00FA5462" w:rsidRPr="00FA5462" w:rsidRDefault="00FA5462" w:rsidP="00FA5462">
      <w:r w:rsidRPr="00FA5462">
        <w:t>Uzupełnieniem układu komunikacyjnego są drogi powiatowe:</w:t>
      </w:r>
    </w:p>
    <w:p w:rsidR="001B7474" w:rsidRPr="003A23A1" w:rsidRDefault="001B7474" w:rsidP="001B7474">
      <w:pPr>
        <w:rPr>
          <w:rFonts w:cs="Tahoma"/>
          <w:color w:val="FF0000"/>
        </w:rPr>
      </w:pPr>
      <w:r w:rsidRPr="00B737ED">
        <w:rPr>
          <w:rFonts w:cs="Tahoma"/>
          <w:b/>
        </w:rPr>
        <w:t xml:space="preserve">S 1020 </w:t>
      </w:r>
      <w:r>
        <w:rPr>
          <w:rFonts w:cs="Tahoma"/>
        </w:rPr>
        <w:t xml:space="preserve">   Puszczew – </w:t>
      </w:r>
      <w:r w:rsidRPr="00B737ED">
        <w:rPr>
          <w:rFonts w:cs="Tahoma"/>
        </w:rPr>
        <w:t>Herby</w:t>
      </w:r>
      <w:r>
        <w:rPr>
          <w:rFonts w:cs="Tahoma"/>
        </w:rPr>
        <w:t xml:space="preserve">: </w:t>
      </w:r>
      <w:r w:rsidRPr="00E97626">
        <w:rPr>
          <w:rFonts w:cs="Tahoma"/>
        </w:rPr>
        <w:t>1,1 km</w:t>
      </w:r>
    </w:p>
    <w:p w:rsidR="001B7474" w:rsidRPr="00B737ED" w:rsidRDefault="001B7474" w:rsidP="001B7474">
      <w:pPr>
        <w:rPr>
          <w:rFonts w:cs="Tahoma"/>
        </w:rPr>
      </w:pPr>
      <w:r w:rsidRPr="00B737ED">
        <w:rPr>
          <w:rFonts w:cs="Tahoma"/>
          <w:b/>
        </w:rPr>
        <w:t xml:space="preserve">S 1021 </w:t>
      </w:r>
      <w:r>
        <w:rPr>
          <w:rFonts w:cs="Tahoma"/>
        </w:rPr>
        <w:t xml:space="preserve">   Olszyna – </w:t>
      </w:r>
      <w:r w:rsidRPr="00B737ED">
        <w:rPr>
          <w:rFonts w:cs="Tahoma"/>
        </w:rPr>
        <w:t>Aleksandria</w:t>
      </w:r>
      <w:r>
        <w:rPr>
          <w:rFonts w:cs="Tahoma"/>
        </w:rPr>
        <w:t xml:space="preserve">:  </w:t>
      </w:r>
      <w:r w:rsidRPr="00E97626">
        <w:rPr>
          <w:rFonts w:cs="Tahoma"/>
        </w:rPr>
        <w:t>3,2 km</w:t>
      </w:r>
    </w:p>
    <w:p w:rsidR="001B7474" w:rsidRPr="003A23A1" w:rsidRDefault="001B7474" w:rsidP="001B7474">
      <w:pPr>
        <w:rPr>
          <w:rFonts w:cs="Tahoma"/>
          <w:color w:val="FF0000"/>
        </w:rPr>
      </w:pPr>
      <w:r w:rsidRPr="00B737ED">
        <w:rPr>
          <w:rFonts w:cs="Tahoma"/>
          <w:b/>
        </w:rPr>
        <w:t xml:space="preserve">S 2012 </w:t>
      </w:r>
      <w:r w:rsidRPr="00B737ED">
        <w:rPr>
          <w:rFonts w:cs="Tahoma"/>
        </w:rPr>
        <w:t xml:space="preserve">   Kamieńsko – Łebki –Tanina –Lisów</w:t>
      </w:r>
      <w:r>
        <w:rPr>
          <w:rFonts w:cs="Tahoma"/>
        </w:rPr>
        <w:t xml:space="preserve">: </w:t>
      </w:r>
      <w:r w:rsidRPr="00E97626">
        <w:rPr>
          <w:rFonts w:cs="Tahoma"/>
        </w:rPr>
        <w:t>10,2 km</w:t>
      </w:r>
    </w:p>
    <w:p w:rsidR="001B7474" w:rsidRPr="003A23A1" w:rsidRDefault="001B7474" w:rsidP="001B7474">
      <w:pPr>
        <w:rPr>
          <w:rFonts w:cs="Tahoma"/>
          <w:color w:val="FF0000"/>
        </w:rPr>
      </w:pPr>
      <w:r w:rsidRPr="00B737ED">
        <w:rPr>
          <w:rFonts w:cs="Tahoma"/>
          <w:b/>
        </w:rPr>
        <w:t xml:space="preserve">S 2315 </w:t>
      </w:r>
      <w:r w:rsidRPr="00B737ED">
        <w:rPr>
          <w:rFonts w:cs="Tahoma"/>
        </w:rPr>
        <w:t xml:space="preserve">   Kochanowice – Ostrów – Lisów</w:t>
      </w:r>
      <w:r>
        <w:rPr>
          <w:rFonts w:cs="Tahoma"/>
        </w:rPr>
        <w:t xml:space="preserve">: </w:t>
      </w:r>
      <w:r w:rsidRPr="00E97626">
        <w:rPr>
          <w:rFonts w:cs="Tahoma"/>
        </w:rPr>
        <w:t>4,3 km</w:t>
      </w:r>
    </w:p>
    <w:p w:rsidR="001B7474" w:rsidRPr="003A23A1" w:rsidRDefault="001B7474" w:rsidP="001B7474">
      <w:pPr>
        <w:rPr>
          <w:rFonts w:cs="Tahoma"/>
          <w:color w:val="FF0000"/>
        </w:rPr>
      </w:pPr>
      <w:r w:rsidRPr="00B737ED">
        <w:rPr>
          <w:rFonts w:cs="Tahoma"/>
          <w:b/>
        </w:rPr>
        <w:t xml:space="preserve">S 2325 </w:t>
      </w:r>
      <w:r w:rsidRPr="00B737ED">
        <w:rPr>
          <w:rFonts w:cs="Tahoma"/>
        </w:rPr>
        <w:t xml:space="preserve">   Lisów – Chwostek – Hadra</w:t>
      </w:r>
      <w:r>
        <w:rPr>
          <w:rFonts w:cs="Tahoma"/>
        </w:rPr>
        <w:t xml:space="preserve">: </w:t>
      </w:r>
      <w:r w:rsidRPr="00E97626">
        <w:rPr>
          <w:rFonts w:cs="Tahoma"/>
        </w:rPr>
        <w:t>5,3 km</w:t>
      </w:r>
    </w:p>
    <w:p w:rsidR="001B7474" w:rsidRPr="00B737ED" w:rsidRDefault="001B7474" w:rsidP="001B7474">
      <w:pPr>
        <w:rPr>
          <w:rFonts w:cs="Tahoma"/>
        </w:rPr>
      </w:pPr>
      <w:r w:rsidRPr="00B737ED">
        <w:rPr>
          <w:rFonts w:cs="Tahoma"/>
          <w:b/>
        </w:rPr>
        <w:t xml:space="preserve">S 2326 </w:t>
      </w:r>
      <w:r w:rsidRPr="00B737ED">
        <w:rPr>
          <w:rFonts w:cs="Tahoma"/>
        </w:rPr>
        <w:t xml:space="preserve">  Sadów – Droniowice – Mochała</w:t>
      </w:r>
      <w:r>
        <w:rPr>
          <w:rFonts w:cs="Tahoma"/>
        </w:rPr>
        <w:t xml:space="preserve">: </w:t>
      </w:r>
      <w:r w:rsidRPr="00E97626">
        <w:rPr>
          <w:rFonts w:cs="Tahoma"/>
        </w:rPr>
        <w:t>0,3 km</w:t>
      </w:r>
    </w:p>
    <w:p w:rsidR="001B7474" w:rsidRPr="003A23A1" w:rsidRDefault="001B7474" w:rsidP="001B7474">
      <w:pPr>
        <w:rPr>
          <w:rFonts w:cs="Tahoma"/>
          <w:color w:val="FF0000"/>
        </w:rPr>
      </w:pPr>
      <w:r w:rsidRPr="00B737ED">
        <w:rPr>
          <w:rFonts w:cs="Tahoma"/>
          <w:b/>
        </w:rPr>
        <w:t xml:space="preserve">S 2327 </w:t>
      </w:r>
      <w:r w:rsidRPr="00B737ED">
        <w:rPr>
          <w:rFonts w:cs="Tahoma"/>
        </w:rPr>
        <w:t xml:space="preserve">   Hadra – Zumpy</w:t>
      </w:r>
      <w:r>
        <w:rPr>
          <w:rFonts w:cs="Tahoma"/>
        </w:rPr>
        <w:t xml:space="preserve">: </w:t>
      </w:r>
      <w:r w:rsidRPr="00E97626">
        <w:rPr>
          <w:rFonts w:cs="Tahoma"/>
        </w:rPr>
        <w:t>1,4 km</w:t>
      </w:r>
    </w:p>
    <w:p w:rsidR="001B7474" w:rsidRPr="003A23A1" w:rsidRDefault="001B7474" w:rsidP="001B7474">
      <w:pPr>
        <w:rPr>
          <w:rFonts w:cs="Tahoma"/>
          <w:color w:val="FF0000"/>
        </w:rPr>
      </w:pPr>
      <w:r w:rsidRPr="00B737ED">
        <w:rPr>
          <w:rFonts w:cs="Tahoma"/>
          <w:b/>
        </w:rPr>
        <w:t xml:space="preserve">S 2328 </w:t>
      </w:r>
      <w:r>
        <w:rPr>
          <w:rFonts w:cs="Tahoma"/>
        </w:rPr>
        <w:t xml:space="preserve">   Hadra – Cieszowa –</w:t>
      </w:r>
      <w:r w:rsidRPr="00B737ED">
        <w:rPr>
          <w:rFonts w:cs="Tahoma"/>
        </w:rPr>
        <w:t xml:space="preserve"> Koszęcin</w:t>
      </w:r>
      <w:r>
        <w:rPr>
          <w:rFonts w:cs="Tahoma"/>
        </w:rPr>
        <w:t xml:space="preserve">: </w:t>
      </w:r>
      <w:r w:rsidRPr="00E97626">
        <w:rPr>
          <w:rFonts w:cs="Tahoma"/>
        </w:rPr>
        <w:t>1,0 km</w:t>
      </w:r>
    </w:p>
    <w:p w:rsidR="00FA5462" w:rsidRDefault="00FA5462" w:rsidP="00FA5462">
      <w:r w:rsidRPr="00FA5462">
        <w:t>Pozostałe drogi, to drogi o charakterze gminnym.</w:t>
      </w:r>
    </w:p>
    <w:p w:rsidR="006C120E" w:rsidRPr="00FA5462" w:rsidRDefault="006C120E" w:rsidP="00FA5462"/>
    <w:p w:rsidR="006C120E" w:rsidRPr="00EF0785" w:rsidRDefault="006C120E" w:rsidP="006C120E">
      <w:pPr>
        <w:pStyle w:val="Legenda"/>
        <w:keepNext/>
        <w:ind w:firstLine="0"/>
        <w:rPr>
          <w:color w:val="auto"/>
        </w:rPr>
      </w:pPr>
      <w:bookmarkStart w:id="47" w:name="_Toc436586227"/>
      <w:r w:rsidRPr="00EF0785">
        <w:rPr>
          <w:color w:val="auto"/>
        </w:rPr>
        <w:t xml:space="preserve">Tabela </w:t>
      </w:r>
      <w:r w:rsidR="00844CE4" w:rsidRPr="00EF0785">
        <w:rPr>
          <w:color w:val="auto"/>
        </w:rPr>
        <w:fldChar w:fldCharType="begin"/>
      </w:r>
      <w:r w:rsidR="00387EC7" w:rsidRPr="00EF0785">
        <w:rPr>
          <w:color w:val="auto"/>
        </w:rPr>
        <w:instrText xml:space="preserve"> SEQ Tabela \* ARABIC </w:instrText>
      </w:r>
      <w:r w:rsidR="00844CE4" w:rsidRPr="00EF0785">
        <w:rPr>
          <w:color w:val="auto"/>
        </w:rPr>
        <w:fldChar w:fldCharType="separate"/>
      </w:r>
      <w:r w:rsidR="005C42FD">
        <w:rPr>
          <w:noProof/>
          <w:color w:val="auto"/>
        </w:rPr>
        <w:t>5</w:t>
      </w:r>
      <w:r w:rsidR="00844CE4" w:rsidRPr="00EF0785">
        <w:rPr>
          <w:color w:val="auto"/>
        </w:rPr>
        <w:fldChar w:fldCharType="end"/>
      </w:r>
      <w:r w:rsidR="00AA43FE">
        <w:rPr>
          <w:color w:val="auto"/>
        </w:rPr>
        <w:t xml:space="preserve"> </w:t>
      </w:r>
      <w:r w:rsidRPr="00EF0785">
        <w:rPr>
          <w:color w:val="auto"/>
        </w:rPr>
        <w:t>Struktura dróg według rodzaju w gminie Herby</w:t>
      </w:r>
      <w:bookmarkEnd w:id="47"/>
    </w:p>
    <w:tbl>
      <w:tblPr>
        <w:tblStyle w:val="rednialista2akcent1"/>
        <w:tblW w:w="2958" w:type="pct"/>
        <w:tblLook w:val="04A0"/>
      </w:tblPr>
      <w:tblGrid>
        <w:gridCol w:w="2420"/>
        <w:gridCol w:w="3075"/>
      </w:tblGrid>
      <w:tr w:rsidR="001B7474" w:rsidTr="001B7474">
        <w:trPr>
          <w:cnfStyle w:val="100000000000"/>
        </w:trPr>
        <w:tc>
          <w:tcPr>
            <w:cnfStyle w:val="001000000100"/>
            <w:tcW w:w="1980" w:type="pct"/>
            <w:noWrap/>
          </w:tcPr>
          <w:p w:rsidR="001B7474" w:rsidRDefault="001B7474" w:rsidP="001B7474">
            <w:pPr>
              <w:jc w:val="cente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Rodzaj drogi</w:t>
            </w:r>
          </w:p>
        </w:tc>
        <w:tc>
          <w:tcPr>
            <w:tcW w:w="3020" w:type="pct"/>
          </w:tcPr>
          <w:p w:rsidR="001B7474" w:rsidRDefault="001B7474" w:rsidP="001B7474">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Długość</w:t>
            </w:r>
          </w:p>
        </w:tc>
      </w:tr>
      <w:tr w:rsidR="001B7474" w:rsidTr="001B7474">
        <w:trPr>
          <w:cnfStyle w:val="000000100000"/>
        </w:trPr>
        <w:tc>
          <w:tcPr>
            <w:cnfStyle w:val="001000000000"/>
            <w:tcW w:w="1980" w:type="pct"/>
            <w:noWrap/>
          </w:tcPr>
          <w:p w:rsidR="001B7474" w:rsidRDefault="001B7474" w:rsidP="001B7474">
            <w:pPr>
              <w:ind w:firstLine="567"/>
              <w:rPr>
                <w:rFonts w:asciiTheme="minorHAnsi" w:eastAsiaTheme="minorEastAsia" w:hAnsiTheme="minorHAnsi" w:cstheme="minorBidi"/>
                <w:color w:val="auto"/>
              </w:rPr>
            </w:pPr>
            <w:r>
              <w:rPr>
                <w:rFonts w:asciiTheme="minorHAnsi" w:eastAsiaTheme="minorEastAsia" w:hAnsiTheme="minorHAnsi" w:cstheme="minorBidi"/>
                <w:color w:val="auto"/>
              </w:rPr>
              <w:t>Gminne</w:t>
            </w:r>
          </w:p>
        </w:tc>
        <w:tc>
          <w:tcPr>
            <w:tcW w:w="3020" w:type="pct"/>
            <w:tcBorders>
              <w:top w:val="single" w:sz="24" w:space="0" w:color="4F81BD"/>
              <w:right w:val="nil"/>
            </w:tcBorders>
          </w:tcPr>
          <w:p w:rsidR="001B7474" w:rsidRDefault="001B7474" w:rsidP="001B7474">
            <w:pPr>
              <w:jc w:val="right"/>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105,1 km</w:t>
            </w:r>
          </w:p>
        </w:tc>
      </w:tr>
      <w:tr w:rsidR="001B7474" w:rsidRPr="00E97626" w:rsidTr="001B7474">
        <w:tc>
          <w:tcPr>
            <w:cnfStyle w:val="001000000000"/>
            <w:tcW w:w="1980" w:type="pct"/>
            <w:noWrap/>
          </w:tcPr>
          <w:p w:rsidR="001B7474" w:rsidRPr="00E97626" w:rsidRDefault="001B7474" w:rsidP="001B7474">
            <w:pPr>
              <w:ind w:firstLine="567"/>
              <w:rPr>
                <w:rFonts w:asciiTheme="minorHAnsi" w:eastAsiaTheme="minorEastAsia" w:hAnsiTheme="minorHAnsi" w:cstheme="minorBidi"/>
                <w:color w:val="auto"/>
              </w:rPr>
            </w:pPr>
            <w:r w:rsidRPr="00E97626">
              <w:rPr>
                <w:rFonts w:asciiTheme="minorHAnsi" w:eastAsiaTheme="minorEastAsia" w:hAnsiTheme="minorHAnsi" w:cstheme="minorBidi"/>
                <w:color w:val="auto"/>
              </w:rPr>
              <w:t>Powiatowe</w:t>
            </w:r>
          </w:p>
        </w:tc>
        <w:tc>
          <w:tcPr>
            <w:tcW w:w="3020" w:type="pct"/>
            <w:tcBorders>
              <w:top w:val="nil"/>
              <w:bottom w:val="nil"/>
              <w:right w:val="nil"/>
            </w:tcBorders>
          </w:tcPr>
          <w:p w:rsidR="001B7474" w:rsidRPr="00E97626" w:rsidRDefault="001B7474" w:rsidP="001B7474">
            <w:pPr>
              <w:jc w:val="right"/>
              <w:cnfStyle w:val="000000000000"/>
              <w:rPr>
                <w:rFonts w:asciiTheme="minorHAnsi" w:eastAsiaTheme="minorEastAsia" w:hAnsiTheme="minorHAnsi" w:cstheme="minorBidi"/>
                <w:color w:val="auto"/>
              </w:rPr>
            </w:pPr>
            <w:r w:rsidRPr="00E97626">
              <w:rPr>
                <w:rFonts w:asciiTheme="minorHAnsi" w:eastAsiaTheme="minorEastAsia" w:hAnsiTheme="minorHAnsi" w:cstheme="minorBidi"/>
                <w:color w:val="auto"/>
              </w:rPr>
              <w:t>26,8 km</w:t>
            </w:r>
          </w:p>
        </w:tc>
      </w:tr>
      <w:tr w:rsidR="001B7474" w:rsidRPr="00E97626" w:rsidTr="001B7474">
        <w:trPr>
          <w:cnfStyle w:val="000000100000"/>
        </w:trPr>
        <w:tc>
          <w:tcPr>
            <w:cnfStyle w:val="001000000000"/>
            <w:tcW w:w="1980" w:type="pct"/>
            <w:noWrap/>
          </w:tcPr>
          <w:p w:rsidR="001B7474" w:rsidRPr="00E97626" w:rsidRDefault="001B7474" w:rsidP="001B7474">
            <w:pPr>
              <w:rPr>
                <w:rFonts w:asciiTheme="minorHAnsi" w:eastAsiaTheme="minorEastAsia" w:hAnsiTheme="minorHAnsi" w:cstheme="minorBidi"/>
                <w:color w:val="auto"/>
              </w:rPr>
            </w:pPr>
            <w:r w:rsidRPr="00E97626">
              <w:rPr>
                <w:rFonts w:asciiTheme="minorHAnsi" w:eastAsiaTheme="minorEastAsia" w:hAnsiTheme="minorHAnsi" w:cstheme="minorBidi"/>
                <w:color w:val="auto"/>
              </w:rPr>
              <w:t>Wojewódzkie (DW 905)</w:t>
            </w:r>
          </w:p>
        </w:tc>
        <w:tc>
          <w:tcPr>
            <w:tcW w:w="3020" w:type="pct"/>
            <w:tcBorders>
              <w:right w:val="nil"/>
            </w:tcBorders>
          </w:tcPr>
          <w:p w:rsidR="001B7474" w:rsidRPr="00E97626" w:rsidRDefault="001B7474" w:rsidP="001B7474">
            <w:pPr>
              <w:jc w:val="right"/>
              <w:cnfStyle w:val="000000100000"/>
              <w:rPr>
                <w:rFonts w:asciiTheme="minorHAnsi" w:eastAsiaTheme="minorEastAsia" w:hAnsiTheme="minorHAnsi" w:cstheme="minorBidi"/>
                <w:color w:val="auto"/>
              </w:rPr>
            </w:pPr>
            <w:r w:rsidRPr="00E97626">
              <w:rPr>
                <w:rFonts w:asciiTheme="minorHAnsi" w:eastAsiaTheme="minorEastAsia" w:hAnsiTheme="minorHAnsi" w:cstheme="minorBidi"/>
                <w:color w:val="auto"/>
              </w:rPr>
              <w:t>6,8 km</w:t>
            </w:r>
          </w:p>
        </w:tc>
      </w:tr>
      <w:tr w:rsidR="001B7474" w:rsidRPr="00E97626" w:rsidTr="001B7474">
        <w:tc>
          <w:tcPr>
            <w:cnfStyle w:val="001000000000"/>
            <w:tcW w:w="1980" w:type="pct"/>
            <w:noWrap/>
          </w:tcPr>
          <w:p w:rsidR="001B7474" w:rsidRPr="00E97626" w:rsidRDefault="001B7474" w:rsidP="001B7474">
            <w:pPr>
              <w:rPr>
                <w:rFonts w:asciiTheme="minorHAnsi" w:eastAsiaTheme="minorEastAsia" w:hAnsiTheme="minorHAnsi" w:cstheme="minorBidi"/>
                <w:color w:val="auto"/>
              </w:rPr>
            </w:pPr>
            <w:r w:rsidRPr="00E97626">
              <w:rPr>
                <w:rFonts w:asciiTheme="minorHAnsi" w:eastAsiaTheme="minorEastAsia" w:hAnsiTheme="minorHAnsi" w:cstheme="minorBidi"/>
                <w:color w:val="auto"/>
              </w:rPr>
              <w:t>Krajowe (DK 46)</w:t>
            </w:r>
          </w:p>
        </w:tc>
        <w:tc>
          <w:tcPr>
            <w:tcW w:w="3020" w:type="pct"/>
            <w:tcBorders>
              <w:right w:val="nil"/>
            </w:tcBorders>
          </w:tcPr>
          <w:p w:rsidR="001B7474" w:rsidRPr="00E97626" w:rsidRDefault="001B7474" w:rsidP="001B7474">
            <w:pPr>
              <w:jc w:val="right"/>
              <w:cnfStyle w:val="000000000000"/>
              <w:rPr>
                <w:rFonts w:asciiTheme="minorHAnsi" w:eastAsiaTheme="minorEastAsia" w:hAnsiTheme="minorHAnsi" w:cstheme="minorBidi"/>
                <w:color w:val="auto"/>
              </w:rPr>
            </w:pPr>
            <w:r w:rsidRPr="00E97626">
              <w:rPr>
                <w:rFonts w:asciiTheme="minorHAnsi" w:eastAsiaTheme="minorEastAsia" w:hAnsiTheme="minorHAnsi" w:cstheme="minorBidi"/>
                <w:color w:val="auto"/>
              </w:rPr>
              <w:t>14,68 km</w:t>
            </w:r>
          </w:p>
        </w:tc>
      </w:tr>
    </w:tbl>
    <w:p w:rsidR="001B7474" w:rsidRDefault="001B7474" w:rsidP="001B7474">
      <w:pPr>
        <w:rPr>
          <w:i/>
          <w:sz w:val="20"/>
          <w:szCs w:val="20"/>
        </w:rPr>
      </w:pPr>
    </w:p>
    <w:p w:rsidR="001B7474" w:rsidRPr="00A378CC" w:rsidRDefault="001B7474" w:rsidP="001B7474">
      <w:pPr>
        <w:rPr>
          <w:i/>
          <w:color w:val="FF0000"/>
          <w:sz w:val="20"/>
          <w:szCs w:val="20"/>
        </w:rPr>
      </w:pPr>
      <w:r w:rsidRPr="009E7CB6">
        <w:rPr>
          <w:i/>
          <w:sz w:val="20"/>
          <w:szCs w:val="20"/>
        </w:rPr>
        <w:t xml:space="preserve">Źródło: </w:t>
      </w:r>
      <w:r w:rsidRPr="00E97626">
        <w:rPr>
          <w:i/>
          <w:sz w:val="20"/>
          <w:szCs w:val="20"/>
        </w:rPr>
        <w:t>UG Herby</w:t>
      </w:r>
    </w:p>
    <w:p w:rsidR="00FA5462" w:rsidRPr="00FA5462" w:rsidRDefault="00FA5462" w:rsidP="00FA5462">
      <w:r w:rsidRPr="00FA5462">
        <w:t xml:space="preserve">Płynność ruchu uległa poprawie w wyniku modernizacji skrzyżowania drogi krajowej nr 46 z drogą wojewódzką. Na terenie gminy nie prowadzono badań dotyczących wpływu linii komunikacyjnych na stan środowiska. Biorąc jednak pod uwagę przebieg drogi krajowej Opole-Częstochowa, a także duże natężenie ruchu na drogach wojewódzkich, powiatowych i gminnych, oddziaływanie na środowisko infrastruktury komunikacyjnej w regionie jest znaczne. Szczególną </w:t>
      </w:r>
      <w:r w:rsidRPr="00FA5462">
        <w:lastRenderedPageBreak/>
        <w:t>uwagę należy zwrócić na najbardziej zagrożony hałasem i migracjami odcinek drogi krajowej nr 46.</w:t>
      </w:r>
    </w:p>
    <w:p w:rsidR="00FA5462" w:rsidRPr="00FA5462" w:rsidRDefault="00FA5462" w:rsidP="00FA5462">
      <w:r w:rsidRPr="00FA5462">
        <w:t>Na terenie gminy znajduje się sieć telekomunikacyjna, a także sieć światłowodowa. Sieć telekomunikacyjna należy do Orange (dawniej TP), sieć światłowodowa do firm zewnętrznych (</w:t>
      </w:r>
      <w:proofErr w:type="spellStart"/>
      <w:r w:rsidRPr="00FA5462">
        <w:t>SpiderNet</w:t>
      </w:r>
      <w:proofErr w:type="spellEnd"/>
      <w:r w:rsidRPr="00FA5462">
        <w:t>, Rewolucja Net).</w:t>
      </w:r>
    </w:p>
    <w:p w:rsidR="00FA5462" w:rsidRPr="00FA5462" w:rsidRDefault="00FA5462" w:rsidP="00FA5462"/>
    <w:p w:rsidR="00D43557" w:rsidRPr="00E97626" w:rsidRDefault="00FA5462" w:rsidP="00A10D06">
      <w:pPr>
        <w:pStyle w:val="Nagwek3"/>
        <w:numPr>
          <w:ilvl w:val="2"/>
          <w:numId w:val="1"/>
        </w:numPr>
        <w:rPr>
          <w:color w:val="943634" w:themeColor="accent2" w:themeShade="BF"/>
        </w:rPr>
      </w:pPr>
      <w:bookmarkStart w:id="48" w:name="_Toc438118370"/>
      <w:r w:rsidRPr="00E97626">
        <w:rPr>
          <w:color w:val="943634" w:themeColor="accent2" w:themeShade="BF"/>
        </w:rPr>
        <w:t>Zaopatrzenie w wodę</w:t>
      </w:r>
      <w:r w:rsidR="001B7474" w:rsidRPr="00E97626">
        <w:rPr>
          <w:color w:val="943634" w:themeColor="accent2" w:themeShade="BF"/>
        </w:rPr>
        <w:t xml:space="preserve"> i gospodarka </w:t>
      </w:r>
      <w:r w:rsidR="00E97626" w:rsidRPr="00E97626">
        <w:rPr>
          <w:color w:val="943634" w:themeColor="accent2" w:themeShade="BF"/>
        </w:rPr>
        <w:t>ś</w:t>
      </w:r>
      <w:r w:rsidR="001B7474" w:rsidRPr="00E97626">
        <w:rPr>
          <w:color w:val="943634" w:themeColor="accent2" w:themeShade="BF"/>
        </w:rPr>
        <w:t>ciekowa</w:t>
      </w:r>
      <w:bookmarkEnd w:id="48"/>
    </w:p>
    <w:p w:rsidR="00FA5462" w:rsidRDefault="00FA5462" w:rsidP="00FA5462"/>
    <w:p w:rsidR="001B7474" w:rsidRDefault="001B7474" w:rsidP="001B7474">
      <w:pPr>
        <w:rPr>
          <w:color w:val="000000"/>
        </w:rPr>
      </w:pPr>
      <w:r>
        <w:rPr>
          <w:color w:val="000000"/>
        </w:rPr>
        <w:t xml:space="preserve">Gospodarowanie wodami zgodne z zasadą zrównoważonego rozwoju, a w szczególności </w:t>
      </w:r>
      <w:proofErr w:type="spellStart"/>
      <w:r>
        <w:rPr>
          <w:color w:val="000000"/>
        </w:rPr>
        <w:t>zlewniowego</w:t>
      </w:r>
      <w:proofErr w:type="spellEnd"/>
      <w:r>
        <w:rPr>
          <w:color w:val="000000"/>
        </w:rPr>
        <w:t xml:space="preserve"> kształtowania i ochronę zasobów wodnych, korzystanie z wód oraz zarządzanie zasobami wodnymi reguluje ustawa z dnia 18 lipca 2001 r. Prawo wodne </w:t>
      </w:r>
      <w:r w:rsidRPr="00F96620">
        <w:rPr>
          <w:color w:val="000000"/>
        </w:rPr>
        <w:t xml:space="preserve">Dz. U. z 2005r. Nr 239, poz. 2019 z </w:t>
      </w:r>
      <w:proofErr w:type="spellStart"/>
      <w:r w:rsidRPr="00F96620">
        <w:rPr>
          <w:color w:val="000000"/>
        </w:rPr>
        <w:t>późn</w:t>
      </w:r>
      <w:proofErr w:type="spellEnd"/>
      <w:r w:rsidRPr="00F96620">
        <w:rPr>
          <w:color w:val="000000"/>
        </w:rPr>
        <w:t>. zm./</w:t>
      </w:r>
      <w:r>
        <w:rPr>
          <w:color w:val="000000"/>
        </w:rPr>
        <w:t xml:space="preserve">. Ustawa jest zgodna z przepisami Unii Europejskiej i zakłada gospodarowanie wodami z zachowaniem zasady racjonalnego i całościowego traktowania wód powierzchniowych, podziemnych z uwzględnieniem ich ilości i jakości. </w:t>
      </w:r>
    </w:p>
    <w:p w:rsidR="001B7474" w:rsidRPr="00DD4764" w:rsidRDefault="001B7474" w:rsidP="001B7474">
      <w:pPr>
        <w:rPr>
          <w:color w:val="FF0000"/>
        </w:rPr>
      </w:pPr>
      <w:r w:rsidRPr="006F2005">
        <w:t>Z danych GUS na koniec 2013 roku wynika, że obszar gminy jest całkowicie</w:t>
      </w:r>
      <w:r w:rsidR="00B15E25" w:rsidRPr="006F2005">
        <w:t xml:space="preserve"> </w:t>
      </w:r>
      <w:r w:rsidRPr="006F2005">
        <w:t>zwodociągowany. Gmina posiada ponad 96 km czynnej sieci wodociągowej i 1504 szt. przyłączeń do budynków mieszkalnych i zbiorowego zamieszkania, co przedkłada się na 5223 mieszkańców korzystających z sieci kanalizacyjnej. Wszystkie</w:t>
      </w:r>
      <w:r w:rsidR="00B15E25" w:rsidRPr="006F2005">
        <w:t xml:space="preserve"> </w:t>
      </w:r>
      <w:r w:rsidRPr="006F2005">
        <w:t>sołectwa: Herby, Olszyna, Kalina, Lisów, Hadra, Chwostek, Łebki i Tanina zostały skanalizowane. Kanalizacji sanitarnej brakuje jeszcze w Turzy  (1 mieszkaniec).W 2013 roku 97,7% mieszkań na terenach wiejskich gminy</w:t>
      </w:r>
      <w:r w:rsidR="00B15E25" w:rsidRPr="006F2005">
        <w:t xml:space="preserve"> </w:t>
      </w:r>
      <w:r w:rsidRPr="006F2005">
        <w:t xml:space="preserve">było zwodociągowanych, 92,3% mieszkań było wyposażonych w łazienki, natomiast 76,3% posiadało centralne ogrzewanie. </w:t>
      </w:r>
      <w:r w:rsidR="00DD4764" w:rsidRPr="006F2005">
        <w:t xml:space="preserve">Stan ten </w:t>
      </w:r>
      <w:r w:rsidR="00412441" w:rsidRPr="006F2005">
        <w:t xml:space="preserve"> uległ </w:t>
      </w:r>
      <w:r w:rsidR="00DD4764" w:rsidRPr="006F2005">
        <w:t xml:space="preserve">znacznemu zwiększeniu i </w:t>
      </w:r>
      <w:r w:rsidR="00412441" w:rsidRPr="006F2005">
        <w:t>na koniec 2014 r. ilość czynnych przyłączy wodociągowych</w:t>
      </w:r>
      <w:r w:rsidR="00412441" w:rsidRPr="00E97626">
        <w:t xml:space="preserve"> wynosiła 2078, a kanalizacyjnych 1622.</w:t>
      </w:r>
    </w:p>
    <w:p w:rsidR="00DF7229" w:rsidRPr="00AC59BB" w:rsidRDefault="00DF7229" w:rsidP="00DF7229">
      <w:pPr>
        <w:spacing w:line="240" w:lineRule="auto"/>
        <w:rPr>
          <w:color w:val="000000"/>
          <w:sz w:val="16"/>
          <w:szCs w:val="16"/>
        </w:rPr>
      </w:pPr>
    </w:p>
    <w:p w:rsidR="00DF7229" w:rsidRDefault="00DF7229" w:rsidP="00DF7229">
      <w:pPr>
        <w:rPr>
          <w:color w:val="000000"/>
        </w:rPr>
      </w:pPr>
      <w:r w:rsidRPr="00B12FB8">
        <w:rPr>
          <w:noProof/>
          <w:color w:val="000000"/>
          <w:lang w:eastAsia="pl-PL"/>
        </w:rPr>
        <w:lastRenderedPageBreak/>
        <w:drawing>
          <wp:inline distT="0" distB="0" distL="0" distR="0">
            <wp:extent cx="5095211" cy="3051545"/>
            <wp:effectExtent l="19050" t="0" r="10189" b="0"/>
            <wp:docPr id="2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7229" w:rsidRPr="00B12FB8" w:rsidRDefault="00DF7229" w:rsidP="00DF7229">
      <w:pPr>
        <w:pStyle w:val="Legenda"/>
        <w:ind w:firstLine="0"/>
        <w:jc w:val="left"/>
        <w:rPr>
          <w:color w:val="000000" w:themeColor="text1"/>
        </w:rPr>
      </w:pPr>
      <w:bookmarkStart w:id="49" w:name="_Toc429726517"/>
      <w:r>
        <w:rPr>
          <w:color w:val="000000" w:themeColor="text1"/>
        </w:rPr>
        <w:t>Wykres</w:t>
      </w:r>
      <w:r w:rsidR="00AA43FE">
        <w:rPr>
          <w:color w:val="000000" w:themeColor="text1"/>
        </w:rPr>
        <w:t xml:space="preserve"> </w:t>
      </w:r>
      <w:r w:rsidR="00844CE4">
        <w:rPr>
          <w:color w:val="000000" w:themeColor="text1"/>
        </w:rPr>
        <w:fldChar w:fldCharType="begin"/>
      </w:r>
      <w:r>
        <w:rPr>
          <w:color w:val="000000" w:themeColor="text1"/>
        </w:rPr>
        <w:instrText xml:space="preserve"> SEQ Wykres \* ARABIC </w:instrText>
      </w:r>
      <w:r w:rsidR="00844CE4">
        <w:rPr>
          <w:color w:val="000000" w:themeColor="text1"/>
        </w:rPr>
        <w:fldChar w:fldCharType="separate"/>
      </w:r>
      <w:r w:rsidR="005C42FD">
        <w:rPr>
          <w:noProof/>
          <w:color w:val="000000" w:themeColor="text1"/>
        </w:rPr>
        <w:t>15</w:t>
      </w:r>
      <w:r w:rsidR="00844CE4">
        <w:rPr>
          <w:color w:val="000000" w:themeColor="text1"/>
        </w:rPr>
        <w:fldChar w:fldCharType="end"/>
      </w:r>
      <w:r w:rsidRPr="00B12FB8">
        <w:rPr>
          <w:color w:val="000000" w:themeColor="text1"/>
        </w:rPr>
        <w:t xml:space="preserve"> Mieszkania </w:t>
      </w:r>
      <w:r>
        <w:rPr>
          <w:color w:val="000000" w:themeColor="text1"/>
        </w:rPr>
        <w:t xml:space="preserve">na terenach wiejskich gminy Herby wyposażone w instalacje – </w:t>
      </w:r>
      <w:r>
        <w:rPr>
          <w:color w:val="000000" w:themeColor="text1"/>
        </w:rPr>
        <w:br/>
      </w:r>
      <w:r w:rsidRPr="00B12FB8">
        <w:rPr>
          <w:color w:val="000000" w:themeColor="text1"/>
        </w:rPr>
        <w:t>% ogółu mieszkań w latach 2010-2013</w:t>
      </w:r>
      <w:bookmarkEnd w:id="49"/>
    </w:p>
    <w:p w:rsidR="00DF7229" w:rsidRPr="00B12FB8" w:rsidRDefault="00DF7229" w:rsidP="00DF7229">
      <w:pPr>
        <w:rPr>
          <w:i/>
          <w:sz w:val="20"/>
          <w:szCs w:val="20"/>
        </w:rPr>
      </w:pPr>
      <w:r w:rsidRPr="00B12FB8">
        <w:rPr>
          <w:i/>
          <w:sz w:val="20"/>
          <w:szCs w:val="20"/>
        </w:rPr>
        <w:t>Źródło</w:t>
      </w:r>
      <w:r>
        <w:rPr>
          <w:i/>
          <w:sz w:val="20"/>
          <w:szCs w:val="20"/>
        </w:rPr>
        <w:t>: O</w:t>
      </w:r>
      <w:r w:rsidRPr="00B12FB8">
        <w:rPr>
          <w:i/>
          <w:sz w:val="20"/>
          <w:szCs w:val="20"/>
        </w:rPr>
        <w:t>pracowanie własne, Bank Danych Lokalnych GUS</w:t>
      </w:r>
    </w:p>
    <w:p w:rsidR="00DF7229" w:rsidRDefault="00DF7229" w:rsidP="00DF7229">
      <w:pPr>
        <w:rPr>
          <w:color w:val="000000"/>
        </w:rPr>
      </w:pPr>
    </w:p>
    <w:p w:rsidR="00DF7229" w:rsidRDefault="00DF7229" w:rsidP="00DF7229">
      <w:pPr>
        <w:keepNext/>
      </w:pPr>
      <w:r w:rsidRPr="00B25796">
        <w:rPr>
          <w:noProof/>
          <w:color w:val="000000"/>
          <w:lang w:eastAsia="pl-PL"/>
        </w:rPr>
        <w:drawing>
          <wp:inline distT="0" distB="0" distL="0" distR="0">
            <wp:extent cx="4935723" cy="3242930"/>
            <wp:effectExtent l="19050" t="0" r="17277" b="0"/>
            <wp:docPr id="1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7229" w:rsidRDefault="00DF7229" w:rsidP="00DF7229">
      <w:pPr>
        <w:pStyle w:val="Legenda"/>
        <w:ind w:firstLine="0"/>
        <w:rPr>
          <w:color w:val="000000" w:themeColor="text1"/>
        </w:rPr>
      </w:pPr>
      <w:bookmarkStart w:id="50" w:name="_Toc429726518"/>
      <w:r>
        <w:rPr>
          <w:color w:val="000000" w:themeColor="text1"/>
        </w:rPr>
        <w:t>Wykres</w:t>
      </w:r>
      <w:r w:rsidR="00AA43FE">
        <w:rPr>
          <w:color w:val="000000" w:themeColor="text1"/>
        </w:rPr>
        <w:t xml:space="preserve"> </w:t>
      </w:r>
      <w:r w:rsidR="00844CE4">
        <w:rPr>
          <w:color w:val="000000" w:themeColor="text1"/>
        </w:rPr>
        <w:fldChar w:fldCharType="begin"/>
      </w:r>
      <w:r>
        <w:rPr>
          <w:color w:val="000000" w:themeColor="text1"/>
        </w:rPr>
        <w:instrText xml:space="preserve"> SEQ Wykres \* ARABIC </w:instrText>
      </w:r>
      <w:r w:rsidR="00844CE4">
        <w:rPr>
          <w:color w:val="000000" w:themeColor="text1"/>
        </w:rPr>
        <w:fldChar w:fldCharType="separate"/>
      </w:r>
      <w:r w:rsidR="005C42FD">
        <w:rPr>
          <w:noProof/>
          <w:color w:val="000000" w:themeColor="text1"/>
        </w:rPr>
        <w:t>16</w:t>
      </w:r>
      <w:r w:rsidR="00844CE4">
        <w:rPr>
          <w:color w:val="000000" w:themeColor="text1"/>
        </w:rPr>
        <w:fldChar w:fldCharType="end"/>
      </w:r>
      <w:r>
        <w:rPr>
          <w:color w:val="000000" w:themeColor="text1"/>
        </w:rPr>
        <w:t xml:space="preserve"> Mieszkania wyposażone w instalacje techniczno-sanitarne w gminie Herby w latach 2010-2014</w:t>
      </w:r>
      <w:bookmarkEnd w:id="50"/>
    </w:p>
    <w:p w:rsidR="00DF7229" w:rsidRPr="00522962" w:rsidRDefault="00DF7229" w:rsidP="00DF7229">
      <w:pPr>
        <w:jc w:val="left"/>
        <w:rPr>
          <w:i/>
          <w:sz w:val="20"/>
          <w:szCs w:val="20"/>
        </w:rPr>
      </w:pPr>
      <w:r w:rsidRPr="00522962">
        <w:rPr>
          <w:i/>
          <w:sz w:val="20"/>
          <w:szCs w:val="20"/>
        </w:rPr>
        <w:t>Źródło: opracowanie własne, Bank Danych Lokalnych GUS</w:t>
      </w:r>
    </w:p>
    <w:p w:rsidR="00DF7229" w:rsidRDefault="00DF7229" w:rsidP="00DF7229">
      <w:pPr>
        <w:rPr>
          <w:color w:val="000000"/>
        </w:rPr>
      </w:pPr>
    </w:p>
    <w:p w:rsidR="00DF7229" w:rsidRDefault="00DF7229" w:rsidP="00DF7229">
      <w:pPr>
        <w:rPr>
          <w:color w:val="000000"/>
        </w:rPr>
      </w:pPr>
      <w:r>
        <w:rPr>
          <w:color w:val="000000"/>
        </w:rPr>
        <w:lastRenderedPageBreak/>
        <w:t xml:space="preserve">W dwóch miejscowościach – Herby i Lisów – znajdują się </w:t>
      </w:r>
      <w:r w:rsidR="00DD4764" w:rsidRPr="00E97626">
        <w:t>mechaniczno - biologiczne</w:t>
      </w:r>
      <w:r>
        <w:rPr>
          <w:color w:val="000000"/>
        </w:rPr>
        <w:t xml:space="preserve"> oczyszczalnie ścieków.</w:t>
      </w:r>
      <w:r>
        <w:rPr>
          <w:rStyle w:val="Odwoanieprzypisudolnego"/>
          <w:color w:val="000000"/>
        </w:rPr>
        <w:footnoteReference w:id="14"/>
      </w:r>
    </w:p>
    <w:p w:rsidR="00DF7229" w:rsidRPr="00363D0E" w:rsidRDefault="00DF7229" w:rsidP="00DF7229">
      <w:pPr>
        <w:rPr>
          <w:color w:val="000000"/>
        </w:rPr>
      </w:pPr>
      <w:r w:rsidRPr="00363D0E">
        <w:rPr>
          <w:color w:val="000000"/>
        </w:rPr>
        <w:t xml:space="preserve">1) </w:t>
      </w:r>
      <w:r>
        <w:rPr>
          <w:color w:val="000000"/>
        </w:rPr>
        <w:t>Oczyszczalnia mechaniczno-</w:t>
      </w:r>
      <w:r w:rsidRPr="00363D0E">
        <w:rPr>
          <w:color w:val="000000"/>
        </w:rPr>
        <w:t>biologiczna o przepustowości 11</w:t>
      </w:r>
      <w:r>
        <w:rPr>
          <w:color w:val="000000"/>
        </w:rPr>
        <w:t xml:space="preserve">26 </w:t>
      </w:r>
      <w:proofErr w:type="spellStart"/>
      <w:r>
        <w:rPr>
          <w:color w:val="000000"/>
        </w:rPr>
        <w:t>m³</w:t>
      </w:r>
      <w:proofErr w:type="spellEnd"/>
      <w:r>
        <w:rPr>
          <w:color w:val="000000"/>
        </w:rPr>
        <w:t>/d rozbudowana w </w:t>
      </w:r>
      <w:r w:rsidRPr="00363D0E">
        <w:rPr>
          <w:color w:val="000000"/>
        </w:rPr>
        <w:t>2002/2003 r. odbierająca ścieki z miejscowości Herby, Kalina, Olszyna</w:t>
      </w:r>
      <w:r>
        <w:rPr>
          <w:color w:val="000000"/>
        </w:rPr>
        <w:t>, Pietrzaki</w:t>
      </w:r>
      <w:r w:rsidRPr="00363D0E">
        <w:rPr>
          <w:color w:val="000000"/>
        </w:rPr>
        <w:t xml:space="preserve"> w ilości około 600m</w:t>
      </w:r>
      <w:r w:rsidRPr="00363D0E">
        <w:rPr>
          <w:color w:val="000000"/>
          <w:vertAlign w:val="superscript"/>
        </w:rPr>
        <w:t>3</w:t>
      </w:r>
      <w:r w:rsidRPr="00363D0E">
        <w:rPr>
          <w:color w:val="000000"/>
        </w:rPr>
        <w:t>/d.</w:t>
      </w:r>
      <w:r w:rsidR="006F2005">
        <w:rPr>
          <w:color w:val="000000"/>
        </w:rPr>
        <w:t xml:space="preserve"> </w:t>
      </w:r>
      <w:r w:rsidRPr="00363D0E">
        <w:rPr>
          <w:color w:val="000000"/>
        </w:rPr>
        <w:t>Oczyszczalnia eksploatowana jest na podstawie pozwolenia wodno prawnego z 2008 roku. Na podstawie wymienionego pozwolenia eksploatator odprowadza oczyszczone ścieki do rzeki Stradomki za pośrednictwem  rowu „ A „ .</w:t>
      </w:r>
    </w:p>
    <w:p w:rsidR="00DF7229" w:rsidRPr="00363D0E" w:rsidRDefault="00DF7229" w:rsidP="00DF7229">
      <w:pPr>
        <w:rPr>
          <w:color w:val="000000"/>
        </w:rPr>
      </w:pPr>
      <w:r w:rsidRPr="00363D0E">
        <w:rPr>
          <w:color w:val="000000"/>
        </w:rPr>
        <w:t>Zgodnie z pozwoleniem dopuszczalne wskaźniki zanieczyszczeń wynoszą:</w:t>
      </w:r>
    </w:p>
    <w:p w:rsidR="00DF7229" w:rsidRPr="00363D0E" w:rsidRDefault="00DF7229" w:rsidP="00DF7229">
      <w:pPr>
        <w:rPr>
          <w:color w:val="000000"/>
        </w:rPr>
      </w:pPr>
      <w:r w:rsidRPr="00363D0E">
        <w:rPr>
          <w:color w:val="000000"/>
        </w:rPr>
        <w:t>Grupa A podstawowe:</w:t>
      </w:r>
    </w:p>
    <w:p w:rsidR="00DF7229" w:rsidRPr="00363D0E" w:rsidRDefault="00DF7229" w:rsidP="00DF7229">
      <w:pPr>
        <w:spacing w:line="276" w:lineRule="auto"/>
        <w:rPr>
          <w:color w:val="000000"/>
        </w:rPr>
      </w:pPr>
      <w:r w:rsidRPr="00363D0E">
        <w:rPr>
          <w:color w:val="000000"/>
        </w:rPr>
        <w:t>- zawiesina ogólna mg/</w:t>
      </w:r>
      <w:proofErr w:type="spellStart"/>
      <w:r w:rsidRPr="00363D0E">
        <w:rPr>
          <w:color w:val="000000"/>
        </w:rPr>
        <w:t>dm³</w:t>
      </w:r>
      <w:proofErr w:type="spellEnd"/>
      <w:r w:rsidRPr="00363D0E">
        <w:rPr>
          <w:color w:val="000000"/>
        </w:rPr>
        <w:t xml:space="preserve">  35  </w:t>
      </w:r>
    </w:p>
    <w:p w:rsidR="00DF7229" w:rsidRPr="00363D0E" w:rsidRDefault="00DF7229" w:rsidP="00DF7229">
      <w:pPr>
        <w:spacing w:line="276" w:lineRule="auto"/>
        <w:rPr>
          <w:color w:val="000000"/>
          <w:lang w:val="de-DE"/>
        </w:rPr>
      </w:pPr>
      <w:r w:rsidRPr="00363D0E">
        <w:rPr>
          <w:color w:val="000000"/>
          <w:lang w:val="de-DE"/>
        </w:rPr>
        <w:t>- BZT</w:t>
      </w:r>
      <w:r>
        <w:rPr>
          <w:color w:val="000000"/>
          <w:lang w:val="de-DE"/>
        </w:rPr>
        <w:t xml:space="preserve">5 </w:t>
      </w:r>
      <w:r w:rsidRPr="00363D0E">
        <w:rPr>
          <w:color w:val="000000"/>
          <w:lang w:val="de-DE"/>
        </w:rPr>
        <w:t xml:space="preserve">mg O2/dm³  </w:t>
      </w:r>
      <w:r>
        <w:rPr>
          <w:color w:val="000000"/>
          <w:lang w:val="de-DE"/>
        </w:rPr>
        <w:t xml:space="preserve">25 </w:t>
      </w:r>
    </w:p>
    <w:p w:rsidR="00DF7229" w:rsidRPr="00363D0E" w:rsidRDefault="00DF7229" w:rsidP="00DF7229">
      <w:pPr>
        <w:spacing w:line="276" w:lineRule="auto"/>
        <w:rPr>
          <w:color w:val="000000"/>
          <w:lang w:val="de-DE"/>
        </w:rPr>
      </w:pPr>
      <w:r w:rsidRPr="00363D0E">
        <w:rPr>
          <w:color w:val="000000"/>
          <w:lang w:val="de-DE"/>
        </w:rPr>
        <w:t xml:space="preserve">- </w:t>
      </w:r>
      <w:proofErr w:type="spellStart"/>
      <w:r w:rsidRPr="00363D0E">
        <w:rPr>
          <w:color w:val="000000"/>
          <w:lang w:val="de-DE"/>
        </w:rPr>
        <w:t>ChZTCRmg</w:t>
      </w:r>
      <w:proofErr w:type="spellEnd"/>
      <w:r w:rsidRPr="00363D0E">
        <w:rPr>
          <w:color w:val="000000"/>
          <w:lang w:val="de-DE"/>
        </w:rPr>
        <w:t xml:space="preserve"> O2/dm³  - 125 </w:t>
      </w:r>
    </w:p>
    <w:p w:rsidR="00DF7229" w:rsidRPr="000E1548" w:rsidRDefault="00DF7229" w:rsidP="00DF7229">
      <w:pPr>
        <w:rPr>
          <w:color w:val="FF0000"/>
        </w:rPr>
      </w:pPr>
      <w:r w:rsidRPr="00363D0E">
        <w:rPr>
          <w:color w:val="000000"/>
        </w:rPr>
        <w:t>Zgodnie z pozwoleniem</w:t>
      </w:r>
      <w:r>
        <w:rPr>
          <w:color w:val="000000"/>
        </w:rPr>
        <w:t>,</w:t>
      </w:r>
      <w:r w:rsidRPr="00363D0E">
        <w:rPr>
          <w:color w:val="000000"/>
        </w:rPr>
        <w:t xml:space="preserve"> n</w:t>
      </w:r>
      <w:r>
        <w:rPr>
          <w:color w:val="000000"/>
        </w:rPr>
        <w:t xml:space="preserve">a zlecenie gminy, wykonywane są </w:t>
      </w:r>
      <w:r w:rsidRPr="00363D0E">
        <w:rPr>
          <w:color w:val="000000"/>
        </w:rPr>
        <w:t>analizy odprowadzonych ścieków. Badania  prowadzone są przez WIOŚ</w:t>
      </w:r>
      <w:r w:rsidR="000E1548">
        <w:rPr>
          <w:color w:val="000000"/>
        </w:rPr>
        <w:t>, s</w:t>
      </w:r>
      <w:r w:rsidRPr="00363D0E">
        <w:rPr>
          <w:color w:val="000000"/>
        </w:rPr>
        <w:t xml:space="preserve">półkę „Warta” z </w:t>
      </w:r>
      <w:r w:rsidRPr="00E97626">
        <w:t>Często</w:t>
      </w:r>
      <w:r w:rsidR="000E1548" w:rsidRPr="00E97626">
        <w:t>chowy lub SGS Polska Sp. z o.o. Laboratorium Środowiskowe z Pszczyny.</w:t>
      </w:r>
    </w:p>
    <w:p w:rsidR="00DD4764" w:rsidRPr="006F2005" w:rsidRDefault="00DF7229" w:rsidP="00DF7229">
      <w:r w:rsidRPr="00363D0E">
        <w:rPr>
          <w:color w:val="000000"/>
        </w:rPr>
        <w:t>2) Druga oczyszczalnia ścieków zlokalizowana jest w Lisowie. Jest to oczyszczalnia mechaniczno-</w:t>
      </w:r>
      <w:r w:rsidRPr="006F2005">
        <w:t xml:space="preserve">biologiczna z doczyszczaniem ścieków w stawie rybnym o przepustowości 600 </w:t>
      </w:r>
      <w:proofErr w:type="spellStart"/>
      <w:r w:rsidRPr="006F2005">
        <w:t>m³</w:t>
      </w:r>
      <w:proofErr w:type="spellEnd"/>
      <w:r w:rsidRPr="006F2005">
        <w:t xml:space="preserve">/d. Oczyszczalnia przyjmuje ścieki z miejscowości: Lisów, Chwostek, Hadra, Mochała, Piłka, Tanina, Kierzki, Kolonia Lisów, Głąby, Pustkowie, Łęg, </w:t>
      </w:r>
      <w:r w:rsidR="006F2005">
        <w:t xml:space="preserve">Łebki, </w:t>
      </w:r>
      <w:proofErr w:type="spellStart"/>
      <w:r w:rsidR="006F2005">
        <w:t>Braszczok</w:t>
      </w:r>
      <w:proofErr w:type="spellEnd"/>
      <w:r w:rsidR="006F2005">
        <w:t xml:space="preserve">, Niwy, </w:t>
      </w:r>
      <w:proofErr w:type="spellStart"/>
      <w:r w:rsidR="006F2005">
        <w:t>Brasowe</w:t>
      </w:r>
      <w:proofErr w:type="spellEnd"/>
      <w:r w:rsidR="006F2005">
        <w:t xml:space="preserve"> </w:t>
      </w:r>
      <w:r w:rsidR="00DD4764" w:rsidRPr="006F2005">
        <w:t>oraz Droniowice                   i</w:t>
      </w:r>
      <w:r w:rsidR="00B15E25" w:rsidRPr="006F2005">
        <w:t xml:space="preserve"> </w:t>
      </w:r>
      <w:r w:rsidR="00DD4764" w:rsidRPr="006F2005">
        <w:t>Harbułtowice z Gminy Kochanowice.</w:t>
      </w:r>
    </w:p>
    <w:p w:rsidR="00DD4764" w:rsidRPr="006F2005" w:rsidRDefault="00DD4764" w:rsidP="00DD4764">
      <w:r w:rsidRPr="006F2005">
        <w:t>Oczyszczalnia eksploatowana jest na podstawie pozwolenia wodno prawnego wydanego przez Starostę Lublinieckiego Nr OŚ – 6223/20/2000 ograniczonego Decyzją Starosty Lublinieckiego Nr WOŚ.6341.99.2014</w:t>
      </w:r>
      <w:r w:rsidR="00B15E25" w:rsidRPr="006F2005">
        <w:t xml:space="preserve"> </w:t>
      </w:r>
      <w:r w:rsidRPr="006F2005">
        <w:t>z następującymi parametrami.</w:t>
      </w:r>
    </w:p>
    <w:p w:rsidR="005B6CCF" w:rsidRPr="006F2005" w:rsidRDefault="005B6CCF" w:rsidP="00DD4764"/>
    <w:p w:rsidR="00EF0785" w:rsidRDefault="00EF0785" w:rsidP="00DD4764">
      <w:pPr>
        <w:rPr>
          <w:color w:val="000000"/>
        </w:rPr>
      </w:pPr>
    </w:p>
    <w:p w:rsidR="00EF0785" w:rsidRDefault="00EF0785" w:rsidP="00DD4764">
      <w:pPr>
        <w:rPr>
          <w:color w:val="000000"/>
        </w:rPr>
      </w:pPr>
    </w:p>
    <w:p w:rsidR="00DD4764" w:rsidRPr="00363D0E" w:rsidRDefault="00DD4764" w:rsidP="00DD4764">
      <w:pPr>
        <w:rPr>
          <w:color w:val="000000"/>
        </w:rPr>
      </w:pPr>
      <w:r w:rsidRPr="00363D0E">
        <w:rPr>
          <w:color w:val="000000"/>
        </w:rPr>
        <w:lastRenderedPageBreak/>
        <w:t>Grupa A podstawowe:</w:t>
      </w:r>
    </w:p>
    <w:p w:rsidR="00DD4764" w:rsidRPr="00363D0E" w:rsidRDefault="00DD4764" w:rsidP="00DD4764">
      <w:pPr>
        <w:rPr>
          <w:color w:val="000000"/>
        </w:rPr>
      </w:pPr>
      <w:r w:rsidRPr="00363D0E">
        <w:rPr>
          <w:color w:val="000000"/>
        </w:rPr>
        <w:t xml:space="preserve">- odczyn  </w:t>
      </w:r>
      <w:proofErr w:type="spellStart"/>
      <w:r w:rsidRPr="00363D0E">
        <w:rPr>
          <w:color w:val="000000"/>
        </w:rPr>
        <w:t>pH</w:t>
      </w:r>
      <w:proofErr w:type="spellEnd"/>
      <w:r w:rsidRPr="00363D0E">
        <w:rPr>
          <w:color w:val="000000"/>
        </w:rPr>
        <w:t xml:space="preserve">            6,50 – 9,00</w:t>
      </w:r>
    </w:p>
    <w:p w:rsidR="00DD4764" w:rsidRPr="00D27E49" w:rsidRDefault="00DD4764" w:rsidP="00DD4764">
      <w:pPr>
        <w:rPr>
          <w:color w:val="FF0000"/>
        </w:rPr>
      </w:pPr>
      <w:r w:rsidRPr="00363D0E">
        <w:rPr>
          <w:color w:val="000000"/>
        </w:rPr>
        <w:t>- zawiesina ogólna  mg/</w:t>
      </w:r>
      <w:proofErr w:type="spellStart"/>
      <w:r w:rsidRPr="00363D0E">
        <w:rPr>
          <w:color w:val="000000"/>
        </w:rPr>
        <w:t>dm³</w:t>
      </w:r>
      <w:proofErr w:type="spellEnd"/>
      <w:r w:rsidRPr="00363D0E">
        <w:rPr>
          <w:color w:val="000000"/>
        </w:rPr>
        <w:t xml:space="preserve"> </w:t>
      </w:r>
      <w:r w:rsidRPr="00E97626">
        <w:t>35</w:t>
      </w:r>
    </w:p>
    <w:p w:rsidR="00DD4764" w:rsidRPr="00363D0E" w:rsidRDefault="00DD4764" w:rsidP="00DD4764">
      <w:pPr>
        <w:rPr>
          <w:color w:val="000000"/>
          <w:lang w:val="de-DE"/>
        </w:rPr>
      </w:pPr>
      <w:r>
        <w:rPr>
          <w:color w:val="000000"/>
          <w:lang w:val="de-DE"/>
        </w:rPr>
        <w:t xml:space="preserve">- BZT5  mg O2/dm³  </w:t>
      </w:r>
      <w:r w:rsidRPr="00E97626">
        <w:rPr>
          <w:lang w:val="de-DE"/>
        </w:rPr>
        <w:t>25,00</w:t>
      </w:r>
    </w:p>
    <w:p w:rsidR="00DD4764" w:rsidRPr="00E97626" w:rsidRDefault="00DD4764" w:rsidP="00DD4764">
      <w:pPr>
        <w:rPr>
          <w:lang w:val="de-DE"/>
        </w:rPr>
      </w:pPr>
      <w:r w:rsidRPr="00363D0E">
        <w:rPr>
          <w:color w:val="000000"/>
          <w:lang w:val="de-DE"/>
        </w:rPr>
        <w:t xml:space="preserve">- </w:t>
      </w:r>
      <w:proofErr w:type="spellStart"/>
      <w:r w:rsidRPr="00363D0E">
        <w:rPr>
          <w:color w:val="000000"/>
          <w:lang w:val="de-DE"/>
        </w:rPr>
        <w:t>ChZT</w:t>
      </w:r>
      <w:r>
        <w:rPr>
          <w:color w:val="000000"/>
          <w:lang w:val="de-DE"/>
        </w:rPr>
        <w:t>CR</w:t>
      </w:r>
      <w:r w:rsidRPr="00363D0E">
        <w:rPr>
          <w:color w:val="000000"/>
          <w:lang w:val="de-DE"/>
        </w:rPr>
        <w:t>mg</w:t>
      </w:r>
      <w:proofErr w:type="spellEnd"/>
      <w:r w:rsidRPr="00363D0E">
        <w:rPr>
          <w:color w:val="000000"/>
          <w:lang w:val="de-DE"/>
        </w:rPr>
        <w:t xml:space="preserve"> O2/dm</w:t>
      </w:r>
      <w:r w:rsidRPr="00E97626">
        <w:rPr>
          <w:lang w:val="de-DE"/>
        </w:rPr>
        <w:t>³  125,00</w:t>
      </w:r>
    </w:p>
    <w:p w:rsidR="00EF0785" w:rsidRDefault="00EF0785" w:rsidP="00DF7229">
      <w:pPr>
        <w:rPr>
          <w:color w:val="000000"/>
        </w:rPr>
      </w:pPr>
    </w:p>
    <w:p w:rsidR="00DF7229" w:rsidRPr="00363D0E" w:rsidRDefault="00DF7229" w:rsidP="00DF7229">
      <w:pPr>
        <w:rPr>
          <w:color w:val="000000"/>
        </w:rPr>
      </w:pPr>
      <w:r w:rsidRPr="00363D0E">
        <w:rPr>
          <w:color w:val="000000"/>
        </w:rPr>
        <w:t>Ponadto na terenie gminy oczyszczalnie dla celów oczyszczenia ścieków powstałych</w:t>
      </w:r>
      <w:r>
        <w:rPr>
          <w:color w:val="000000"/>
        </w:rPr>
        <w:t xml:space="preserve"> w </w:t>
      </w:r>
      <w:r w:rsidRPr="00363D0E">
        <w:rPr>
          <w:color w:val="000000"/>
        </w:rPr>
        <w:t>produkcji posiadają:</w:t>
      </w:r>
    </w:p>
    <w:p w:rsidR="00DF7229" w:rsidRPr="00363D0E" w:rsidRDefault="00DF7229" w:rsidP="00E7342B">
      <w:pPr>
        <w:numPr>
          <w:ilvl w:val="0"/>
          <w:numId w:val="17"/>
        </w:numPr>
        <w:tabs>
          <w:tab w:val="left" w:pos="720"/>
        </w:tabs>
        <w:spacing w:after="0"/>
        <w:rPr>
          <w:color w:val="000000"/>
        </w:rPr>
      </w:pPr>
      <w:proofErr w:type="spellStart"/>
      <w:r w:rsidRPr="00363D0E">
        <w:rPr>
          <w:color w:val="000000"/>
        </w:rPr>
        <w:t>Scrapena</w:t>
      </w:r>
      <w:proofErr w:type="spellEnd"/>
      <w:r w:rsidRPr="00363D0E">
        <w:rPr>
          <w:color w:val="000000"/>
        </w:rPr>
        <w:t xml:space="preserve"> S.A. Herby</w:t>
      </w:r>
    </w:p>
    <w:p w:rsidR="00DF7229" w:rsidRPr="00363D0E" w:rsidRDefault="00DF7229" w:rsidP="00E7342B">
      <w:pPr>
        <w:numPr>
          <w:ilvl w:val="0"/>
          <w:numId w:val="17"/>
        </w:numPr>
        <w:tabs>
          <w:tab w:val="left" w:pos="720"/>
        </w:tabs>
        <w:spacing w:after="0"/>
        <w:rPr>
          <w:color w:val="000000"/>
        </w:rPr>
      </w:pPr>
      <w:r w:rsidRPr="00363D0E">
        <w:rPr>
          <w:color w:val="000000"/>
        </w:rPr>
        <w:t>YAWAL - Herby</w:t>
      </w:r>
    </w:p>
    <w:p w:rsidR="00DF7229" w:rsidRPr="00363D0E" w:rsidRDefault="00DF7229" w:rsidP="00E7342B">
      <w:pPr>
        <w:numPr>
          <w:ilvl w:val="0"/>
          <w:numId w:val="17"/>
        </w:numPr>
        <w:tabs>
          <w:tab w:val="left" w:pos="720"/>
        </w:tabs>
        <w:spacing w:after="0"/>
        <w:rPr>
          <w:color w:val="000000"/>
        </w:rPr>
      </w:pPr>
      <w:r w:rsidRPr="00363D0E">
        <w:rPr>
          <w:color w:val="000000"/>
        </w:rPr>
        <w:t>ARTCO - Herby</w:t>
      </w:r>
    </w:p>
    <w:p w:rsidR="00DF7229" w:rsidRDefault="00DF7229" w:rsidP="00DF7229">
      <w:pPr>
        <w:rPr>
          <w:color w:val="000000"/>
          <w:highlight w:val="yellow"/>
        </w:rPr>
      </w:pPr>
    </w:p>
    <w:p w:rsidR="00DF7229" w:rsidRDefault="00DF7229" w:rsidP="00DF7229">
      <w:pPr>
        <w:rPr>
          <w:color w:val="000000"/>
        </w:rPr>
      </w:pPr>
      <w:r w:rsidRPr="006F2005">
        <w:t xml:space="preserve">Źródłem zaopatrzenia wodociągu są własne ujęcia wody zlokalizowane w Herbach i Lisowie. Gmina posiada pozwolenie </w:t>
      </w:r>
      <w:proofErr w:type="spellStart"/>
      <w:r w:rsidRPr="006F2005">
        <w:t>wodnoprawne</w:t>
      </w:r>
      <w:proofErr w:type="spellEnd"/>
      <w:r w:rsidRPr="006F2005">
        <w:t xml:space="preserve"> dla ujęć wody ze studni Nr 3, 4, 5 i 6 z utworów czwartorzędu i dolnej jury </w:t>
      </w:r>
      <w:r w:rsidR="005B6CCF" w:rsidRPr="006F2005">
        <w:t>w Herbach</w:t>
      </w:r>
      <w:r w:rsidR="00B15E25" w:rsidRPr="006F2005">
        <w:t xml:space="preserve"> </w:t>
      </w:r>
      <w:r w:rsidRPr="006F2005">
        <w:t xml:space="preserve">w ilości średnio 1300 </w:t>
      </w:r>
      <w:proofErr w:type="spellStart"/>
      <w:r w:rsidRPr="006F2005">
        <w:t>m³</w:t>
      </w:r>
      <w:proofErr w:type="spellEnd"/>
      <w:r w:rsidRPr="006F2005">
        <w:t>/d. ustalone decyzją Starosty Powiatu Lublinieckiego Nr OŚ – 6223/35/2001/2002 z 2.04.2002 r. oraz pozwolenie</w:t>
      </w:r>
      <w:r w:rsidRPr="001558AC">
        <w:rPr>
          <w:color w:val="000000"/>
        </w:rPr>
        <w:t xml:space="preserve"> </w:t>
      </w:r>
      <w:proofErr w:type="spellStart"/>
      <w:r w:rsidRPr="001558AC">
        <w:rPr>
          <w:color w:val="000000"/>
        </w:rPr>
        <w:t>wodnoprawne</w:t>
      </w:r>
      <w:proofErr w:type="spellEnd"/>
      <w:r w:rsidRPr="001558AC">
        <w:rPr>
          <w:color w:val="000000"/>
        </w:rPr>
        <w:t xml:space="preserve"> na ujęcie wody z studni S-1 i S-2 i dwóch studni awaryjnych A-1 i A-2 w Lisowie w ilości średnio 500 </w:t>
      </w:r>
      <w:proofErr w:type="spellStart"/>
      <w:r w:rsidRPr="001558AC">
        <w:rPr>
          <w:color w:val="000000"/>
        </w:rPr>
        <w:t>m³</w:t>
      </w:r>
      <w:proofErr w:type="spellEnd"/>
      <w:r w:rsidRPr="001558AC">
        <w:rPr>
          <w:color w:val="000000"/>
        </w:rPr>
        <w:t>/d. ustalone decyzją Starosty Powiatu Lublinieckiego Nr OŚ</w:t>
      </w:r>
      <w:r>
        <w:rPr>
          <w:color w:val="000000"/>
        </w:rPr>
        <w:t xml:space="preserve"> – 6223/20/2002/2003 z </w:t>
      </w:r>
      <w:r w:rsidRPr="001558AC">
        <w:rPr>
          <w:color w:val="000000"/>
        </w:rPr>
        <w:t xml:space="preserve">14.01.2003 r. Sieć wodociągowa wykonana jest z rur PCV. </w:t>
      </w:r>
    </w:p>
    <w:p w:rsidR="00247598" w:rsidRDefault="00247598">
      <w:pPr>
        <w:spacing w:line="276" w:lineRule="auto"/>
        <w:jc w:val="left"/>
        <w:rPr>
          <w:color w:val="000000"/>
        </w:rPr>
      </w:pPr>
      <w:r>
        <w:rPr>
          <w:color w:val="000000"/>
        </w:rPr>
        <w:br w:type="page"/>
      </w:r>
    </w:p>
    <w:p w:rsidR="00FA5462" w:rsidRDefault="00247598" w:rsidP="00A10D06">
      <w:pPr>
        <w:pStyle w:val="Nagwek3"/>
        <w:numPr>
          <w:ilvl w:val="2"/>
          <w:numId w:val="1"/>
        </w:numPr>
      </w:pPr>
      <w:bookmarkStart w:id="51" w:name="_Toc438118371"/>
      <w:r>
        <w:lastRenderedPageBreak/>
        <w:t>Gospodarka odpadami</w:t>
      </w:r>
      <w:bookmarkEnd w:id="51"/>
    </w:p>
    <w:p w:rsidR="00247598" w:rsidRDefault="00247598" w:rsidP="00247598"/>
    <w:p w:rsidR="006075F3" w:rsidRPr="006075F3" w:rsidRDefault="006075F3" w:rsidP="006075F3">
      <w:r w:rsidRPr="006075F3">
        <w:t>Po nowelizacji ustawy o utrzymaniu czystości i porządku w gminach, która weszła w życie 1 stycznia 2012 roku, to na gminie ciąży obowiązek odbioru i zagospodarowania odpadów komunalnych. Nowy system gospodarki odpadami zaczął obowiązywać od dnia 1 lipca 2013 r.</w:t>
      </w:r>
    </w:p>
    <w:p w:rsidR="006075F3" w:rsidRPr="006075F3" w:rsidRDefault="006075F3" w:rsidP="006075F3">
      <w:r w:rsidRPr="006075F3">
        <w:t xml:space="preserve">Pod pojęciem odpadów komunalnych rozumie się odpady powstające w gospodarstwach domowych, obiektach użyteczności publicznej oraz pochodzące od drobnych wytwórców nie zawierające odpadów niebezpiecznych. Gospodarka odpadami na terenie gminy odbywa się w sposób zorganizowany. Na terenie gminy obsługiwanych jest </w:t>
      </w:r>
      <w:r w:rsidR="005B6CCF" w:rsidRPr="009E3FA2">
        <w:t>1394</w:t>
      </w:r>
      <w:r w:rsidRPr="006075F3">
        <w:t xml:space="preserve"> kubłów na śmieci. Odpady komunalne przekazywane są do zakładów</w:t>
      </w:r>
      <w:r w:rsidRPr="006075F3">
        <w:rPr>
          <w:vertAlign w:val="superscript"/>
        </w:rPr>
        <w:footnoteReference w:id="15"/>
      </w:r>
      <w:r w:rsidRPr="006075F3">
        <w:t>:</w:t>
      </w:r>
    </w:p>
    <w:p w:rsidR="006075F3" w:rsidRPr="006075F3" w:rsidRDefault="006075F3" w:rsidP="00E7342B">
      <w:pPr>
        <w:numPr>
          <w:ilvl w:val="0"/>
          <w:numId w:val="18"/>
        </w:numPr>
        <w:spacing w:line="276" w:lineRule="auto"/>
      </w:pPr>
      <w:r w:rsidRPr="006075F3">
        <w:t>MPGK Zakład Segregacji i Kompostowni w Zabrzu;</w:t>
      </w:r>
    </w:p>
    <w:p w:rsidR="006075F3" w:rsidRPr="006075F3" w:rsidRDefault="006075F3" w:rsidP="00E7342B">
      <w:pPr>
        <w:numPr>
          <w:ilvl w:val="0"/>
          <w:numId w:val="18"/>
        </w:numPr>
        <w:spacing w:line="276" w:lineRule="auto"/>
      </w:pPr>
      <w:r w:rsidRPr="006075F3">
        <w:t xml:space="preserve">EKO HARPPOON Recykling Sp. z o.o. </w:t>
      </w:r>
    </w:p>
    <w:p w:rsidR="006075F3" w:rsidRPr="006075F3" w:rsidRDefault="006075F3" w:rsidP="00E7342B">
      <w:pPr>
        <w:numPr>
          <w:ilvl w:val="0"/>
          <w:numId w:val="18"/>
        </w:numPr>
        <w:spacing w:line="276" w:lineRule="auto"/>
      </w:pPr>
      <w:r w:rsidRPr="006075F3">
        <w:t xml:space="preserve">Alba </w:t>
      </w:r>
      <w:proofErr w:type="spellStart"/>
      <w:r w:rsidRPr="006075F3">
        <w:t>Ekoplus</w:t>
      </w:r>
      <w:proofErr w:type="spellEnd"/>
      <w:r w:rsidRPr="006075F3">
        <w:t xml:space="preserve"> Dąbrowa Górnicza;</w:t>
      </w:r>
    </w:p>
    <w:p w:rsidR="006075F3" w:rsidRPr="006075F3" w:rsidRDefault="006075F3" w:rsidP="00E7342B">
      <w:pPr>
        <w:numPr>
          <w:ilvl w:val="0"/>
          <w:numId w:val="18"/>
        </w:numPr>
        <w:spacing w:line="276" w:lineRule="auto"/>
      </w:pPr>
      <w:r w:rsidRPr="006075F3">
        <w:t>ASA Eko Polska Sp. z o.o. składowisko sadów;</w:t>
      </w:r>
    </w:p>
    <w:p w:rsidR="006075F3" w:rsidRPr="006075F3" w:rsidRDefault="006075F3" w:rsidP="00E7342B">
      <w:pPr>
        <w:numPr>
          <w:ilvl w:val="0"/>
          <w:numId w:val="18"/>
        </w:numPr>
        <w:spacing w:line="276" w:lineRule="auto"/>
      </w:pPr>
      <w:proofErr w:type="spellStart"/>
      <w:r w:rsidRPr="006075F3">
        <w:t>CzPK</w:t>
      </w:r>
      <w:proofErr w:type="spellEnd"/>
      <w:r w:rsidRPr="006075F3">
        <w:t xml:space="preserve"> w Sobuczynie Wrzosowa;</w:t>
      </w:r>
    </w:p>
    <w:p w:rsidR="006075F3" w:rsidRPr="006075F3" w:rsidRDefault="006075F3" w:rsidP="00E7342B">
      <w:pPr>
        <w:numPr>
          <w:ilvl w:val="0"/>
          <w:numId w:val="18"/>
        </w:numPr>
        <w:spacing w:line="276" w:lineRule="auto"/>
      </w:pPr>
      <w:r w:rsidRPr="006075F3">
        <w:t>IRECHEM Częstochowa;</w:t>
      </w:r>
    </w:p>
    <w:p w:rsidR="006075F3" w:rsidRPr="006075F3" w:rsidRDefault="006075F3" w:rsidP="00E7342B">
      <w:pPr>
        <w:numPr>
          <w:ilvl w:val="0"/>
          <w:numId w:val="18"/>
        </w:numPr>
        <w:spacing w:line="276" w:lineRule="auto"/>
      </w:pPr>
      <w:r w:rsidRPr="006075F3">
        <w:t xml:space="preserve">Huta Szkła </w:t>
      </w:r>
      <w:proofErr w:type="spellStart"/>
      <w:r w:rsidRPr="006075F3">
        <w:t>Pol-Am-Pack</w:t>
      </w:r>
      <w:proofErr w:type="spellEnd"/>
      <w:r w:rsidRPr="006075F3">
        <w:t xml:space="preserve"> S.A.;</w:t>
      </w:r>
    </w:p>
    <w:p w:rsidR="006075F3" w:rsidRPr="006075F3" w:rsidRDefault="006075F3" w:rsidP="00E7342B">
      <w:pPr>
        <w:numPr>
          <w:ilvl w:val="0"/>
          <w:numId w:val="18"/>
        </w:numPr>
        <w:spacing w:line="276" w:lineRule="auto"/>
      </w:pPr>
      <w:r w:rsidRPr="006075F3">
        <w:t>Instalacja MBP PZOM Waldemar Strach;</w:t>
      </w:r>
    </w:p>
    <w:p w:rsidR="006075F3" w:rsidRPr="006075F3" w:rsidRDefault="006075F3" w:rsidP="00E7342B">
      <w:pPr>
        <w:numPr>
          <w:ilvl w:val="0"/>
          <w:numId w:val="18"/>
        </w:numPr>
        <w:spacing w:line="276" w:lineRule="auto"/>
      </w:pPr>
      <w:r w:rsidRPr="006075F3">
        <w:t>Sortownia odpadów komunalnych PZOM W. Strach;</w:t>
      </w:r>
    </w:p>
    <w:p w:rsidR="006075F3" w:rsidRPr="006075F3" w:rsidRDefault="006075F3" w:rsidP="00E7342B">
      <w:pPr>
        <w:numPr>
          <w:ilvl w:val="0"/>
          <w:numId w:val="18"/>
        </w:numPr>
        <w:spacing w:line="276" w:lineRule="auto"/>
      </w:pPr>
      <w:r w:rsidRPr="006075F3">
        <w:t xml:space="preserve">PZOM Strach Sp. z o.o. </w:t>
      </w:r>
    </w:p>
    <w:p w:rsidR="006075F3" w:rsidRPr="006075F3" w:rsidRDefault="006075F3" w:rsidP="00E7342B">
      <w:pPr>
        <w:numPr>
          <w:ilvl w:val="0"/>
          <w:numId w:val="18"/>
        </w:numPr>
        <w:spacing w:line="276" w:lineRule="auto"/>
      </w:pPr>
      <w:r w:rsidRPr="006075F3">
        <w:t>Krynicki Recykling S.A. Zakład uzdatniania Stłuczki Szklanej w Lublińcu;</w:t>
      </w:r>
    </w:p>
    <w:p w:rsidR="006075F3" w:rsidRPr="006075F3" w:rsidRDefault="006075F3" w:rsidP="00E7342B">
      <w:pPr>
        <w:numPr>
          <w:ilvl w:val="0"/>
          <w:numId w:val="18"/>
        </w:numPr>
        <w:spacing w:line="276" w:lineRule="auto"/>
      </w:pPr>
      <w:r w:rsidRPr="006075F3">
        <w:t xml:space="preserve">Przedsiębiorstwo Gospodarki Odpadami MB </w:t>
      </w:r>
      <w:proofErr w:type="spellStart"/>
      <w:r w:rsidRPr="006075F3">
        <w:t>Recykliing</w:t>
      </w:r>
      <w:proofErr w:type="spellEnd"/>
      <w:r w:rsidRPr="006075F3">
        <w:t xml:space="preserve"> Sp. z o.o. </w:t>
      </w:r>
    </w:p>
    <w:p w:rsidR="006075F3" w:rsidRPr="006075F3" w:rsidRDefault="006075F3" w:rsidP="00E7342B">
      <w:pPr>
        <w:numPr>
          <w:ilvl w:val="0"/>
          <w:numId w:val="18"/>
        </w:numPr>
        <w:spacing w:line="276" w:lineRule="auto"/>
      </w:pPr>
      <w:r w:rsidRPr="006075F3">
        <w:t xml:space="preserve">ZP </w:t>
      </w:r>
      <w:proofErr w:type="spellStart"/>
      <w:r w:rsidRPr="006075F3">
        <w:t>ZSEiE</w:t>
      </w:r>
      <w:proofErr w:type="spellEnd"/>
      <w:r w:rsidRPr="006075F3">
        <w:t xml:space="preserve"> PHU Andrzej </w:t>
      </w:r>
      <w:proofErr w:type="spellStart"/>
      <w:r w:rsidRPr="006075F3">
        <w:t>Bajor-BOWI</w:t>
      </w:r>
      <w:proofErr w:type="spellEnd"/>
      <w:r w:rsidRPr="006075F3">
        <w:t xml:space="preserve"> Częstochowa;</w:t>
      </w:r>
    </w:p>
    <w:p w:rsidR="006075F3" w:rsidRPr="006075F3" w:rsidRDefault="006075F3" w:rsidP="00E7342B">
      <w:pPr>
        <w:numPr>
          <w:ilvl w:val="0"/>
          <w:numId w:val="18"/>
        </w:numPr>
        <w:spacing w:line="276" w:lineRule="auto"/>
      </w:pPr>
      <w:proofErr w:type="spellStart"/>
      <w:r w:rsidRPr="006075F3">
        <w:t>Terra</w:t>
      </w:r>
      <w:proofErr w:type="spellEnd"/>
      <w:r w:rsidRPr="006075F3">
        <w:t xml:space="preserve"> Recykling Grodzisk Mazowiecki. </w:t>
      </w:r>
    </w:p>
    <w:p w:rsidR="006075F3" w:rsidRPr="006075F3" w:rsidRDefault="006075F3" w:rsidP="006075F3"/>
    <w:p w:rsidR="006075F3" w:rsidRPr="00D26EA6" w:rsidRDefault="006075F3" w:rsidP="006075F3">
      <w:pPr>
        <w:rPr>
          <w:color w:val="FF0000"/>
        </w:rPr>
      </w:pPr>
      <w:r w:rsidRPr="006075F3">
        <w:lastRenderedPageBreak/>
        <w:t xml:space="preserve"> Łączna masa selektywnie zebranych odpadów komunalnych w 2014 r. wyniosła 29,60 [Mg]. Osiągnięto 39,35% poziom recyklingu – przygotowania do ponownego użycia odpadów komunalnych: papieru, metalu, tworzyw sztucznych, szkła. Natomiast w przypadku odpadów budowlanych i rozbiórkowych wyniósł 100%. </w:t>
      </w:r>
      <w:r w:rsidR="00F03170" w:rsidRPr="009E3FA2">
        <w:t>Łączna ilość zebranych w 2014 r. odpadów ko</w:t>
      </w:r>
      <w:r w:rsidR="00D26EA6" w:rsidRPr="009E3FA2">
        <w:t xml:space="preserve">munalnych wyniosła 1918,22 </w:t>
      </w:r>
      <w:proofErr w:type="spellStart"/>
      <w:r w:rsidR="00D26EA6" w:rsidRPr="009E3FA2">
        <w:t>Mg</w:t>
      </w:r>
      <w:proofErr w:type="spellEnd"/>
      <w:r w:rsidR="00D26EA6" w:rsidRPr="009E3FA2">
        <w:t>.</w:t>
      </w:r>
    </w:p>
    <w:p w:rsidR="00247598" w:rsidRDefault="00247598" w:rsidP="00247598"/>
    <w:p w:rsidR="006075F3" w:rsidRDefault="006075F3" w:rsidP="00A10D06">
      <w:pPr>
        <w:pStyle w:val="Nagwek3"/>
        <w:numPr>
          <w:ilvl w:val="2"/>
          <w:numId w:val="1"/>
        </w:numPr>
      </w:pPr>
      <w:bookmarkStart w:id="52" w:name="_Toc438118372"/>
      <w:r>
        <w:t>Sieć gazowa</w:t>
      </w:r>
      <w:bookmarkEnd w:id="52"/>
    </w:p>
    <w:p w:rsidR="006075F3" w:rsidRDefault="006075F3" w:rsidP="006075F3"/>
    <w:p w:rsidR="00C87509" w:rsidRPr="00827414" w:rsidRDefault="00C87509" w:rsidP="00C87509">
      <w:pPr>
        <w:rPr>
          <w:rFonts w:ascii="Arial Narrow" w:hAnsi="Arial Narrow" w:cs="Tahoma"/>
        </w:rPr>
      </w:pPr>
      <w:r w:rsidRPr="006F2005">
        <w:t>W roku 2007 przez gminę Herby został przeprowadzony główny gazociąg wysokociśnieniowy. Natomiast w kolejnych latach przeprowadzono gazyfikację gminy.  Z danych GUS na koniec 2013 roku wynika, że obszar gminy Herby posiada 12.080 m czynnej sieci gazowej</w:t>
      </w:r>
      <w:r w:rsidR="00B15E25" w:rsidRPr="006F2005">
        <w:t xml:space="preserve"> </w:t>
      </w:r>
      <w:r w:rsidR="00D26EA6" w:rsidRPr="006F2005">
        <w:t>wysokoprężnej.</w:t>
      </w:r>
      <w:r w:rsidRPr="006F2005">
        <w:t xml:space="preserve"> Podstawowym kierunkiem dalszego rozwoju gminy w ramach gazyfikacji jest utrzymanie obecnej sieci gazowej oraz dalsza gazyfikacja gminy rurociągiem przemysłowym. </w:t>
      </w:r>
      <w:r w:rsidR="00D26EA6" w:rsidRPr="006F2005">
        <w:t>W 2015 r. w części północnej miejscowości Herby wybudowano średnioprężną sieć gazową.</w:t>
      </w:r>
      <w:r w:rsidR="00B15E25" w:rsidRPr="006F2005">
        <w:t xml:space="preserve"> </w:t>
      </w:r>
      <w:r w:rsidRPr="006F2005">
        <w:t xml:space="preserve">Dalsza gazyfikacja gminy w znacznym stopniu przyczyniłaby się do wzrostu możliwości </w:t>
      </w:r>
      <w:r w:rsidR="00D26EA6" w:rsidRPr="006F2005">
        <w:t>rozwoju</w:t>
      </w:r>
      <w:r w:rsidR="00B15E25" w:rsidRPr="006F2005">
        <w:t xml:space="preserve"> </w:t>
      </w:r>
      <w:r w:rsidRPr="006F2005">
        <w:t>gospodarczego, a także poprawiła warunki życia mieszkańców (możliwość wykorzystania gazu dla</w:t>
      </w:r>
      <w:r w:rsidR="00B15E25" w:rsidRPr="006F2005">
        <w:t xml:space="preserve"> </w:t>
      </w:r>
      <w:r w:rsidRPr="006F2005">
        <w:t>potrzeb socjalnych i bytowych) przy jednoczesnej ochronie środowiska naturalnego. Pierwszym krokiem w tym kierunku powinno być opracowanie „Planu zaopatrzenia w ciepło, energię elektryczną i</w:t>
      </w:r>
      <w:r w:rsidRPr="0040229C">
        <w:t xml:space="preserve"> paliwa gazowe”.</w:t>
      </w:r>
    </w:p>
    <w:p w:rsidR="006075F3" w:rsidRDefault="006075F3" w:rsidP="006075F3"/>
    <w:p w:rsidR="00C87509" w:rsidRDefault="00C87509" w:rsidP="00A10D06">
      <w:pPr>
        <w:pStyle w:val="Nagwek3"/>
        <w:numPr>
          <w:ilvl w:val="2"/>
          <w:numId w:val="1"/>
        </w:numPr>
      </w:pPr>
      <w:bookmarkStart w:id="53" w:name="_Toc438118373"/>
      <w:r>
        <w:t>Mieszkalnictwo</w:t>
      </w:r>
      <w:bookmarkEnd w:id="53"/>
    </w:p>
    <w:p w:rsidR="00C87509" w:rsidRDefault="00C87509" w:rsidP="00C87509"/>
    <w:p w:rsidR="00C87509" w:rsidRDefault="00C87509" w:rsidP="00C87509">
      <w:r>
        <w:t xml:space="preserve">Zasoby mieszkaniowe gminy na koniec 2013 roku szacowane są na 2361 mieszkań o łącznej powierzchni użytkowej 198.750 m2. </w:t>
      </w:r>
    </w:p>
    <w:p w:rsidR="00C87509" w:rsidRDefault="00C87509" w:rsidP="00C87509"/>
    <w:p w:rsidR="00C87509" w:rsidRDefault="00C87509" w:rsidP="00C87509">
      <w:pPr>
        <w:keepNext/>
      </w:pPr>
      <w:r w:rsidRPr="00204B02">
        <w:rPr>
          <w:noProof/>
          <w:lang w:eastAsia="pl-PL"/>
        </w:rPr>
        <w:lastRenderedPageBreak/>
        <w:drawing>
          <wp:inline distT="0" distB="0" distL="0" distR="0">
            <wp:extent cx="2736025" cy="2541319"/>
            <wp:effectExtent l="19050" t="0" r="26225" b="0"/>
            <wp:docPr id="2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04B02">
        <w:rPr>
          <w:noProof/>
          <w:lang w:eastAsia="pl-PL"/>
        </w:rPr>
        <w:drawing>
          <wp:inline distT="0" distB="0" distL="0" distR="0">
            <wp:extent cx="2842903" cy="2553194"/>
            <wp:effectExtent l="19050" t="0" r="14597" b="0"/>
            <wp:docPr id="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7509" w:rsidRPr="00E07696" w:rsidRDefault="00C87509" w:rsidP="00C87509">
      <w:pPr>
        <w:pStyle w:val="Legenda"/>
        <w:ind w:firstLine="0"/>
        <w:rPr>
          <w:color w:val="auto"/>
        </w:rPr>
      </w:pPr>
      <w:bookmarkStart w:id="54" w:name="_Toc429726519"/>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17</w:t>
      </w:r>
      <w:r w:rsidR="00844CE4">
        <w:rPr>
          <w:color w:val="auto"/>
        </w:rPr>
        <w:fldChar w:fldCharType="end"/>
      </w:r>
      <w:r w:rsidRPr="00E07696">
        <w:rPr>
          <w:color w:val="auto"/>
        </w:rPr>
        <w:t xml:space="preserve"> Powierzchnia użytkowa mieszkań </w:t>
      </w:r>
      <w:r w:rsidRPr="00E07696">
        <w:rPr>
          <w:color w:val="auto"/>
        </w:rPr>
        <w:tab/>
      </w:r>
      <w:r w:rsidRPr="00E07696">
        <w:rPr>
          <w:color w:val="auto"/>
        </w:rPr>
        <w:tab/>
      </w:r>
      <w:r>
        <w:rPr>
          <w:color w:val="auto"/>
        </w:rPr>
        <w:t>Wykres</w:t>
      </w:r>
      <w:r w:rsidR="00AA43FE">
        <w:rPr>
          <w:color w:val="auto"/>
        </w:rPr>
        <w:t xml:space="preserve"> </w:t>
      </w:r>
      <w:r w:rsidR="00844CE4">
        <w:rPr>
          <w:color w:val="auto"/>
        </w:rPr>
        <w:fldChar w:fldCharType="begin"/>
      </w:r>
      <w:r>
        <w:rPr>
          <w:color w:val="auto"/>
        </w:rPr>
        <w:instrText xml:space="preserve"> SEQ Wykres \* ARABIC </w:instrText>
      </w:r>
      <w:r w:rsidR="00844CE4">
        <w:rPr>
          <w:color w:val="auto"/>
        </w:rPr>
        <w:fldChar w:fldCharType="separate"/>
      </w:r>
      <w:r w:rsidR="005C42FD">
        <w:rPr>
          <w:noProof/>
          <w:color w:val="auto"/>
        </w:rPr>
        <w:t>18</w:t>
      </w:r>
      <w:r w:rsidR="00844CE4">
        <w:rPr>
          <w:color w:val="auto"/>
        </w:rPr>
        <w:fldChar w:fldCharType="end"/>
      </w:r>
      <w:r w:rsidRPr="00E07696">
        <w:rPr>
          <w:color w:val="auto"/>
        </w:rPr>
        <w:t xml:space="preserve"> Liczba mieszkań na terenie gminy</w:t>
      </w:r>
      <w:bookmarkEnd w:id="54"/>
    </w:p>
    <w:p w:rsidR="00C87509" w:rsidRDefault="00C87509" w:rsidP="00C87509">
      <w:pPr>
        <w:rPr>
          <w:i/>
          <w:sz w:val="20"/>
          <w:szCs w:val="20"/>
        </w:rPr>
      </w:pPr>
      <w:r w:rsidRPr="00E07696">
        <w:rPr>
          <w:i/>
          <w:sz w:val="20"/>
          <w:szCs w:val="20"/>
        </w:rPr>
        <w:t>Źródło:</w:t>
      </w:r>
      <w:r>
        <w:rPr>
          <w:i/>
          <w:sz w:val="20"/>
          <w:szCs w:val="20"/>
        </w:rPr>
        <w:t xml:space="preserve"> Opracowanie własne, Bank Danych Lokalnych GUS</w:t>
      </w:r>
    </w:p>
    <w:p w:rsidR="00C87509" w:rsidRDefault="00C87509" w:rsidP="00C87509">
      <w:pPr>
        <w:rPr>
          <w:i/>
          <w:sz w:val="20"/>
          <w:szCs w:val="20"/>
        </w:rPr>
      </w:pPr>
    </w:p>
    <w:p w:rsidR="00C87509" w:rsidRDefault="00C87509" w:rsidP="00C87509">
      <w:pPr>
        <w:rPr>
          <w:rFonts w:cs="Arial"/>
        </w:rPr>
      </w:pPr>
      <w:r>
        <w:t xml:space="preserve">Powyższe wykresy przedstawiają jak zmieniała się </w:t>
      </w:r>
      <w:r w:rsidRPr="00640F48">
        <w:t xml:space="preserve">ilość budynków mieszkalnych </w:t>
      </w:r>
      <w:r>
        <w:t>w gminie na przestrzeni lat 2010</w:t>
      </w:r>
      <w:r w:rsidRPr="00640F48">
        <w:t>-2013</w:t>
      </w:r>
      <w:r>
        <w:t xml:space="preserve">. Baza mieszkaniowa nieznacznie rośnie z roku na rok, co jest elementem podwyższającym potencjał społeczny i gospodarczy gminy. Jak widać na wykresach </w:t>
      </w:r>
      <w:r>
        <w:rPr>
          <w:rFonts w:cs="Arial"/>
        </w:rPr>
        <w:t xml:space="preserve">sytuacja mieszkaniowa w gminie sukcesywnie ulega polepszeniu. Przeciętna powierzchnia mieszkaniowa na 1 mieszkańca gminy wynosi 84,2 m2, natomiast przeciętna powierzchnia użytkowa mieszkania na 1 osobę wynosi 28,9 m2 i z roku na rok ulega powiększeniu. </w:t>
      </w:r>
    </w:p>
    <w:p w:rsidR="00C87509" w:rsidRDefault="00C87509" w:rsidP="00C87509">
      <w:pPr>
        <w:rPr>
          <w:rFonts w:cs="Arial"/>
        </w:rPr>
      </w:pPr>
    </w:p>
    <w:p w:rsidR="006C120E" w:rsidRPr="00917930" w:rsidRDefault="006C120E" w:rsidP="006C120E">
      <w:pPr>
        <w:pStyle w:val="Legenda"/>
        <w:keepNext/>
        <w:ind w:firstLine="0"/>
        <w:rPr>
          <w:color w:val="auto"/>
        </w:rPr>
      </w:pPr>
      <w:bookmarkStart w:id="55" w:name="_Toc436586228"/>
      <w:r w:rsidRPr="00917930">
        <w:rPr>
          <w:color w:val="auto"/>
        </w:rPr>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6</w:t>
      </w:r>
      <w:r w:rsidR="00844CE4">
        <w:rPr>
          <w:color w:val="auto"/>
        </w:rPr>
        <w:fldChar w:fldCharType="end"/>
      </w:r>
      <w:r w:rsidR="00AA43FE">
        <w:rPr>
          <w:color w:val="auto"/>
        </w:rPr>
        <w:t xml:space="preserve"> </w:t>
      </w:r>
      <w:r w:rsidRPr="00917930">
        <w:rPr>
          <w:color w:val="auto"/>
        </w:rPr>
        <w:t>Zasoby mieszkaniowe na terenie gminy Herby – wskaźniki na lata 2010-2013</w:t>
      </w:r>
      <w:bookmarkEnd w:id="55"/>
    </w:p>
    <w:tbl>
      <w:tblPr>
        <w:tblStyle w:val="rednialista2akcent1"/>
        <w:tblW w:w="4790" w:type="pct"/>
        <w:tblLayout w:type="fixed"/>
        <w:tblLook w:val="04A0"/>
      </w:tblPr>
      <w:tblGrid>
        <w:gridCol w:w="5382"/>
        <w:gridCol w:w="879"/>
        <w:gridCol w:w="879"/>
        <w:gridCol w:w="879"/>
        <w:gridCol w:w="879"/>
      </w:tblGrid>
      <w:tr w:rsidR="00C87509" w:rsidRPr="007C519B" w:rsidTr="006C120E">
        <w:trPr>
          <w:cnfStyle w:val="100000000000"/>
        </w:trPr>
        <w:tc>
          <w:tcPr>
            <w:cnfStyle w:val="001000000100"/>
            <w:tcW w:w="3024" w:type="pct"/>
            <w:tcBorders>
              <w:top w:val="none" w:sz="0" w:space="0" w:color="auto"/>
              <w:left w:val="none" w:sz="0" w:space="0" w:color="auto"/>
              <w:bottom w:val="none" w:sz="0" w:space="0" w:color="auto"/>
              <w:right w:val="none" w:sz="0" w:space="0" w:color="auto"/>
            </w:tcBorders>
            <w:noWrap/>
          </w:tcPr>
          <w:p w:rsidR="00C87509" w:rsidRPr="007C519B" w:rsidRDefault="00C87509" w:rsidP="004065F6">
            <w:pPr>
              <w:jc w:val="left"/>
              <w:rPr>
                <w:rFonts w:asciiTheme="minorHAnsi" w:eastAsiaTheme="minorEastAsia" w:hAnsiTheme="minorHAnsi" w:cstheme="minorBidi"/>
                <w:b/>
                <w:color w:val="auto"/>
                <w:sz w:val="22"/>
                <w:szCs w:val="22"/>
              </w:rPr>
            </w:pPr>
            <w:r w:rsidRPr="007C519B">
              <w:rPr>
                <w:rFonts w:asciiTheme="minorHAnsi" w:eastAsiaTheme="minorEastAsia" w:hAnsiTheme="minorHAnsi" w:cstheme="minorBidi"/>
                <w:b/>
                <w:color w:val="auto"/>
                <w:sz w:val="22"/>
                <w:szCs w:val="22"/>
              </w:rPr>
              <w:t>Zasoby mieszkaniowe wskaźniki</w:t>
            </w:r>
          </w:p>
        </w:tc>
        <w:tc>
          <w:tcPr>
            <w:tcW w:w="494" w:type="pct"/>
            <w:tcBorders>
              <w:top w:val="none" w:sz="0" w:space="0" w:color="auto"/>
              <w:left w:val="none" w:sz="0" w:space="0" w:color="auto"/>
              <w:bottom w:val="none" w:sz="0" w:space="0" w:color="auto"/>
              <w:right w:val="none" w:sz="0" w:space="0" w:color="auto"/>
            </w:tcBorders>
          </w:tcPr>
          <w:p w:rsidR="00C87509" w:rsidRPr="007C519B" w:rsidRDefault="00C87509" w:rsidP="004065F6">
            <w:pPr>
              <w:jc w:val="center"/>
              <w:cnfStyle w:val="100000000000"/>
              <w:rPr>
                <w:rFonts w:asciiTheme="minorHAnsi" w:eastAsiaTheme="minorEastAsia" w:hAnsiTheme="minorHAnsi" w:cstheme="minorBidi"/>
                <w:b/>
                <w:color w:val="auto"/>
                <w:sz w:val="22"/>
                <w:szCs w:val="22"/>
              </w:rPr>
            </w:pPr>
            <w:r w:rsidRPr="007C519B">
              <w:rPr>
                <w:rFonts w:asciiTheme="minorHAnsi" w:eastAsiaTheme="minorEastAsia" w:hAnsiTheme="minorHAnsi" w:cstheme="minorBidi"/>
                <w:b/>
                <w:color w:val="auto"/>
                <w:sz w:val="22"/>
                <w:szCs w:val="22"/>
              </w:rPr>
              <w:t>2010</w:t>
            </w:r>
          </w:p>
        </w:tc>
        <w:tc>
          <w:tcPr>
            <w:tcW w:w="494" w:type="pct"/>
            <w:tcBorders>
              <w:top w:val="none" w:sz="0" w:space="0" w:color="auto"/>
              <w:left w:val="none" w:sz="0" w:space="0" w:color="auto"/>
              <w:bottom w:val="none" w:sz="0" w:space="0" w:color="auto"/>
              <w:right w:val="none" w:sz="0" w:space="0" w:color="auto"/>
            </w:tcBorders>
          </w:tcPr>
          <w:p w:rsidR="00C87509" w:rsidRPr="007C519B" w:rsidRDefault="00C87509" w:rsidP="004065F6">
            <w:pPr>
              <w:jc w:val="center"/>
              <w:cnfStyle w:val="100000000000"/>
              <w:rPr>
                <w:rFonts w:asciiTheme="minorHAnsi" w:eastAsiaTheme="minorEastAsia" w:hAnsiTheme="minorHAnsi" w:cstheme="minorBidi"/>
                <w:b/>
                <w:color w:val="auto"/>
                <w:sz w:val="22"/>
                <w:szCs w:val="22"/>
              </w:rPr>
            </w:pPr>
            <w:r w:rsidRPr="007C519B">
              <w:rPr>
                <w:rFonts w:asciiTheme="minorHAnsi" w:eastAsiaTheme="minorEastAsia" w:hAnsiTheme="minorHAnsi" w:cstheme="minorBidi"/>
                <w:b/>
                <w:color w:val="auto"/>
                <w:sz w:val="22"/>
                <w:szCs w:val="22"/>
              </w:rPr>
              <w:t>2011</w:t>
            </w:r>
          </w:p>
        </w:tc>
        <w:tc>
          <w:tcPr>
            <w:tcW w:w="494" w:type="pct"/>
            <w:tcBorders>
              <w:top w:val="none" w:sz="0" w:space="0" w:color="auto"/>
              <w:left w:val="none" w:sz="0" w:space="0" w:color="auto"/>
              <w:bottom w:val="none" w:sz="0" w:space="0" w:color="auto"/>
              <w:right w:val="none" w:sz="0" w:space="0" w:color="auto"/>
            </w:tcBorders>
          </w:tcPr>
          <w:p w:rsidR="00C87509" w:rsidRPr="007C519B" w:rsidRDefault="00C87509" w:rsidP="004065F6">
            <w:pPr>
              <w:jc w:val="center"/>
              <w:cnfStyle w:val="100000000000"/>
              <w:rPr>
                <w:rFonts w:asciiTheme="minorHAnsi" w:eastAsiaTheme="minorEastAsia" w:hAnsiTheme="minorHAnsi" w:cstheme="minorBidi"/>
                <w:b/>
                <w:color w:val="auto"/>
                <w:sz w:val="22"/>
                <w:szCs w:val="22"/>
              </w:rPr>
            </w:pPr>
            <w:r w:rsidRPr="007C519B">
              <w:rPr>
                <w:rFonts w:asciiTheme="minorHAnsi" w:eastAsiaTheme="minorEastAsia" w:hAnsiTheme="minorHAnsi" w:cstheme="minorBidi"/>
                <w:b/>
                <w:color w:val="auto"/>
                <w:sz w:val="22"/>
                <w:szCs w:val="22"/>
              </w:rPr>
              <w:t>2012</w:t>
            </w:r>
          </w:p>
        </w:tc>
        <w:tc>
          <w:tcPr>
            <w:tcW w:w="494" w:type="pct"/>
            <w:tcBorders>
              <w:top w:val="none" w:sz="0" w:space="0" w:color="auto"/>
              <w:left w:val="none" w:sz="0" w:space="0" w:color="auto"/>
              <w:bottom w:val="none" w:sz="0" w:space="0" w:color="auto"/>
              <w:right w:val="none" w:sz="0" w:space="0" w:color="auto"/>
            </w:tcBorders>
          </w:tcPr>
          <w:p w:rsidR="00C87509" w:rsidRPr="007C519B" w:rsidRDefault="00C87509" w:rsidP="004065F6">
            <w:pPr>
              <w:jc w:val="center"/>
              <w:cnfStyle w:val="100000000000"/>
              <w:rPr>
                <w:rFonts w:asciiTheme="minorHAnsi" w:eastAsiaTheme="minorEastAsia" w:hAnsiTheme="minorHAnsi" w:cstheme="minorBidi"/>
                <w:b/>
                <w:color w:val="auto"/>
                <w:sz w:val="22"/>
                <w:szCs w:val="22"/>
              </w:rPr>
            </w:pPr>
            <w:r w:rsidRPr="007C519B">
              <w:rPr>
                <w:rFonts w:asciiTheme="minorHAnsi" w:eastAsiaTheme="minorEastAsia" w:hAnsiTheme="minorHAnsi" w:cstheme="minorBidi"/>
                <w:b/>
                <w:color w:val="auto"/>
                <w:sz w:val="22"/>
                <w:szCs w:val="22"/>
              </w:rPr>
              <w:t>2013</w:t>
            </w:r>
          </w:p>
        </w:tc>
      </w:tr>
      <w:tr w:rsidR="00C87509" w:rsidTr="006C120E">
        <w:trPr>
          <w:cnfStyle w:val="000000100000"/>
        </w:trPr>
        <w:tc>
          <w:tcPr>
            <w:cnfStyle w:val="001000000000"/>
            <w:tcW w:w="3024" w:type="pct"/>
            <w:tcBorders>
              <w:top w:val="none" w:sz="0" w:space="0" w:color="auto"/>
              <w:left w:val="none" w:sz="0" w:space="0" w:color="auto"/>
              <w:bottom w:val="none" w:sz="0" w:space="0" w:color="auto"/>
              <w:right w:val="none" w:sz="0" w:space="0" w:color="auto"/>
            </w:tcBorders>
            <w:noWrap/>
          </w:tcPr>
          <w:p w:rsidR="00C87509" w:rsidRDefault="00C87509" w:rsidP="004065F6">
            <w:pPr>
              <w:rPr>
                <w:rFonts w:asciiTheme="minorHAnsi" w:eastAsiaTheme="minorEastAsia" w:hAnsiTheme="minorHAnsi" w:cstheme="minorBidi"/>
                <w:color w:val="auto"/>
              </w:rPr>
            </w:pPr>
            <w:r>
              <w:rPr>
                <w:rFonts w:ascii="Arial" w:hAnsi="Arial" w:cs="Arial"/>
                <w:sz w:val="20"/>
                <w:szCs w:val="20"/>
                <w:lang w:eastAsia="pl-PL"/>
              </w:rPr>
              <w:t>P</w:t>
            </w:r>
            <w:r w:rsidRPr="00B83395">
              <w:rPr>
                <w:rFonts w:ascii="Arial" w:hAnsi="Arial" w:cs="Arial"/>
                <w:sz w:val="20"/>
                <w:szCs w:val="20"/>
                <w:lang w:eastAsia="pl-PL"/>
              </w:rPr>
              <w:t>rzeciętna powierzchnia użytkowa 1 mieszkania</w:t>
            </w:r>
            <w:r>
              <w:rPr>
                <w:rFonts w:ascii="Arial" w:hAnsi="Arial" w:cs="Arial"/>
                <w:sz w:val="20"/>
                <w:szCs w:val="20"/>
                <w:lang w:eastAsia="pl-PL"/>
              </w:rPr>
              <w:t xml:space="preserve"> m2</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83</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83,2</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83,6</w:t>
            </w:r>
          </w:p>
        </w:tc>
        <w:tc>
          <w:tcPr>
            <w:tcW w:w="494" w:type="pct"/>
            <w:tcBorders>
              <w:top w:val="none" w:sz="0" w:space="0" w:color="auto"/>
              <w:left w:val="none" w:sz="0" w:space="0" w:color="auto"/>
              <w:bottom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84,2</w:t>
            </w:r>
          </w:p>
        </w:tc>
      </w:tr>
      <w:tr w:rsidR="00C87509" w:rsidTr="006C120E">
        <w:tc>
          <w:tcPr>
            <w:cnfStyle w:val="001000000000"/>
            <w:tcW w:w="3024" w:type="pct"/>
            <w:tcBorders>
              <w:left w:val="none" w:sz="0" w:space="0" w:color="auto"/>
              <w:bottom w:val="none" w:sz="0" w:space="0" w:color="auto"/>
              <w:right w:val="none" w:sz="0" w:space="0" w:color="auto"/>
            </w:tcBorders>
            <w:noWrap/>
          </w:tcPr>
          <w:p w:rsidR="00C87509" w:rsidRDefault="00C87509" w:rsidP="004065F6">
            <w:pPr>
              <w:rPr>
                <w:rFonts w:asciiTheme="minorHAnsi" w:eastAsiaTheme="minorEastAsia" w:hAnsiTheme="minorHAnsi" w:cstheme="minorBidi"/>
                <w:color w:val="auto"/>
              </w:rPr>
            </w:pPr>
            <w:r>
              <w:rPr>
                <w:rFonts w:ascii="Arial" w:hAnsi="Arial" w:cs="Arial"/>
                <w:sz w:val="20"/>
                <w:szCs w:val="20"/>
                <w:lang w:eastAsia="pl-PL"/>
              </w:rPr>
              <w:t>P</w:t>
            </w:r>
            <w:r w:rsidRPr="00B83395">
              <w:rPr>
                <w:rFonts w:ascii="Arial" w:hAnsi="Arial" w:cs="Arial"/>
                <w:sz w:val="20"/>
                <w:szCs w:val="20"/>
                <w:lang w:eastAsia="pl-PL"/>
              </w:rPr>
              <w:t>rzeciętna powierzchnia użytkowa mieszkania na 1 osobę</w:t>
            </w:r>
          </w:p>
        </w:tc>
        <w:tc>
          <w:tcPr>
            <w:tcW w:w="494" w:type="pct"/>
          </w:tcPr>
          <w:p w:rsidR="00C87509" w:rsidRDefault="00C87509" w:rsidP="004065F6">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27,4</w:t>
            </w:r>
          </w:p>
        </w:tc>
        <w:tc>
          <w:tcPr>
            <w:tcW w:w="494" w:type="pct"/>
          </w:tcPr>
          <w:p w:rsidR="00C87509" w:rsidRDefault="00C87509" w:rsidP="004065F6">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27,6</w:t>
            </w:r>
          </w:p>
        </w:tc>
        <w:tc>
          <w:tcPr>
            <w:tcW w:w="494" w:type="pct"/>
          </w:tcPr>
          <w:p w:rsidR="00C87509" w:rsidRDefault="00C87509" w:rsidP="004065F6">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28,2</w:t>
            </w:r>
          </w:p>
        </w:tc>
        <w:tc>
          <w:tcPr>
            <w:tcW w:w="494" w:type="pct"/>
          </w:tcPr>
          <w:p w:rsidR="00C87509" w:rsidRDefault="00C87509" w:rsidP="004065F6">
            <w:pP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28,9</w:t>
            </w:r>
          </w:p>
        </w:tc>
      </w:tr>
      <w:tr w:rsidR="00C87509" w:rsidTr="006C120E">
        <w:trPr>
          <w:cnfStyle w:val="000000100000"/>
        </w:trPr>
        <w:tc>
          <w:tcPr>
            <w:cnfStyle w:val="001000000000"/>
            <w:tcW w:w="3024" w:type="pct"/>
            <w:tcBorders>
              <w:top w:val="none" w:sz="0" w:space="0" w:color="auto"/>
              <w:left w:val="none" w:sz="0" w:space="0" w:color="auto"/>
              <w:bottom w:val="none" w:sz="0" w:space="0" w:color="auto"/>
              <w:right w:val="none" w:sz="0" w:space="0" w:color="auto"/>
            </w:tcBorders>
            <w:noWrap/>
          </w:tcPr>
          <w:p w:rsidR="00C87509" w:rsidRDefault="00C87509" w:rsidP="004065F6">
            <w:pPr>
              <w:rPr>
                <w:rFonts w:asciiTheme="minorHAnsi" w:eastAsiaTheme="minorEastAsia" w:hAnsiTheme="minorHAnsi" w:cstheme="minorBidi"/>
                <w:color w:val="auto"/>
              </w:rPr>
            </w:pPr>
            <w:r>
              <w:rPr>
                <w:rFonts w:ascii="Arial" w:hAnsi="Arial" w:cs="Arial"/>
                <w:sz w:val="20"/>
                <w:szCs w:val="20"/>
                <w:lang w:eastAsia="pl-PL"/>
              </w:rPr>
              <w:t>M</w:t>
            </w:r>
            <w:r w:rsidRPr="00B83395">
              <w:rPr>
                <w:rFonts w:ascii="Arial" w:hAnsi="Arial" w:cs="Arial"/>
                <w:sz w:val="20"/>
                <w:szCs w:val="20"/>
                <w:lang w:eastAsia="pl-PL"/>
              </w:rPr>
              <w:t>ieszkania na 1000 mieszkańców</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330,5</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331,9</w:t>
            </w:r>
          </w:p>
        </w:tc>
        <w:tc>
          <w:tcPr>
            <w:tcW w:w="494" w:type="pct"/>
            <w:tcBorders>
              <w:top w:val="none" w:sz="0" w:space="0" w:color="auto"/>
              <w:left w:val="none" w:sz="0" w:space="0" w:color="auto"/>
              <w:bottom w:val="none" w:sz="0" w:space="0" w:color="auto"/>
              <w:right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337,4</w:t>
            </w:r>
          </w:p>
        </w:tc>
        <w:tc>
          <w:tcPr>
            <w:tcW w:w="494" w:type="pct"/>
            <w:tcBorders>
              <w:top w:val="none" w:sz="0" w:space="0" w:color="auto"/>
              <w:left w:val="none" w:sz="0" w:space="0" w:color="auto"/>
              <w:bottom w:val="none" w:sz="0" w:space="0" w:color="auto"/>
            </w:tcBorders>
          </w:tcPr>
          <w:p w:rsidR="00C87509" w:rsidRDefault="00C87509" w:rsidP="004065F6">
            <w:pP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343,4</w:t>
            </w:r>
          </w:p>
        </w:tc>
      </w:tr>
    </w:tbl>
    <w:p w:rsidR="00C87509" w:rsidRPr="006C120E" w:rsidRDefault="00C87509" w:rsidP="00C87509">
      <w:pPr>
        <w:rPr>
          <w:sz w:val="20"/>
          <w:szCs w:val="20"/>
        </w:rPr>
      </w:pPr>
      <w:r w:rsidRPr="006C120E">
        <w:rPr>
          <w:sz w:val="20"/>
          <w:szCs w:val="20"/>
        </w:rPr>
        <w:t>Źródło: opracowanie własne, Bank Danych Lokalnych GUS</w:t>
      </w:r>
    </w:p>
    <w:p w:rsidR="00B32ECA" w:rsidRDefault="00B32ECA">
      <w:pPr>
        <w:spacing w:line="276" w:lineRule="auto"/>
        <w:jc w:val="left"/>
      </w:pPr>
      <w:r>
        <w:br w:type="page"/>
      </w:r>
    </w:p>
    <w:p w:rsidR="00C87509" w:rsidRDefault="00B32ECA" w:rsidP="00A10D06">
      <w:pPr>
        <w:pStyle w:val="Nagwek3"/>
        <w:numPr>
          <w:ilvl w:val="2"/>
          <w:numId w:val="1"/>
        </w:numPr>
      </w:pPr>
      <w:bookmarkStart w:id="56" w:name="_Toc438118374"/>
      <w:r>
        <w:lastRenderedPageBreak/>
        <w:t>Ciepłownictwo</w:t>
      </w:r>
      <w:bookmarkEnd w:id="56"/>
    </w:p>
    <w:p w:rsidR="00B32ECA" w:rsidRDefault="00B32ECA" w:rsidP="00B32ECA"/>
    <w:p w:rsidR="00B32ECA" w:rsidRDefault="00B32ECA" w:rsidP="00B32ECA">
      <w:pPr>
        <w:autoSpaceDE w:val="0"/>
        <w:autoSpaceDN w:val="0"/>
        <w:adjustRightInd w:val="0"/>
        <w:rPr>
          <w:rFonts w:cs="Arial"/>
        </w:rPr>
      </w:pPr>
      <w:r w:rsidRPr="00BA635A">
        <w:rPr>
          <w:rFonts w:cs="Arial"/>
        </w:rPr>
        <w:t>Miejscowość Lisów posiada w części sieć ciepłowniczą, która jest podłączona do gminnej Kotłowni Osiedlowej. Budynki zasilane z kotłowni to bloki przy ulicach: Witosa, Budowlanych, Stawow</w:t>
      </w:r>
      <w:r w:rsidR="00D26EA6" w:rsidRPr="00EF0785">
        <w:rPr>
          <w:rFonts w:cs="Arial"/>
        </w:rPr>
        <w:t>ej</w:t>
      </w:r>
      <w:r w:rsidRPr="00BA635A">
        <w:rPr>
          <w:rFonts w:cs="Arial"/>
        </w:rPr>
        <w:t>, Lompy, Ligonia. Pozostałe budynki w gminie nie korzystają z sieci ciepłowniczej. Gospodarstwa domowe korzystają z własnych systemów grzewczych. Są to piece CO na paliwa stałe tj. węgiel i koks</w:t>
      </w:r>
      <w:r w:rsidRPr="009A7363">
        <w:rPr>
          <w:rFonts w:cs="Arial"/>
        </w:rPr>
        <w:t>. Sytuacja taka jednak niekorzystnie wpływa na stan środowiska. W celu zminimalizowania ilości zanieczyszczeń należy dążyć do modernizacji kotłowni i przejścia na paliwa płynne (olej opałowy i gaz).</w:t>
      </w:r>
      <w:r>
        <w:rPr>
          <w:rFonts w:cs="Arial"/>
        </w:rPr>
        <w:t xml:space="preserve"> Planowanie sieci ciepłowniczej jest zagadnieniem bardzo złożonym, które zależy od wielu czynników takich jak: rozwój infrastruktury miejskiej, potrzeby cieplne mieszkańców, wykorzystanie lokalnych zasobów energetycznych, a także polityki energetycznej. </w:t>
      </w:r>
    </w:p>
    <w:p w:rsidR="00D26EA6" w:rsidRPr="00A8562C" w:rsidRDefault="00B32ECA" w:rsidP="00D26EA6">
      <w:pPr>
        <w:autoSpaceDE w:val="0"/>
        <w:autoSpaceDN w:val="0"/>
        <w:adjustRightInd w:val="0"/>
        <w:rPr>
          <w:rFonts w:cs="Arial"/>
          <w:color w:val="FF0000"/>
        </w:rPr>
      </w:pPr>
      <w:r w:rsidRPr="006F2005">
        <w:rPr>
          <w:rFonts w:cs="Arial"/>
        </w:rPr>
        <w:t xml:space="preserve">Gmina Herby uczestniczyła w projekcie </w:t>
      </w:r>
      <w:r w:rsidRPr="006F2005">
        <w:rPr>
          <w:rFonts w:cs="Arial"/>
          <w:i/>
        </w:rPr>
        <w:t>Program Ograniczania Niskiej Emisji dla gminy Herby</w:t>
      </w:r>
      <w:r w:rsidRPr="006F2005">
        <w:rPr>
          <w:rFonts w:cs="Arial"/>
        </w:rPr>
        <w:t>, którego celem była modernizacja źródeł ciepła budynków indywidualnych, czyli wymiana nieefektywnych źródeł ciepła na kotły efektywne i ekologiczne.</w:t>
      </w:r>
      <w:r w:rsidR="00B15E25" w:rsidRPr="006F2005">
        <w:rPr>
          <w:rFonts w:cs="Arial"/>
        </w:rPr>
        <w:t xml:space="preserve"> </w:t>
      </w:r>
      <w:r w:rsidR="00D26EA6" w:rsidRPr="006F2005">
        <w:rPr>
          <w:rFonts w:cs="Arial"/>
        </w:rPr>
        <w:t xml:space="preserve">W ramach projektu współfinansowanego z </w:t>
      </w:r>
      <w:proofErr w:type="spellStart"/>
      <w:r w:rsidR="00D26EA6" w:rsidRPr="006F2005">
        <w:rPr>
          <w:rFonts w:cs="Arial"/>
        </w:rPr>
        <w:t>WFOŚiGW</w:t>
      </w:r>
      <w:proofErr w:type="spellEnd"/>
      <w:r w:rsidR="00D26EA6" w:rsidRPr="006F2005">
        <w:rPr>
          <w:rFonts w:cs="Arial"/>
        </w:rPr>
        <w:t xml:space="preserve"> w Katowicach, wymieniono w latach 2007 - 2008 i 2012 łącznie 54 szt. starych kotłów na ekologiczne kotły retortowe opalane </w:t>
      </w:r>
      <w:proofErr w:type="spellStart"/>
      <w:r w:rsidR="00D26EA6" w:rsidRPr="006F2005">
        <w:rPr>
          <w:rFonts w:cs="Arial"/>
        </w:rPr>
        <w:t>ekogroszkiem</w:t>
      </w:r>
      <w:proofErr w:type="spellEnd"/>
      <w:r w:rsidR="00D26EA6" w:rsidRPr="006F2005">
        <w:rPr>
          <w:rFonts w:cs="Arial"/>
        </w:rPr>
        <w:t xml:space="preserve"> oraz zainstalowano</w:t>
      </w:r>
      <w:r w:rsidR="00D26EA6" w:rsidRPr="009E3FA2">
        <w:rPr>
          <w:rFonts w:cs="Arial"/>
        </w:rPr>
        <w:t xml:space="preserve"> 17 instalacji solarnych.</w:t>
      </w:r>
    </w:p>
    <w:p w:rsidR="00B32ECA" w:rsidRPr="009F668B" w:rsidRDefault="00B32ECA" w:rsidP="00B32ECA">
      <w:pPr>
        <w:autoSpaceDE w:val="0"/>
        <w:autoSpaceDN w:val="0"/>
        <w:adjustRightInd w:val="0"/>
        <w:rPr>
          <w:rFonts w:cs="Arial"/>
        </w:rPr>
      </w:pPr>
    </w:p>
    <w:p w:rsidR="00B32ECA" w:rsidRDefault="00B32ECA" w:rsidP="00B32ECA"/>
    <w:p w:rsidR="00B32ECA" w:rsidRDefault="00B32ECA">
      <w:pPr>
        <w:spacing w:line="276" w:lineRule="auto"/>
        <w:jc w:val="left"/>
      </w:pPr>
      <w:r>
        <w:br w:type="page"/>
      </w:r>
    </w:p>
    <w:p w:rsidR="00B32ECA" w:rsidRDefault="006C4E82" w:rsidP="00A10D06">
      <w:pPr>
        <w:pStyle w:val="Nagwek1"/>
        <w:numPr>
          <w:ilvl w:val="0"/>
          <w:numId w:val="1"/>
        </w:numPr>
      </w:pPr>
      <w:bookmarkStart w:id="57" w:name="_Toc438118375"/>
      <w:r>
        <w:lastRenderedPageBreak/>
        <w:t>Ogólna strategia</w:t>
      </w:r>
      <w:bookmarkEnd w:id="57"/>
    </w:p>
    <w:p w:rsidR="006C4E82" w:rsidRDefault="000117A8" w:rsidP="00A10D06">
      <w:pPr>
        <w:pStyle w:val="Nagwek2"/>
        <w:numPr>
          <w:ilvl w:val="1"/>
          <w:numId w:val="1"/>
        </w:numPr>
      </w:pPr>
      <w:bookmarkStart w:id="58" w:name="_Toc438118376"/>
      <w:r>
        <w:t xml:space="preserve"> </w:t>
      </w:r>
      <w:r w:rsidR="006C4E82">
        <w:t>Identyfikacja obszarów problemowych</w:t>
      </w:r>
      <w:bookmarkEnd w:id="58"/>
    </w:p>
    <w:p w:rsidR="00C51153" w:rsidRDefault="00C51153" w:rsidP="00C51153"/>
    <w:p w:rsidR="00DF4AC0" w:rsidRDefault="00DF4AC0" w:rsidP="00C51153">
      <w:r>
        <w:t xml:space="preserve">W celu syntetycznego przedstawienia sytuacji na terenie gminy Herby przeprowadzono analizę SWOT dotyczącą możliwości i barier dla realizacji celów strategicznych i szczegółowych w rozwoju gospodarki niskoemisyjnej na obszarze gminy. </w:t>
      </w:r>
      <w:r w:rsidR="0023435A">
        <w:t xml:space="preserve">Wyniki analizy SWOT są podstawą do planowania działań w zakresie ograniczania emisji gazów cieplarnianych w gminie. Mocne strony i szanse są czynnikami sprzyjającymi realizacji planu, natomiast słabe strony oraz zagrożenia wpływają na ryzyko niepowodzenia konkretnych działań, bądź całego planu. W związku z powyższym, działania zaplanowane w Planie Gospodarki Niskoemisyjnej dla gminy Herby koncentrują się na wykorzystaniu szans i mocnych stron, przy jednoczesnym nacisku na minimalizację zagrożeń. </w:t>
      </w:r>
    </w:p>
    <w:p w:rsidR="00DF4AC0" w:rsidRDefault="00DF4AC0" w:rsidP="00C51153">
      <w:r>
        <w:t>Plan Gospodarki Niskoemisyjnej obejmuje działaniem następujące obszary:</w:t>
      </w:r>
    </w:p>
    <w:p w:rsidR="00DF4AC0" w:rsidRDefault="00DF4AC0" w:rsidP="00E7342B">
      <w:pPr>
        <w:pStyle w:val="Akapitzlist"/>
        <w:numPr>
          <w:ilvl w:val="0"/>
          <w:numId w:val="63"/>
        </w:numPr>
      </w:pPr>
      <w:r>
        <w:t>budownictwo,</w:t>
      </w:r>
    </w:p>
    <w:p w:rsidR="00DF4AC0" w:rsidRDefault="00DF4AC0" w:rsidP="00E7342B">
      <w:pPr>
        <w:pStyle w:val="Akapitzlist"/>
        <w:numPr>
          <w:ilvl w:val="0"/>
          <w:numId w:val="63"/>
        </w:numPr>
      </w:pPr>
      <w:r>
        <w:t>energetykę,</w:t>
      </w:r>
    </w:p>
    <w:p w:rsidR="00DF4AC0" w:rsidRDefault="00DF4AC0" w:rsidP="00E7342B">
      <w:pPr>
        <w:pStyle w:val="Akapitzlist"/>
        <w:numPr>
          <w:ilvl w:val="0"/>
          <w:numId w:val="63"/>
        </w:numPr>
      </w:pPr>
      <w:r>
        <w:t>transport,</w:t>
      </w:r>
    </w:p>
    <w:p w:rsidR="00DF4AC0" w:rsidRDefault="00DF4AC0" w:rsidP="00E7342B">
      <w:pPr>
        <w:pStyle w:val="Akapitzlist"/>
        <w:numPr>
          <w:ilvl w:val="0"/>
          <w:numId w:val="63"/>
        </w:numPr>
      </w:pPr>
      <w:r>
        <w:t>rolnictwo,</w:t>
      </w:r>
    </w:p>
    <w:p w:rsidR="00DF4AC0" w:rsidRDefault="00DF4AC0" w:rsidP="00E7342B">
      <w:pPr>
        <w:pStyle w:val="Akapitzlist"/>
        <w:numPr>
          <w:ilvl w:val="0"/>
          <w:numId w:val="63"/>
        </w:numPr>
      </w:pPr>
      <w:r>
        <w:t>leśnictwo,</w:t>
      </w:r>
    </w:p>
    <w:p w:rsidR="00DF4AC0" w:rsidRDefault="00DF4AC0" w:rsidP="00E7342B">
      <w:pPr>
        <w:pStyle w:val="Akapitzlist"/>
        <w:numPr>
          <w:ilvl w:val="0"/>
          <w:numId w:val="63"/>
        </w:numPr>
      </w:pPr>
      <w:r>
        <w:t>przemysł,</w:t>
      </w:r>
    </w:p>
    <w:p w:rsidR="00DF4AC0" w:rsidRDefault="00DF4AC0" w:rsidP="00E7342B">
      <w:pPr>
        <w:pStyle w:val="Akapitzlist"/>
        <w:numPr>
          <w:ilvl w:val="0"/>
          <w:numId w:val="63"/>
        </w:numPr>
      </w:pPr>
      <w:r>
        <w:t>handel i usługi,</w:t>
      </w:r>
    </w:p>
    <w:p w:rsidR="00DF4AC0" w:rsidRDefault="00DF4AC0" w:rsidP="00E7342B">
      <w:pPr>
        <w:pStyle w:val="Akapitzlist"/>
        <w:numPr>
          <w:ilvl w:val="0"/>
          <w:numId w:val="63"/>
        </w:numPr>
      </w:pPr>
      <w:r>
        <w:t>gospodarstwa domowe,</w:t>
      </w:r>
    </w:p>
    <w:p w:rsidR="00DF4AC0" w:rsidRDefault="00DF4AC0" w:rsidP="00E7342B">
      <w:pPr>
        <w:pStyle w:val="Akapitzlist"/>
        <w:numPr>
          <w:ilvl w:val="0"/>
          <w:numId w:val="63"/>
        </w:numPr>
      </w:pPr>
      <w:r>
        <w:t>odpady,</w:t>
      </w:r>
    </w:p>
    <w:p w:rsidR="00DF4AC0" w:rsidRDefault="00DF4AC0" w:rsidP="00E7342B">
      <w:pPr>
        <w:pStyle w:val="Akapitzlist"/>
        <w:numPr>
          <w:ilvl w:val="0"/>
          <w:numId w:val="63"/>
        </w:numPr>
      </w:pPr>
      <w:r>
        <w:t>administracja publiczne,</w:t>
      </w:r>
    </w:p>
    <w:p w:rsidR="00DF4AC0" w:rsidRDefault="00DF4AC0" w:rsidP="00E7342B">
      <w:pPr>
        <w:pStyle w:val="Akapitzlist"/>
        <w:numPr>
          <w:ilvl w:val="0"/>
          <w:numId w:val="63"/>
        </w:numPr>
      </w:pPr>
      <w:r>
        <w:t xml:space="preserve">edukacja/dialog społeczny. </w:t>
      </w:r>
    </w:p>
    <w:p w:rsidR="00DF4AC0" w:rsidRDefault="00227CC2" w:rsidP="00DF4AC0">
      <w:r>
        <w:t>Poszczególne obszary w zakresie użytkowania nośników energetycznych, paliw i energii elektrycznej i zagospodarowania odpadów obejmują budynki użyteczności publicznej, budynki mieszkalne komunalne, transport publiczny, oświetlenie uliczne, stacje uzdatniania wody, oczyszczalnie ścieków, sieć ciepłowniczą, budynki użyteczności publicznej poza</w:t>
      </w:r>
      <w:r w:rsidR="006F2005">
        <w:t xml:space="preserve"> </w:t>
      </w:r>
      <w:r>
        <w:t xml:space="preserve">gminne, obiekty mieszkaniowe, zabudowa wolnostojąca, obiekty handlowe i usługowe, obiekty przemysłowe. </w:t>
      </w:r>
    </w:p>
    <w:p w:rsidR="00227CC2" w:rsidRDefault="00227CC2">
      <w:pPr>
        <w:spacing w:line="276" w:lineRule="auto"/>
        <w:jc w:val="left"/>
      </w:pPr>
      <w:r>
        <w:br w:type="page"/>
      </w:r>
    </w:p>
    <w:p w:rsidR="0015112C" w:rsidRDefault="0015112C" w:rsidP="00C51153"/>
    <w:p w:rsidR="0015112C" w:rsidRDefault="00167A06" w:rsidP="0040587C">
      <w:r>
        <w:t>Na podstawie przeprowadzonej inwentaryzacji źródeł emisji zidentyfikowano następujące kluczowe obszary problemowe:</w:t>
      </w:r>
    </w:p>
    <w:p w:rsidR="0040587C" w:rsidRDefault="00167A06" w:rsidP="00E7342B">
      <w:pPr>
        <w:pStyle w:val="Akapitzlist"/>
        <w:numPr>
          <w:ilvl w:val="0"/>
          <w:numId w:val="64"/>
        </w:numPr>
      </w:pPr>
      <w:r>
        <w:t>Na stan sanitarny powietrza wpływa emisja zanieczyszczeń z indywidualnych kotłowni przydomowych, których jednym z dominujących nośników jest węgiel kamienny. Zwarta zabudowa oraz duża ilość emitorów wpływają na sezonowy wzrost emisji CO</w:t>
      </w:r>
      <w:r w:rsidRPr="0040587C">
        <w:rPr>
          <w:vertAlign w:val="subscript"/>
        </w:rPr>
        <w:t>2</w:t>
      </w:r>
      <w:r>
        <w:t>.</w:t>
      </w:r>
    </w:p>
    <w:p w:rsidR="00595108" w:rsidRPr="006F2005" w:rsidRDefault="00595108" w:rsidP="00E7342B">
      <w:pPr>
        <w:pStyle w:val="Akapitzlist"/>
        <w:numPr>
          <w:ilvl w:val="0"/>
          <w:numId w:val="64"/>
        </w:numPr>
      </w:pPr>
      <w:r>
        <w:t xml:space="preserve">Zły stan techniczny budynków, ich wysoka energochłonność oraz </w:t>
      </w:r>
      <w:r w:rsidR="00F8441A">
        <w:t xml:space="preserve">stosowanie opału </w:t>
      </w:r>
      <w:r w:rsidR="00F8441A" w:rsidRPr="006F2005">
        <w:t xml:space="preserve">niskiej jakości tworzy zjawisko o nazwie „niska emisja” i dotyczy głównie źródeł emitujących zanieczyszczenia przez kominy do 40 m wysokości. </w:t>
      </w:r>
    </w:p>
    <w:p w:rsidR="0040587C" w:rsidRPr="006F2005" w:rsidRDefault="0040587C" w:rsidP="00E7342B">
      <w:pPr>
        <w:pStyle w:val="Akapitzlist"/>
        <w:numPr>
          <w:ilvl w:val="0"/>
          <w:numId w:val="64"/>
        </w:numPr>
      </w:pPr>
      <w:r w:rsidRPr="006F2005">
        <w:t>Wykorzystywanie odnawialnych źródeł energii przez indywidualnych mieszkańców stanowi niewielki</w:t>
      </w:r>
      <w:r w:rsidR="00B15E25" w:rsidRPr="006F2005">
        <w:t xml:space="preserve"> </w:t>
      </w:r>
      <w:r w:rsidRPr="006F2005">
        <w:t>udział.</w:t>
      </w:r>
    </w:p>
    <w:p w:rsidR="0040587C" w:rsidRPr="006F2005" w:rsidRDefault="0040587C" w:rsidP="00E7342B">
      <w:pPr>
        <w:pStyle w:val="Akapitzlist"/>
        <w:numPr>
          <w:ilvl w:val="0"/>
          <w:numId w:val="64"/>
        </w:numPr>
      </w:pPr>
      <w:r w:rsidRPr="006F2005">
        <w:t>Na terenie gminy występuje duża liczba pojazdów osobowych (wysoki wskaźnik liczby pojazdów na osobę) napędzanych benzyną i ropą, przy jednoczesnym stosunkowo niewielkim procencie pojazdów wyposażonych w instalacje gazową LPG.</w:t>
      </w:r>
    </w:p>
    <w:p w:rsidR="0040587C" w:rsidRDefault="0040587C" w:rsidP="00E7342B">
      <w:pPr>
        <w:pStyle w:val="Akapitzlist"/>
        <w:numPr>
          <w:ilvl w:val="0"/>
          <w:numId w:val="64"/>
        </w:numPr>
      </w:pPr>
      <w:r>
        <w:t xml:space="preserve">Zły stan techniczny infrastruktury drogowej i </w:t>
      </w:r>
      <w:r w:rsidR="00595108">
        <w:t>około</w:t>
      </w:r>
      <w:r w:rsidR="006F2005">
        <w:t xml:space="preserve"> </w:t>
      </w:r>
      <w:r>
        <w:t>drogowej. Szkodliwe substancje pochodzące ze spalania paliw znacząco wpływają na wielkość emisji substancji szkodliwych do atmosfery, a także oddziałują na zanieczyszczenie wód i gleb.</w:t>
      </w:r>
    </w:p>
    <w:p w:rsidR="00BB731D" w:rsidRDefault="00BB731D" w:rsidP="00E7342B">
      <w:pPr>
        <w:pStyle w:val="Akapitzlist"/>
        <w:numPr>
          <w:ilvl w:val="0"/>
          <w:numId w:val="64"/>
        </w:numPr>
      </w:pPr>
      <w:r>
        <w:t>Niski poziom świadomości ekologicznej.</w:t>
      </w:r>
    </w:p>
    <w:p w:rsidR="00BB731D" w:rsidRDefault="00BB731D" w:rsidP="00E7342B">
      <w:pPr>
        <w:pStyle w:val="Akapitzlist"/>
        <w:numPr>
          <w:ilvl w:val="0"/>
          <w:numId w:val="64"/>
        </w:numPr>
        <w:spacing w:before="120" w:after="120"/>
      </w:pPr>
      <w:r>
        <w:t xml:space="preserve">Powolny rozwój OZE oraz podejmowanych przez mieszkańców prac </w:t>
      </w:r>
      <w:proofErr w:type="spellStart"/>
      <w:r>
        <w:t>termomodernizacyjnych</w:t>
      </w:r>
      <w:proofErr w:type="spellEnd"/>
      <w:r>
        <w:t xml:space="preserve">. </w:t>
      </w:r>
    </w:p>
    <w:p w:rsidR="00BB731D" w:rsidRDefault="00BB731D" w:rsidP="00BB731D">
      <w:pPr>
        <w:pStyle w:val="Akapitzlist"/>
      </w:pPr>
    </w:p>
    <w:p w:rsidR="0040587C" w:rsidRPr="0040587C" w:rsidRDefault="0040587C" w:rsidP="0040587C"/>
    <w:p w:rsidR="0040587C" w:rsidRDefault="0040587C" w:rsidP="00167A06"/>
    <w:p w:rsidR="0040587C" w:rsidRDefault="0040587C" w:rsidP="00167A06">
      <w:pPr>
        <w:sectPr w:rsidR="0040587C" w:rsidSect="00731F53">
          <w:footerReference w:type="default" r:id="rId33"/>
          <w:footerReference w:type="first" r:id="rId34"/>
          <w:pgSz w:w="11906" w:h="16838"/>
          <w:pgMar w:top="1417" w:right="1417" w:bottom="1417" w:left="1417" w:header="708" w:footer="708" w:gutter="0"/>
          <w:cols w:space="708"/>
          <w:titlePg/>
          <w:docGrid w:linePitch="360"/>
        </w:sectPr>
      </w:pPr>
    </w:p>
    <w:p w:rsidR="005039B8" w:rsidRDefault="005039B8" w:rsidP="00A36542">
      <w:pPr>
        <w:sectPr w:rsidR="005039B8" w:rsidSect="005039B8">
          <w:pgSz w:w="16838" w:h="11906" w:orient="landscape"/>
          <w:pgMar w:top="1417" w:right="1417" w:bottom="1417" w:left="1417" w:header="708" w:footer="708" w:gutter="0"/>
          <w:cols w:num="2" w:space="708"/>
          <w:titlePg/>
          <w:docGrid w:linePitch="360"/>
        </w:sectPr>
      </w:pPr>
      <w:r w:rsidRPr="005039B8">
        <w:rPr>
          <w:noProof/>
          <w:lang w:eastAsia="pl-PL"/>
        </w:rPr>
        <w:lastRenderedPageBreak/>
        <w:drawing>
          <wp:inline distT="0" distB="0" distL="0" distR="0">
            <wp:extent cx="4636800" cy="5497033"/>
            <wp:effectExtent l="0" t="0" r="0" b="0"/>
            <wp:docPr id="43"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Pr="005039B8">
        <w:rPr>
          <w:noProof/>
          <w:lang w:eastAsia="pl-PL"/>
        </w:rPr>
        <w:lastRenderedPageBreak/>
        <w:drawing>
          <wp:inline distT="0" distB="0" distL="0" distR="0">
            <wp:extent cx="4635796" cy="5497033"/>
            <wp:effectExtent l="0" t="0" r="0" b="0"/>
            <wp:docPr id="44"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C51153" w:rsidRDefault="000117A8" w:rsidP="00A10D06">
      <w:pPr>
        <w:pStyle w:val="Nagwek2"/>
        <w:numPr>
          <w:ilvl w:val="1"/>
          <w:numId w:val="1"/>
        </w:numPr>
      </w:pPr>
      <w:bookmarkStart w:id="59" w:name="_Toc438118377"/>
      <w:r>
        <w:lastRenderedPageBreak/>
        <w:t xml:space="preserve"> </w:t>
      </w:r>
      <w:r w:rsidR="00C51153">
        <w:t>Cele strategiczne i szczegółowe</w:t>
      </w:r>
      <w:bookmarkEnd w:id="59"/>
    </w:p>
    <w:p w:rsidR="00B72BC0" w:rsidRPr="00B72BC0" w:rsidRDefault="00B72BC0" w:rsidP="00B72BC0"/>
    <w:p w:rsidR="007A562D" w:rsidRPr="007A562D" w:rsidRDefault="00B72BC0" w:rsidP="007A562D">
      <w:r>
        <w:rPr>
          <w:noProof/>
          <w:lang w:eastAsia="pl-PL"/>
        </w:rPr>
        <w:drawing>
          <wp:inline distT="0" distB="0" distL="0" distR="0">
            <wp:extent cx="5650319" cy="7719237"/>
            <wp:effectExtent l="38100" t="0" r="83731"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7A562D" w:rsidRPr="007A562D" w:rsidRDefault="000117A8" w:rsidP="00A10D06">
      <w:pPr>
        <w:pStyle w:val="Nagwek2"/>
        <w:numPr>
          <w:ilvl w:val="1"/>
          <w:numId w:val="1"/>
        </w:numPr>
      </w:pPr>
      <w:bookmarkStart w:id="60" w:name="_Toc438118378"/>
      <w:r>
        <w:lastRenderedPageBreak/>
        <w:t xml:space="preserve"> </w:t>
      </w:r>
      <w:r w:rsidR="007A562D">
        <w:t>Aspekty organizacyjne i finansowe</w:t>
      </w:r>
      <w:bookmarkEnd w:id="60"/>
    </w:p>
    <w:p w:rsidR="00C51153" w:rsidRDefault="00C51153" w:rsidP="00C51153"/>
    <w:p w:rsidR="007A562D" w:rsidRDefault="007A562D" w:rsidP="007A562D">
      <w:r>
        <w:t xml:space="preserve">Zadania wynikające z Planu Gospodarki Niskoemisyjnej dla gminy Herby są przypisane poszczególnym jednostkom podległym władzom gminy, a także podmiotom zewnętrznym działającym na terenie gminy. Monitoring realizacji Planu oraz jego aktualizacja podlegać będą osobie zatrudnionej w Urzędzie Gminy Herby oddelegowanej do pełnienia obowiązków w wyżej wymienionym zakresie, lub zostaną zlecone niezależnej jednostce zewnętrznej. </w:t>
      </w:r>
    </w:p>
    <w:p w:rsidR="007A562D" w:rsidRDefault="007A562D" w:rsidP="007A562D">
      <w:r>
        <w:t>Istotne dla osiągnięcia celów uwzględnionych w Planie jest dopilnowanie, aby cele i kierunki działań były:</w:t>
      </w:r>
    </w:p>
    <w:p w:rsidR="007A562D" w:rsidRPr="006B589C" w:rsidRDefault="007A562D" w:rsidP="00E7342B">
      <w:pPr>
        <w:pStyle w:val="Akapitzlist"/>
        <w:numPr>
          <w:ilvl w:val="0"/>
          <w:numId w:val="19"/>
        </w:numPr>
        <w:rPr>
          <w:szCs w:val="23"/>
        </w:rPr>
      </w:pPr>
      <w:r>
        <w:rPr>
          <w:szCs w:val="23"/>
        </w:rPr>
        <w:t>p</w:t>
      </w:r>
      <w:r w:rsidRPr="006B589C">
        <w:rPr>
          <w:szCs w:val="23"/>
        </w:rPr>
        <w:t>rzyjmowane w odpowi</w:t>
      </w:r>
      <w:r>
        <w:rPr>
          <w:szCs w:val="23"/>
        </w:rPr>
        <w:t>ednich zapisach prawa lokalnego,</w:t>
      </w:r>
    </w:p>
    <w:p w:rsidR="007A562D" w:rsidRPr="006B589C" w:rsidRDefault="007A562D" w:rsidP="00E7342B">
      <w:pPr>
        <w:pStyle w:val="Akapitzlist"/>
        <w:numPr>
          <w:ilvl w:val="0"/>
          <w:numId w:val="19"/>
        </w:numPr>
        <w:rPr>
          <w:szCs w:val="23"/>
        </w:rPr>
      </w:pPr>
      <w:r>
        <w:rPr>
          <w:szCs w:val="23"/>
        </w:rPr>
        <w:t>u</w:t>
      </w:r>
      <w:r w:rsidRPr="006B589C">
        <w:rPr>
          <w:szCs w:val="23"/>
        </w:rPr>
        <w:t xml:space="preserve">względniane w dokumentach </w:t>
      </w:r>
      <w:r>
        <w:rPr>
          <w:szCs w:val="23"/>
        </w:rPr>
        <w:t>strategicznych i planistycznych,</w:t>
      </w:r>
    </w:p>
    <w:p w:rsidR="007A562D" w:rsidRDefault="007A562D" w:rsidP="00E7342B">
      <w:pPr>
        <w:pStyle w:val="Akapitzlist"/>
        <w:numPr>
          <w:ilvl w:val="0"/>
          <w:numId w:val="19"/>
        </w:numPr>
        <w:rPr>
          <w:szCs w:val="23"/>
        </w:rPr>
      </w:pPr>
      <w:r>
        <w:rPr>
          <w:szCs w:val="23"/>
        </w:rPr>
        <w:t>u</w:t>
      </w:r>
      <w:r w:rsidRPr="006B589C">
        <w:rPr>
          <w:szCs w:val="23"/>
        </w:rPr>
        <w:t xml:space="preserve">względnione w wewnętrznych dokumentach Urzędu Gminy. </w:t>
      </w:r>
    </w:p>
    <w:p w:rsidR="007A562D" w:rsidRPr="006F2005" w:rsidRDefault="007A562D" w:rsidP="007A562D">
      <w:pPr>
        <w:rPr>
          <w:szCs w:val="23"/>
        </w:rPr>
      </w:pPr>
      <w:r w:rsidRPr="006F2005">
        <w:rPr>
          <w:szCs w:val="23"/>
        </w:rPr>
        <w:t>Do realizacji PGN zaangażowani zostaną pracownicy Urzędu Gminy Herby. Osoby te będą odpowiedzialne za kontrolę wdrażania</w:t>
      </w:r>
      <w:r w:rsidR="004206EE" w:rsidRPr="006F2005">
        <w:rPr>
          <w:szCs w:val="23"/>
        </w:rPr>
        <w:t xml:space="preserve"> </w:t>
      </w:r>
      <w:r w:rsidRPr="006F2005">
        <w:rPr>
          <w:szCs w:val="23"/>
        </w:rPr>
        <w:t>Planu Gospodarki Niskoemisyjnej oraz – w razie potrzeby – jego aktualizację, monitorowanie dostępności środków finansowych niezbędnych do realizacji określonych w dokumencie celów i działań, informowanie opinii publicznej o osiąganych rezultatach i budowanie poparcia społecznego dla realizowanych działań.</w:t>
      </w:r>
    </w:p>
    <w:p w:rsidR="007A562D" w:rsidRPr="006F2005" w:rsidRDefault="007A562D" w:rsidP="007A562D">
      <w:pPr>
        <w:rPr>
          <w:szCs w:val="23"/>
        </w:rPr>
      </w:pPr>
      <w:r w:rsidRPr="006F2005">
        <w:rPr>
          <w:szCs w:val="23"/>
        </w:rPr>
        <w:t>Dokument, bezpośrednio i pośrednio, oddziałuje na jednostki, grupy oraz organizacje działające na obszarze gminy, możemy zaliczyć do nich:</w:t>
      </w:r>
    </w:p>
    <w:p w:rsidR="007A562D" w:rsidRPr="006F2005" w:rsidRDefault="007A562D" w:rsidP="00E7342B">
      <w:pPr>
        <w:numPr>
          <w:ilvl w:val="0"/>
          <w:numId w:val="20"/>
        </w:numPr>
        <w:spacing w:after="0"/>
        <w:ind w:left="714" w:hanging="357"/>
        <w:rPr>
          <w:szCs w:val="23"/>
        </w:rPr>
      </w:pPr>
      <w:r w:rsidRPr="006F2005">
        <w:rPr>
          <w:szCs w:val="23"/>
        </w:rPr>
        <w:t>mieszkańców gminy,</w:t>
      </w:r>
    </w:p>
    <w:p w:rsidR="007A562D" w:rsidRPr="006F2005" w:rsidRDefault="007A562D" w:rsidP="00E7342B">
      <w:pPr>
        <w:numPr>
          <w:ilvl w:val="0"/>
          <w:numId w:val="20"/>
        </w:numPr>
        <w:spacing w:after="0"/>
        <w:ind w:left="714" w:hanging="357"/>
        <w:rPr>
          <w:szCs w:val="23"/>
        </w:rPr>
      </w:pPr>
      <w:r w:rsidRPr="006F2005">
        <w:rPr>
          <w:szCs w:val="23"/>
        </w:rPr>
        <w:t>jednostki gminne,</w:t>
      </w:r>
    </w:p>
    <w:p w:rsidR="007A562D" w:rsidRPr="006F2005" w:rsidRDefault="00DC209A" w:rsidP="00E7342B">
      <w:pPr>
        <w:numPr>
          <w:ilvl w:val="0"/>
          <w:numId w:val="20"/>
        </w:numPr>
        <w:spacing w:after="0"/>
        <w:ind w:left="714" w:hanging="357"/>
        <w:rPr>
          <w:szCs w:val="23"/>
        </w:rPr>
      </w:pPr>
      <w:r w:rsidRPr="006F2005">
        <w:rPr>
          <w:szCs w:val="23"/>
        </w:rPr>
        <w:t>firmy</w:t>
      </w:r>
      <w:r w:rsidR="004206EE" w:rsidRPr="006F2005">
        <w:rPr>
          <w:szCs w:val="23"/>
        </w:rPr>
        <w:t xml:space="preserve"> </w:t>
      </w:r>
      <w:r w:rsidRPr="006F2005">
        <w:rPr>
          <w:szCs w:val="23"/>
        </w:rPr>
        <w:t xml:space="preserve">i </w:t>
      </w:r>
      <w:r w:rsidR="007A562D" w:rsidRPr="006F2005">
        <w:rPr>
          <w:szCs w:val="23"/>
        </w:rPr>
        <w:t>spółki prywatne,</w:t>
      </w:r>
    </w:p>
    <w:p w:rsidR="007A562D" w:rsidRPr="006B589C" w:rsidRDefault="007A562D" w:rsidP="00E7342B">
      <w:pPr>
        <w:numPr>
          <w:ilvl w:val="0"/>
          <w:numId w:val="20"/>
        </w:numPr>
        <w:spacing w:after="0"/>
        <w:ind w:left="714" w:hanging="357"/>
        <w:rPr>
          <w:szCs w:val="23"/>
        </w:rPr>
      </w:pPr>
      <w:r w:rsidRPr="006B589C">
        <w:rPr>
          <w:szCs w:val="23"/>
        </w:rPr>
        <w:t xml:space="preserve">inwestycje publiczne, </w:t>
      </w:r>
    </w:p>
    <w:p w:rsidR="007A562D" w:rsidRPr="006B589C" w:rsidRDefault="007A562D" w:rsidP="00E7342B">
      <w:pPr>
        <w:numPr>
          <w:ilvl w:val="0"/>
          <w:numId w:val="20"/>
        </w:numPr>
        <w:spacing w:after="0"/>
        <w:ind w:left="714" w:hanging="357"/>
        <w:rPr>
          <w:szCs w:val="23"/>
        </w:rPr>
      </w:pPr>
      <w:r w:rsidRPr="006B589C">
        <w:rPr>
          <w:szCs w:val="23"/>
        </w:rPr>
        <w:t>organizacje pozarządowe.</w:t>
      </w:r>
    </w:p>
    <w:p w:rsidR="007A562D" w:rsidRDefault="007A562D" w:rsidP="007A562D">
      <w:pPr>
        <w:rPr>
          <w:szCs w:val="23"/>
        </w:rPr>
      </w:pPr>
    </w:p>
    <w:p w:rsidR="007A562D" w:rsidRDefault="007A562D" w:rsidP="007A562D">
      <w:pPr>
        <w:rPr>
          <w:szCs w:val="23"/>
        </w:rPr>
      </w:pPr>
      <w:r w:rsidRPr="006B589C">
        <w:rPr>
          <w:szCs w:val="23"/>
        </w:rPr>
        <w:t xml:space="preserve">Działania przewidziane w Planie będą finansowane </w:t>
      </w:r>
      <w:r>
        <w:rPr>
          <w:szCs w:val="23"/>
        </w:rPr>
        <w:t xml:space="preserve">ze środków własnych gminy oraz zewnętrznych źródeł finansowania. Środki na realizację powinny zostać wpisane w działania długofalowe do wieloletnich planów inwestycyjnych oraz uwzględnione w corocznym budżecie gminy. </w:t>
      </w:r>
    </w:p>
    <w:p w:rsidR="007A562D" w:rsidRDefault="007A562D" w:rsidP="007A562D">
      <w:pPr>
        <w:rPr>
          <w:szCs w:val="23"/>
        </w:rPr>
      </w:pPr>
      <w:r>
        <w:rPr>
          <w:szCs w:val="23"/>
        </w:rPr>
        <w:lastRenderedPageBreak/>
        <w:t>Zakłada się, że Plan Gospodarki Niskoemisyjnej będzie realizowany w oparciu o następujące źródła finansowania:</w:t>
      </w:r>
    </w:p>
    <w:p w:rsidR="007A562D" w:rsidRPr="00A93549" w:rsidRDefault="007A562D" w:rsidP="00E7342B">
      <w:pPr>
        <w:pStyle w:val="Akapitzlist"/>
        <w:numPr>
          <w:ilvl w:val="0"/>
          <w:numId w:val="21"/>
        </w:numPr>
        <w:rPr>
          <w:szCs w:val="23"/>
        </w:rPr>
      </w:pPr>
      <w:r>
        <w:rPr>
          <w:szCs w:val="23"/>
        </w:rPr>
        <w:t>budżet gminy,</w:t>
      </w:r>
    </w:p>
    <w:p w:rsidR="007A562D" w:rsidRPr="00A93549" w:rsidRDefault="007A562D" w:rsidP="00E7342B">
      <w:pPr>
        <w:pStyle w:val="Akapitzlist"/>
        <w:numPr>
          <w:ilvl w:val="0"/>
          <w:numId w:val="21"/>
        </w:numPr>
        <w:rPr>
          <w:szCs w:val="23"/>
        </w:rPr>
      </w:pPr>
      <w:r>
        <w:rPr>
          <w:szCs w:val="23"/>
        </w:rPr>
        <w:t>budżet państwa,</w:t>
      </w:r>
    </w:p>
    <w:p w:rsidR="007A562D" w:rsidRPr="00A93549" w:rsidRDefault="007A562D" w:rsidP="00E7342B">
      <w:pPr>
        <w:pStyle w:val="Akapitzlist"/>
        <w:numPr>
          <w:ilvl w:val="0"/>
          <w:numId w:val="21"/>
        </w:numPr>
        <w:rPr>
          <w:szCs w:val="23"/>
        </w:rPr>
      </w:pPr>
      <w:r w:rsidRPr="006F2005">
        <w:rPr>
          <w:szCs w:val="23"/>
        </w:rPr>
        <w:t>środki z Narodowego</w:t>
      </w:r>
      <w:r w:rsidR="00DC209A" w:rsidRPr="006F2005">
        <w:rPr>
          <w:szCs w:val="23"/>
        </w:rPr>
        <w:t xml:space="preserve"> lub Wojewódzkiego</w:t>
      </w:r>
      <w:r w:rsidR="004206EE" w:rsidRPr="006F2005">
        <w:rPr>
          <w:szCs w:val="23"/>
        </w:rPr>
        <w:t xml:space="preserve"> </w:t>
      </w:r>
      <w:r w:rsidRPr="006F2005">
        <w:rPr>
          <w:szCs w:val="23"/>
        </w:rPr>
        <w:t>Funduszu Ochrony Środowiska i Gospodarki</w:t>
      </w:r>
      <w:r>
        <w:rPr>
          <w:szCs w:val="23"/>
        </w:rPr>
        <w:t xml:space="preserve"> Wodnej,</w:t>
      </w:r>
    </w:p>
    <w:p w:rsidR="007A562D" w:rsidRPr="00A93549" w:rsidRDefault="007A562D" w:rsidP="00E7342B">
      <w:pPr>
        <w:pStyle w:val="Akapitzlist"/>
        <w:numPr>
          <w:ilvl w:val="0"/>
          <w:numId w:val="21"/>
        </w:numPr>
        <w:rPr>
          <w:szCs w:val="23"/>
        </w:rPr>
      </w:pPr>
      <w:r>
        <w:rPr>
          <w:szCs w:val="23"/>
        </w:rPr>
        <w:t>środki z budżetu Unii Europejskiej,</w:t>
      </w:r>
    </w:p>
    <w:p w:rsidR="007A562D" w:rsidRPr="00A93549" w:rsidRDefault="007A562D" w:rsidP="00E7342B">
      <w:pPr>
        <w:pStyle w:val="Akapitzlist"/>
        <w:numPr>
          <w:ilvl w:val="0"/>
          <w:numId w:val="21"/>
        </w:numPr>
        <w:rPr>
          <w:szCs w:val="23"/>
        </w:rPr>
      </w:pPr>
      <w:r>
        <w:rPr>
          <w:szCs w:val="23"/>
        </w:rPr>
        <w:t>środki prywatne,</w:t>
      </w:r>
    </w:p>
    <w:p w:rsidR="007A562D" w:rsidRPr="00A93549" w:rsidRDefault="007A562D" w:rsidP="00E7342B">
      <w:pPr>
        <w:pStyle w:val="Akapitzlist"/>
        <w:numPr>
          <w:ilvl w:val="0"/>
          <w:numId w:val="21"/>
        </w:numPr>
        <w:rPr>
          <w:szCs w:val="23"/>
        </w:rPr>
      </w:pPr>
      <w:r>
        <w:rPr>
          <w:szCs w:val="23"/>
        </w:rPr>
        <w:t xml:space="preserve">inne. </w:t>
      </w:r>
    </w:p>
    <w:p w:rsidR="007A562D" w:rsidRDefault="007A562D" w:rsidP="007A562D">
      <w:pPr>
        <w:rPr>
          <w:szCs w:val="23"/>
        </w:rPr>
      </w:pPr>
      <w:r>
        <w:rPr>
          <w:szCs w:val="23"/>
        </w:rPr>
        <w:t>Proces wdrażania PGN wymaga stałego monitoringu. Ocena realizacji zadań z punktu widzenia osiągnięcia założonych celów, stanowi najważniejszy jego element. Proces monitorowania pozwoli na przeprowadzenie oceny, czy  Plan oraz uwzględniony w nim harmonogram działań, wymagają modyfikacji w celu zapewnienia jak najwyższego stopnia realizacji założeń i umożliwienie elastycznego prowadzeni</w:t>
      </w:r>
      <w:r w:rsidR="00DC209A">
        <w:rPr>
          <w:szCs w:val="23"/>
        </w:rPr>
        <w:t>a</w:t>
      </w:r>
      <w:r>
        <w:rPr>
          <w:szCs w:val="23"/>
        </w:rPr>
        <w:t xml:space="preserve"> polityki gospodarczej. </w:t>
      </w:r>
    </w:p>
    <w:p w:rsidR="007A562D" w:rsidRPr="00AE10FD" w:rsidRDefault="007A562D" w:rsidP="007A562D">
      <w:pPr>
        <w:rPr>
          <w:szCs w:val="23"/>
        </w:rPr>
      </w:pPr>
      <w:r w:rsidRPr="00AE10FD">
        <w:rPr>
          <w:szCs w:val="23"/>
        </w:rPr>
        <w:t>Poniżej przedstawiono główne wskaźniki monitorowania, które należy p</w:t>
      </w:r>
      <w:r>
        <w:rPr>
          <w:szCs w:val="23"/>
        </w:rPr>
        <w:t>oddać okresowej ocenie i </w:t>
      </w:r>
      <w:r w:rsidRPr="00AE10FD">
        <w:rPr>
          <w:szCs w:val="23"/>
        </w:rPr>
        <w:t>analizie:</w:t>
      </w:r>
    </w:p>
    <w:p w:rsidR="007A562D" w:rsidRPr="00AE10FD" w:rsidRDefault="007A562D" w:rsidP="00E7342B">
      <w:pPr>
        <w:numPr>
          <w:ilvl w:val="0"/>
          <w:numId w:val="22"/>
        </w:numPr>
        <w:spacing w:after="0"/>
        <w:ind w:left="714" w:hanging="357"/>
        <w:rPr>
          <w:szCs w:val="23"/>
        </w:rPr>
      </w:pPr>
      <w:r w:rsidRPr="00AE10FD">
        <w:rPr>
          <w:szCs w:val="23"/>
        </w:rPr>
        <w:t>poziom emisji, CO</w:t>
      </w:r>
      <w:r w:rsidRPr="00AE10FD">
        <w:rPr>
          <w:szCs w:val="23"/>
          <w:vertAlign w:val="subscript"/>
        </w:rPr>
        <w:t>2</w:t>
      </w:r>
      <w:r w:rsidRPr="00AE10FD">
        <w:rPr>
          <w:szCs w:val="23"/>
        </w:rPr>
        <w:t xml:space="preserve"> w stosunku do przyjętego roku bazowego,</w:t>
      </w:r>
    </w:p>
    <w:p w:rsidR="007A562D" w:rsidRPr="00AE10FD" w:rsidRDefault="007A562D" w:rsidP="00E7342B">
      <w:pPr>
        <w:numPr>
          <w:ilvl w:val="0"/>
          <w:numId w:val="22"/>
        </w:numPr>
        <w:spacing w:after="0"/>
        <w:ind w:left="714" w:hanging="357"/>
        <w:rPr>
          <w:szCs w:val="23"/>
        </w:rPr>
      </w:pPr>
      <w:r w:rsidRPr="00AE10FD">
        <w:rPr>
          <w:szCs w:val="23"/>
        </w:rPr>
        <w:t>poziom zużycia energii finalnej w stosunku do przyjętego roku bazowego,</w:t>
      </w:r>
    </w:p>
    <w:p w:rsidR="007A562D" w:rsidRPr="00AE10FD" w:rsidRDefault="007A562D" w:rsidP="00E7342B">
      <w:pPr>
        <w:numPr>
          <w:ilvl w:val="0"/>
          <w:numId w:val="22"/>
        </w:numPr>
        <w:spacing w:after="0"/>
        <w:ind w:left="714" w:hanging="357"/>
        <w:rPr>
          <w:szCs w:val="23"/>
        </w:rPr>
      </w:pPr>
      <w:r w:rsidRPr="00AE10FD">
        <w:rPr>
          <w:szCs w:val="23"/>
        </w:rPr>
        <w:t>udział zużytej energii pochodzącej ze źródeł odnawialnych,</w:t>
      </w:r>
    </w:p>
    <w:p w:rsidR="007A562D" w:rsidRPr="00AE10FD" w:rsidRDefault="007A562D" w:rsidP="00E7342B">
      <w:pPr>
        <w:numPr>
          <w:ilvl w:val="0"/>
          <w:numId w:val="22"/>
        </w:numPr>
        <w:spacing w:after="0"/>
        <w:ind w:left="714" w:hanging="357"/>
        <w:rPr>
          <w:szCs w:val="23"/>
        </w:rPr>
      </w:pPr>
      <w:r w:rsidRPr="00AE10FD">
        <w:rPr>
          <w:szCs w:val="23"/>
        </w:rPr>
        <w:t>stopień realizacji przedsięwzięć i zadań,</w:t>
      </w:r>
    </w:p>
    <w:p w:rsidR="007A562D" w:rsidRPr="00AE10FD" w:rsidRDefault="007A562D" w:rsidP="00E7342B">
      <w:pPr>
        <w:numPr>
          <w:ilvl w:val="0"/>
          <w:numId w:val="22"/>
        </w:numPr>
        <w:spacing w:after="0"/>
        <w:ind w:left="714" w:hanging="357"/>
        <w:rPr>
          <w:szCs w:val="23"/>
        </w:rPr>
      </w:pPr>
      <w:r w:rsidRPr="00AE10FD">
        <w:rPr>
          <w:szCs w:val="23"/>
        </w:rPr>
        <w:t xml:space="preserve">poziom wykonania przyjętych celów, </w:t>
      </w:r>
    </w:p>
    <w:p w:rsidR="007A562D" w:rsidRPr="009A18D7" w:rsidRDefault="007A562D" w:rsidP="00E7342B">
      <w:pPr>
        <w:numPr>
          <w:ilvl w:val="0"/>
          <w:numId w:val="22"/>
        </w:numPr>
        <w:spacing w:after="0"/>
        <w:ind w:left="714" w:hanging="357"/>
        <w:rPr>
          <w:szCs w:val="23"/>
        </w:rPr>
      </w:pPr>
      <w:r w:rsidRPr="00AE10FD">
        <w:rPr>
          <w:szCs w:val="23"/>
        </w:rPr>
        <w:t>rozbieżności pomiędzy przyjętymi celami i działaniami a ich realizacją.</w:t>
      </w:r>
    </w:p>
    <w:p w:rsidR="007A562D" w:rsidRPr="00C51153" w:rsidRDefault="007A562D" w:rsidP="00C51153"/>
    <w:p w:rsidR="006C4E82" w:rsidRDefault="007A562D" w:rsidP="00A10D06">
      <w:pPr>
        <w:pStyle w:val="Nagwek3"/>
        <w:numPr>
          <w:ilvl w:val="2"/>
          <w:numId w:val="1"/>
        </w:numPr>
      </w:pPr>
      <w:bookmarkStart w:id="61" w:name="_Toc438118379"/>
      <w:r>
        <w:t>Źródła finansowania pozabudżetowego</w:t>
      </w:r>
      <w:bookmarkEnd w:id="61"/>
    </w:p>
    <w:p w:rsidR="007A562D" w:rsidRDefault="007A562D" w:rsidP="007A562D"/>
    <w:p w:rsidR="007A562D" w:rsidRDefault="007A562D" w:rsidP="007A562D">
      <w:r w:rsidRPr="005F2CA3">
        <w:t>Podstawą finansowania realizacji celów zawartych w Planie Gospodarki Niskoemisyjnej są środki budżetowe i zewnętrzne. Poten</w:t>
      </w:r>
      <w:r>
        <w:t>cjalne źródło finansowania poza</w:t>
      </w:r>
      <w:r w:rsidRPr="005F2CA3">
        <w:t>budżetowego wykorzystuje środki Unii Europejskiej, dzięki czemu możliwe jest otrzymanie korzystnych warunków finansowania. Do źródeł finansowania należą:</w:t>
      </w:r>
    </w:p>
    <w:p w:rsidR="007A562D" w:rsidRPr="005F2CA3" w:rsidRDefault="007A562D" w:rsidP="00E7342B">
      <w:pPr>
        <w:numPr>
          <w:ilvl w:val="0"/>
          <w:numId w:val="23"/>
        </w:numPr>
        <w:spacing w:after="0"/>
        <w:ind w:left="714" w:hanging="357"/>
      </w:pPr>
      <w:r w:rsidRPr="005F2CA3">
        <w:lastRenderedPageBreak/>
        <w:t>unijna perspektywa budżetowa na lata 2014-2020,</w:t>
      </w:r>
    </w:p>
    <w:p w:rsidR="007A562D" w:rsidRPr="005F2CA3" w:rsidRDefault="007A562D" w:rsidP="00E7342B">
      <w:pPr>
        <w:numPr>
          <w:ilvl w:val="0"/>
          <w:numId w:val="23"/>
        </w:numPr>
        <w:spacing w:after="0"/>
        <w:ind w:left="714" w:hanging="357"/>
      </w:pPr>
      <w:r w:rsidRPr="005F2CA3">
        <w:t xml:space="preserve">finansowanie przez </w:t>
      </w:r>
      <w:proofErr w:type="spellStart"/>
      <w:r w:rsidRPr="005F2CA3">
        <w:t>NFOŚiGW</w:t>
      </w:r>
      <w:proofErr w:type="spellEnd"/>
      <w:r w:rsidRPr="005F2CA3">
        <w:t>,</w:t>
      </w:r>
    </w:p>
    <w:p w:rsidR="007A562D" w:rsidRPr="005F2CA3" w:rsidRDefault="007A562D" w:rsidP="00E7342B">
      <w:pPr>
        <w:numPr>
          <w:ilvl w:val="0"/>
          <w:numId w:val="23"/>
        </w:numPr>
        <w:spacing w:after="0"/>
        <w:ind w:left="714" w:hanging="357"/>
      </w:pPr>
      <w:r w:rsidRPr="005F2CA3">
        <w:t xml:space="preserve">finansowanie przez </w:t>
      </w:r>
      <w:proofErr w:type="spellStart"/>
      <w:r w:rsidRPr="005F2CA3">
        <w:t>WFOŚiGW</w:t>
      </w:r>
      <w:proofErr w:type="spellEnd"/>
      <w:r w:rsidRPr="005F2CA3">
        <w:t>,</w:t>
      </w:r>
    </w:p>
    <w:p w:rsidR="007A562D" w:rsidRPr="005F2CA3" w:rsidRDefault="007A562D" w:rsidP="00E7342B">
      <w:pPr>
        <w:numPr>
          <w:ilvl w:val="0"/>
          <w:numId w:val="23"/>
        </w:numPr>
        <w:spacing w:after="0"/>
        <w:ind w:left="714" w:hanging="357"/>
      </w:pPr>
      <w:r w:rsidRPr="005F2CA3">
        <w:t>inne programy krajowe i międzynarodowe.</w:t>
      </w:r>
    </w:p>
    <w:p w:rsidR="007A562D" w:rsidRPr="00300361" w:rsidRDefault="007A562D" w:rsidP="007A562D">
      <w:pPr>
        <w:rPr>
          <w:szCs w:val="23"/>
        </w:rPr>
      </w:pPr>
    </w:p>
    <w:p w:rsidR="007A562D" w:rsidRDefault="007A562D" w:rsidP="00A10D06">
      <w:pPr>
        <w:pStyle w:val="Nagwek3"/>
        <w:numPr>
          <w:ilvl w:val="2"/>
          <w:numId w:val="1"/>
        </w:numPr>
      </w:pPr>
      <w:bookmarkStart w:id="62" w:name="_Toc438118380"/>
      <w:r>
        <w:t>Źródła finansowania na poziomie międzynarodowym</w:t>
      </w:r>
      <w:bookmarkEnd w:id="62"/>
    </w:p>
    <w:p w:rsidR="007A562D" w:rsidRPr="007A562D" w:rsidRDefault="007A562D" w:rsidP="007A562D"/>
    <w:p w:rsidR="002674C0" w:rsidRDefault="002674C0" w:rsidP="002674C0">
      <w:r>
        <w:t xml:space="preserve">Mechanizm Finansowy EOG i Norweski Mechanizm Finansowy to bezzwrotna pomoc finansowa, którą Polska otrzymała od trzech krajów Europejskiego Stowarzyszenia Wolnego Handlu – Norwegii, Islandii i Lichtensteinu, które to kraje są jednocześnie członkami Europejskiego Obszaru Gospodarczego. Polska wstępując do Unii Europejskiej, przystąpiła jednocześnie do Europejskiego Obszaru Gospodarczego. </w:t>
      </w:r>
    </w:p>
    <w:p w:rsidR="002674C0" w:rsidRPr="000466C2" w:rsidRDefault="002674C0" w:rsidP="002674C0">
      <w:pPr>
        <w:rPr>
          <w:b/>
        </w:rPr>
      </w:pPr>
      <w:r w:rsidRPr="000466C2">
        <w:t>Na</w:t>
      </w:r>
      <w:r>
        <w:t xml:space="preserve"> mocy Umowy o powiększeniu EOG </w:t>
      </w:r>
      <w:r w:rsidRPr="000466C2">
        <w:t xml:space="preserve">z 14 października 2003 r. ustanowiona została pomoc finansowa dla krajów Europejskiego Stowarzyszenia Wolnego Handlu, tworzących EOG. </w:t>
      </w:r>
      <w:r>
        <w:t>W </w:t>
      </w:r>
      <w:r w:rsidRPr="000466C2">
        <w:t>październiku 2004 roku polski rząd podpisując dwie umowy,</w:t>
      </w:r>
      <w:r>
        <w:t xml:space="preserve"> upoważnił się do korzystania z </w:t>
      </w:r>
      <w:r w:rsidRPr="000466C2">
        <w:t xml:space="preserve">innych, oprócz funduszy strukturalnych i Funduszu Spójności Unii Europejskiej, źródeł bezzwrotnej pomocy zagranicznej: Memorandum of </w:t>
      </w:r>
      <w:proofErr w:type="spellStart"/>
      <w:r w:rsidRPr="000466C2">
        <w:t>Understanding</w:t>
      </w:r>
      <w:proofErr w:type="spellEnd"/>
      <w:r w:rsidRPr="000466C2">
        <w:t xml:space="preserve"> wdrażania Mechanizmu Finansowego Europejskiego Obszaru Gospodarczego oraz Memorandum of </w:t>
      </w:r>
      <w:proofErr w:type="spellStart"/>
      <w:r w:rsidRPr="000466C2">
        <w:t>Understanding</w:t>
      </w:r>
      <w:proofErr w:type="spellEnd"/>
      <w:r w:rsidRPr="000466C2">
        <w:t xml:space="preserve"> wdrażania Norweskiego Mechanizmu Finansowego. Darczyńcami są 3 </w:t>
      </w:r>
      <w:r>
        <w:t xml:space="preserve">kraje EFTA: Norwegia, Islandia </w:t>
      </w:r>
      <w:r w:rsidRPr="000466C2">
        <w:t xml:space="preserve">i Liechtenstein. Obydwa programy obowiązują jednolite </w:t>
      </w:r>
      <w:r>
        <w:t xml:space="preserve">zasady i procedury oraz zależą </w:t>
      </w:r>
      <w:r w:rsidRPr="000466C2">
        <w:t>od jednego systemu zarządzania i wdrażania w Polsce. Koordynację nad tymi Mechanizmami sprawuje Ministerstwo Rozwoju Regionalneg</w:t>
      </w:r>
      <w:r>
        <w:t xml:space="preserve">o. Wprowadzanie tych programów </w:t>
      </w:r>
      <w:r w:rsidRPr="000466C2">
        <w:t xml:space="preserve">na terytorium Polski ma miejsce na podstawie Regulacji </w:t>
      </w:r>
      <w:proofErr w:type="spellStart"/>
      <w:r w:rsidRPr="000466C2">
        <w:t>ws</w:t>
      </w:r>
      <w:proofErr w:type="spellEnd"/>
      <w:r w:rsidRPr="000466C2">
        <w:t>. Wdrażania MF EOG i NMF, uwzględniając jednocześnie wytyczne przygotowane przez państwa- darczyńców.</w:t>
      </w:r>
    </w:p>
    <w:p w:rsidR="002674C0" w:rsidRPr="000466C2" w:rsidRDefault="002674C0" w:rsidP="002674C0">
      <w:r w:rsidRPr="000466C2">
        <w:t>Jednym z przykładowych programów finansowanych w ramach mechanizmu EOG jest: Program operacyjny PL04 „Oszczędzanie energii i promowanie odnawialnych źródeł energii” realizowany w ramach Norweskiego Mechanizmu Finansowego 2009-2014. Jego głównym celem jest ograniczenie emisji gazów cieplarnianych i zanieczyszczeń powietrza oraz zwiększenie udziału energii ze źródeł odnawialnych w bilansie zużycia energii. Pro</w:t>
      </w:r>
      <w:r>
        <w:t>gramem tym objęte są projekty w </w:t>
      </w:r>
      <w:r w:rsidRPr="000466C2">
        <w:t>ramach Programu pn: „Zmniejszenie produkcji odpadów i emisji zanieczyszczeń do powietrza, wody i ziemi” mające na celu modernizację lub odbudowę is</w:t>
      </w:r>
      <w:r>
        <w:t xml:space="preserve">tniejących źródeł ciepła wraz </w:t>
      </w:r>
      <w:r>
        <w:lastRenderedPageBreak/>
        <w:t>z </w:t>
      </w:r>
      <w:r w:rsidRPr="000466C2">
        <w:t>odnową procesu spalania lub korzystania z innych nośników energii. Dofinansowaniu nie podlegają projekty budowania nowych źródeł ciepła lub budowania/unowocześniania</w:t>
      </w:r>
      <w:r>
        <w:t>,</w:t>
      </w:r>
      <w:r w:rsidRPr="000466C2">
        <w:t xml:space="preserve"> czy wymieniania źródeł zastępczych lub awaryjnych</w:t>
      </w:r>
      <w:r>
        <w:t xml:space="preserve">, </w:t>
      </w:r>
      <w:r w:rsidRPr="000466C2">
        <w:t xml:space="preserve">a także projekty dotyczące </w:t>
      </w:r>
      <w:proofErr w:type="spellStart"/>
      <w:r w:rsidRPr="000466C2">
        <w:t>współspalania</w:t>
      </w:r>
      <w:proofErr w:type="spellEnd"/>
      <w:r w:rsidRPr="000466C2">
        <w:t xml:space="preserve"> węgla z biomasą. Pierwszeństwo natomiast mają projekty polegające na modernizacji</w:t>
      </w:r>
      <w:r>
        <w:t xml:space="preserve"> źródeł ciepła o </w:t>
      </w:r>
      <w:r w:rsidRPr="000466C2">
        <w:t>najwyższym wskaźniku obniżenia emisji dwutlenku węgla. Minimalna wartość ograniczenia emisji CO</w:t>
      </w:r>
      <w:r w:rsidRPr="000466C2">
        <w:rPr>
          <w:vertAlign w:val="subscript"/>
        </w:rPr>
        <w:t>2</w:t>
      </w:r>
      <w:r w:rsidRPr="000466C2">
        <w:t xml:space="preserve"> wynosi 100 000 Mg/rok.</w:t>
      </w:r>
    </w:p>
    <w:p w:rsidR="007A562D" w:rsidRPr="0002100F" w:rsidRDefault="007A562D" w:rsidP="0002100F">
      <w:pPr>
        <w:spacing w:line="240" w:lineRule="auto"/>
        <w:rPr>
          <w:sz w:val="16"/>
          <w:szCs w:val="16"/>
        </w:rPr>
      </w:pPr>
    </w:p>
    <w:p w:rsidR="002674C0" w:rsidRDefault="002674C0" w:rsidP="00A10D06">
      <w:pPr>
        <w:pStyle w:val="Nagwek3"/>
        <w:numPr>
          <w:ilvl w:val="2"/>
          <w:numId w:val="1"/>
        </w:numPr>
      </w:pPr>
      <w:bookmarkStart w:id="63" w:name="_Toc438118381"/>
      <w:r>
        <w:t>Źródła finansowania na poziomie krajowym</w:t>
      </w:r>
      <w:bookmarkEnd w:id="63"/>
    </w:p>
    <w:p w:rsidR="002674C0" w:rsidRPr="002674C0" w:rsidRDefault="002674C0" w:rsidP="002674C0"/>
    <w:p w:rsidR="00AA1BCC" w:rsidRPr="005D21B5" w:rsidRDefault="00AA1BCC" w:rsidP="00AA1BCC">
      <w:pPr>
        <w:spacing w:before="120" w:after="120"/>
        <w:rPr>
          <w:b/>
        </w:rPr>
      </w:pPr>
      <w:r w:rsidRPr="005D21B5">
        <w:rPr>
          <w:b/>
        </w:rPr>
        <w:t>Program Operacyjny Infrastruktura i Środowisko 2014-2020 (</w:t>
      </w:r>
      <w:proofErr w:type="spellStart"/>
      <w:r w:rsidRPr="005D21B5">
        <w:rPr>
          <w:b/>
        </w:rPr>
        <w:t>POIiŚ</w:t>
      </w:r>
      <w:proofErr w:type="spellEnd"/>
      <w:r w:rsidRPr="005D21B5">
        <w:rPr>
          <w:b/>
        </w:rPr>
        <w:t>), Oś priorytetowa</w:t>
      </w:r>
      <w:r w:rsidR="00DC209A">
        <w:rPr>
          <w:b/>
        </w:rPr>
        <w:t xml:space="preserve"> I </w:t>
      </w:r>
      <w:r w:rsidRPr="005D21B5">
        <w:rPr>
          <w:b/>
        </w:rPr>
        <w:t xml:space="preserve"> zmniejszenie emisyjności gospodarki. </w:t>
      </w:r>
    </w:p>
    <w:p w:rsidR="00AA1BCC" w:rsidRPr="00AA1BCC" w:rsidRDefault="00AA1BCC" w:rsidP="00AA1BCC">
      <w:pPr>
        <w:spacing w:line="240" w:lineRule="auto"/>
        <w:rPr>
          <w:sz w:val="16"/>
          <w:szCs w:val="16"/>
        </w:rPr>
      </w:pPr>
    </w:p>
    <w:p w:rsidR="00AA1BCC" w:rsidRPr="005D21B5" w:rsidRDefault="00AA1BCC" w:rsidP="00AA1BCC">
      <w:r w:rsidRPr="005D21B5">
        <w:t xml:space="preserve">Jednym z czterech głównych celów tematycznych, tworzących cztery podstawowe obszary interwencji </w:t>
      </w:r>
      <w:proofErr w:type="spellStart"/>
      <w:r w:rsidRPr="005D21B5">
        <w:t>POIiŚ</w:t>
      </w:r>
      <w:proofErr w:type="spellEnd"/>
      <w:r w:rsidRPr="005D21B5">
        <w:t xml:space="preserve"> 2014-2020, jest gospodarka niskoemisyjna, w ramach której najbardziej oszczędnym sposobem redukcji emisji jest efektywne korzystanie z istniejących zasobów energii. Przewidziano działania w następujących priorytetach inwestycyjnych:</w:t>
      </w:r>
    </w:p>
    <w:p w:rsidR="00AA1BCC" w:rsidRPr="005D21B5" w:rsidRDefault="00AA1BCC" w:rsidP="00AA1BCC">
      <w:r w:rsidRPr="005D21B5">
        <w:t xml:space="preserve">4.1 </w:t>
      </w:r>
      <w:r w:rsidRPr="005D21B5">
        <w:rPr>
          <w:u w:val="single"/>
        </w:rPr>
        <w:t>Wspieranie wytwarzania i dystrybucji energii pochodzącej ze źródeł odnawialnych.</w:t>
      </w:r>
      <w:r w:rsidRPr="005D21B5">
        <w:t xml:space="preserve"> Polega na wsparciu budowy i rozbudowy lądowych farm wiatrowych, instalacji na biomasę, instalacji na biogaz, sieci przesyłowych i dystrybucyjnych, umożliwiających przyłączenia do KSE.</w:t>
      </w:r>
    </w:p>
    <w:p w:rsidR="00AA1BCC" w:rsidRPr="005D21B5" w:rsidRDefault="00AA1BCC" w:rsidP="00AA1BCC">
      <w:r w:rsidRPr="005D21B5">
        <w:t xml:space="preserve">4.2 </w:t>
      </w:r>
      <w:r w:rsidRPr="005D21B5">
        <w:rPr>
          <w:u w:val="single"/>
        </w:rPr>
        <w:t>Promowanie efektywności energetycznej i korzystania z odnawialnych źródeł energii w przedsiębiorstwach.</w:t>
      </w:r>
      <w:r w:rsidRPr="005D21B5">
        <w:t xml:space="preserve"> Polega na wsparciu w zakresie zastosowania energooszczędnych (energia elektryczna, ciepło, chłód, woda) technologii produkcji, a także wprowadzaniu systemów zarządzania energią oraz budowie własnych instalacji OZE, jak również zmianie systemu wytwarzania lub wykorzystania paliw i energii.</w:t>
      </w:r>
    </w:p>
    <w:p w:rsidR="00AA1BCC" w:rsidRPr="005D21B5" w:rsidRDefault="00AA1BCC" w:rsidP="00AA1BCC">
      <w:r w:rsidRPr="005D21B5">
        <w:t xml:space="preserve">4.3 </w:t>
      </w:r>
      <w:r w:rsidRPr="005D21B5">
        <w:rPr>
          <w:u w:val="single"/>
        </w:rPr>
        <w:t>Wspieranie efektywności energetycznej, inteligentnego zarządzania energią i wykorzystania odnawialnych źródeł energii w infrastrukturze publicznej, w tym w budynkach publicznych, i w sektorze mieszkaniowym</w:t>
      </w:r>
      <w:r w:rsidRPr="005D21B5">
        <w:t>. Polega na wsparciu kompleksowej modernizacji energetycznej budynków użyteczności publicznej i budynków mieszkalnych wraz z wymianą wyposażenia obiektów na energooszczędne (m.in. ocieplenie obiektu, wymiana okien, drzwi zewnętrznych oraz oświetlenia na energooszczędne, przebudowa systemów grzewczych, wentylacji i klimatyzacji), instalacją OZE w modernizowanych energetycznie budynkach.</w:t>
      </w:r>
    </w:p>
    <w:p w:rsidR="00AA1BCC" w:rsidRPr="005D21B5" w:rsidRDefault="00AA1BCC" w:rsidP="00AA1BCC">
      <w:r w:rsidRPr="005D21B5">
        <w:rPr>
          <w:u w:val="single"/>
        </w:rPr>
        <w:lastRenderedPageBreak/>
        <w:t>4.4 Rozwijanie i wdrażanie inteligentnych systemów dystrybucji działających na niskich i średnich poziomach napięcia.</w:t>
      </w:r>
      <w:r w:rsidRPr="005D21B5">
        <w:t xml:space="preserve"> Polega na wsparciu budowy lub przebudowy w kierunku inteligentnych sieci dystrybucyjnych średniego, niskiego napięcia dedykowanych zwiększeniu wytwarzania w OZE i/lub ograniczaniu zużycia energii, kompleksowe pilotażowe i demonstracyjne projekty wdrażające inteligentne rozwiązania na danym obszarze mające na celu optymalizację wykorzystania energii wytworzonej z OZE i/lub racjonalizację zużycia energii oraz inteligentny system pomiarowy.</w:t>
      </w:r>
    </w:p>
    <w:p w:rsidR="00AA1BCC" w:rsidRPr="005D21B5" w:rsidRDefault="00AA1BCC" w:rsidP="00AA1BCC">
      <w:r w:rsidRPr="005D21B5">
        <w:rPr>
          <w:u w:val="single"/>
        </w:rPr>
        <w:t>4.5. 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Pr="005D21B5">
        <w:t xml:space="preserve"> Polega na wsparciu rozbudowy lub modernizacji sieci ciepłowniczej i chłodniczej, także poprzez wdrażanie systemów zarządzania ciepłem i chłodem wraz z infrastrukturą wspomagającą oraz wymiana źródeł ciepła.</w:t>
      </w:r>
    </w:p>
    <w:p w:rsidR="00AA1BCC" w:rsidRPr="005D21B5" w:rsidRDefault="00AA1BCC" w:rsidP="00AA1BCC">
      <w:r w:rsidRPr="005D21B5">
        <w:rPr>
          <w:u w:val="single"/>
        </w:rPr>
        <w:t xml:space="preserve">4.6 Promowanie wykorzystywania wysokosprawnej </w:t>
      </w:r>
      <w:proofErr w:type="spellStart"/>
      <w:r w:rsidRPr="005D21B5">
        <w:rPr>
          <w:u w:val="single"/>
        </w:rPr>
        <w:t>kogeneracji</w:t>
      </w:r>
      <w:proofErr w:type="spellEnd"/>
      <w:r w:rsidRPr="005D21B5">
        <w:rPr>
          <w:u w:val="single"/>
        </w:rPr>
        <w:t xml:space="preserve"> ciepła i energii elektrycznej w oparciu o zapotrzebowanie na ciepło użytkowe.</w:t>
      </w:r>
      <w:r w:rsidRPr="005D21B5">
        <w:t xml:space="preserve"> Polega na wsparciu budowy/przebudowy jednostek wytwarzania energii elektrycznej i ciepła w skojarzeniu, budowy/przebudowy jednostek wytwarzania energii elektrycznej i ciepła w skojarzeniu z OZE, budowy/przebudowy jednostek wytwarzania ciepła, w wyniku której jednostki te zostaną zastąpione jednostkami wytwarzania energii w skojarzeniu, budowy/przebudowy jednostek wytwarzania ciepła w wyniku której jednostki te zostaną zastąpione jednostkami wytwarzania energii w skojarzeniu z OZE, budowy przyłączeń do sieci ciepłowniczych do wykorzystania ciepła użytkowego wyprodukowanego w jednostkach wytwarzania energii elektrycznej i ciepła w skojarzeniu wraz z budową przyłączy wyprowadzających energię do krajowego systemu przesyłowego</w:t>
      </w:r>
    </w:p>
    <w:p w:rsidR="00AA1BCC" w:rsidRPr="005D21B5" w:rsidRDefault="00AA1BCC" w:rsidP="00AA1BCC">
      <w:pPr>
        <w:spacing w:line="240" w:lineRule="auto"/>
        <w:rPr>
          <w:b/>
        </w:rPr>
      </w:pPr>
    </w:p>
    <w:p w:rsidR="00AA1BCC" w:rsidRPr="005D21B5" w:rsidRDefault="00AA1BCC" w:rsidP="006B7A91">
      <w:pPr>
        <w:spacing w:before="120" w:after="120"/>
        <w:rPr>
          <w:b/>
        </w:rPr>
      </w:pPr>
      <w:r w:rsidRPr="005D21B5">
        <w:rPr>
          <w:b/>
        </w:rPr>
        <w:t>Program Rozwoju Obszarów Wiejskich na lata 2014-2020</w:t>
      </w:r>
    </w:p>
    <w:p w:rsidR="00927C61" w:rsidRDefault="00927C61" w:rsidP="00AA1BCC"/>
    <w:p w:rsidR="00AA1BCC" w:rsidRPr="005D21B5" w:rsidRDefault="00AA1BCC" w:rsidP="00AA1BCC">
      <w:r w:rsidRPr="005D21B5">
        <w:t xml:space="preserve">Program Rozwoju Obszarów Wiejskich (PROW) w latach 2014-2020 będzie realizował wszystkie sześć priorytetów wyznaczonych dla wspólnotowej polityki rozwoju obszarów wiejskich </w:t>
      </w:r>
      <w:r w:rsidRPr="006F2005">
        <w:t xml:space="preserve">w odniesieniu do celów strategii Europa 2020. W kontekście zapisów </w:t>
      </w:r>
      <w:r w:rsidRPr="006F2005">
        <w:rPr>
          <w:iCs/>
        </w:rPr>
        <w:t>Planu</w:t>
      </w:r>
      <w:r w:rsidR="004206EE" w:rsidRPr="006F2005">
        <w:rPr>
          <w:iCs/>
        </w:rPr>
        <w:t xml:space="preserve"> </w:t>
      </w:r>
      <w:r w:rsidRPr="006F2005">
        <w:t>należy wyszczególnić</w:t>
      </w:r>
      <w:r w:rsidRPr="005D21B5">
        <w:t xml:space="preserve"> Priorytet 5 </w:t>
      </w:r>
      <w:r w:rsidRPr="005D21B5">
        <w:rPr>
          <w:bCs/>
          <w:i/>
        </w:rPr>
        <w:t>Wspieranie efektywnego gospodarowania zasobami i przechodzenia na gospodarkę niskoemisyjną i odporną na zmianę klimatu w sektorach rolnym, spożywczym i leśnym</w:t>
      </w:r>
      <w:r w:rsidRPr="005D21B5">
        <w:t xml:space="preserve">. </w:t>
      </w:r>
    </w:p>
    <w:p w:rsidR="00AA1BCC" w:rsidRPr="005D21B5" w:rsidRDefault="00AA1BCC" w:rsidP="00AA1BCC">
      <w:r w:rsidRPr="005D21B5">
        <w:rPr>
          <w:b/>
        </w:rPr>
        <w:lastRenderedPageBreak/>
        <w:t>Cele szczegółowe w ramach priorytetu zostały określone następująco</w:t>
      </w:r>
      <w:r w:rsidRPr="005D21B5">
        <w:t xml:space="preserve">: </w:t>
      </w:r>
    </w:p>
    <w:p w:rsidR="00AA1BCC" w:rsidRPr="005D21B5" w:rsidRDefault="00AA1BCC" w:rsidP="00E7342B">
      <w:pPr>
        <w:numPr>
          <w:ilvl w:val="0"/>
          <w:numId w:val="24"/>
        </w:numPr>
        <w:spacing w:before="120" w:after="120"/>
      </w:pPr>
      <w:r w:rsidRPr="005D21B5">
        <w:t>Poprawa efektywności korzystania z zasobów wodnych w rolnictwie;</w:t>
      </w:r>
    </w:p>
    <w:p w:rsidR="00AA1BCC" w:rsidRPr="005D21B5" w:rsidRDefault="00AA1BCC" w:rsidP="00E7342B">
      <w:pPr>
        <w:numPr>
          <w:ilvl w:val="0"/>
          <w:numId w:val="24"/>
        </w:numPr>
        <w:spacing w:before="120" w:after="120"/>
      </w:pPr>
      <w:r w:rsidRPr="005D21B5">
        <w:t>Poprawa efektywności korzystania z energii w rolnictwie i przetwórstwie spożywczym;</w:t>
      </w:r>
    </w:p>
    <w:p w:rsidR="00AA1BCC" w:rsidRPr="005D21B5" w:rsidRDefault="00AA1BCC" w:rsidP="00E7342B">
      <w:pPr>
        <w:numPr>
          <w:ilvl w:val="0"/>
          <w:numId w:val="24"/>
        </w:numPr>
        <w:spacing w:before="120" w:after="120"/>
      </w:pPr>
      <w:r w:rsidRPr="005D21B5">
        <w:t xml:space="preserve">Ułatwianie dostaw i wykorzystywania odnawialnych źródeł energii produktów ubocznych, odpadów, pozostałości i innych surowców nieżywnościowych dla celów </w:t>
      </w:r>
      <w:proofErr w:type="spellStart"/>
      <w:r w:rsidRPr="005D21B5">
        <w:t>bio-gospodarki</w:t>
      </w:r>
      <w:proofErr w:type="spellEnd"/>
      <w:r w:rsidRPr="005D21B5">
        <w:t>;</w:t>
      </w:r>
    </w:p>
    <w:p w:rsidR="00AA1BCC" w:rsidRPr="005D21B5" w:rsidRDefault="00AA1BCC" w:rsidP="00E7342B">
      <w:pPr>
        <w:numPr>
          <w:ilvl w:val="0"/>
          <w:numId w:val="24"/>
        </w:numPr>
        <w:spacing w:before="120" w:after="120"/>
      </w:pPr>
      <w:r w:rsidRPr="005D21B5">
        <w:t>Redukcja emisji podtlenku azotu i metanu z rolnictwa;</w:t>
      </w:r>
    </w:p>
    <w:p w:rsidR="00AA1BCC" w:rsidRPr="005D21B5" w:rsidRDefault="00AA1BCC" w:rsidP="00E7342B">
      <w:pPr>
        <w:numPr>
          <w:ilvl w:val="0"/>
          <w:numId w:val="24"/>
        </w:numPr>
        <w:spacing w:before="120" w:after="120"/>
      </w:pPr>
      <w:r w:rsidRPr="005D21B5">
        <w:t>Promowanie pochłaniania dwutlenku węgla w rolnictwie i leśnictwie.</w:t>
      </w:r>
    </w:p>
    <w:p w:rsidR="00AA1BCC" w:rsidRPr="005D21B5" w:rsidRDefault="00AA1BCC" w:rsidP="00AA1BCC">
      <w:r w:rsidRPr="005D21B5">
        <w:t xml:space="preserve">Za najważniejsze uznano prowadzenie działań służących ograniczaniu emisji gazów cieplarnianych w rolnictwie i leśnictwie, jak również zwiększanie pochłaniania dwutlenku węgla poprzez odpowiednie użytkowanie gruntów rolnych i leśnych. Rozumie się przez to zwiększanie powierzchni leśnej. W działaniu 5e </w:t>
      </w:r>
      <w:r w:rsidRPr="005D21B5">
        <w:rPr>
          <w:bCs/>
          <w:i/>
        </w:rPr>
        <w:t>Zalesianie i tworzenie terenu zalesionego</w:t>
      </w:r>
      <w:r w:rsidR="000117A8">
        <w:rPr>
          <w:bCs/>
          <w:i/>
        </w:rPr>
        <w:t xml:space="preserve"> </w:t>
      </w:r>
      <w:r w:rsidRPr="005D21B5">
        <w:t xml:space="preserve">rekomenduje się, aby zalesiać grunty niskiej jakości, których rolnicze użytkowanie jest ekonomicznie nieuzasadnione. </w:t>
      </w:r>
    </w:p>
    <w:p w:rsidR="00AA1BCC" w:rsidRPr="005D21B5" w:rsidRDefault="00AA1BCC" w:rsidP="00AA1BCC">
      <w:r w:rsidRPr="005D21B5">
        <w:t xml:space="preserve">Ponadto w priorytecie 2 oraz 3 w ramach działania </w:t>
      </w:r>
      <w:r w:rsidRPr="005D21B5">
        <w:rPr>
          <w:bCs/>
          <w:i/>
        </w:rPr>
        <w:t>Inwestycje w środki trwałe</w:t>
      </w:r>
      <w:r w:rsidR="000117A8">
        <w:rPr>
          <w:bCs/>
          <w:i/>
        </w:rPr>
        <w:t xml:space="preserve"> </w:t>
      </w:r>
      <w:r w:rsidRPr="005D21B5">
        <w:t>wspierane będą przedsiębiorstwa i gospodarstwa, w których efektem dodatkowym modernizacji będzie oszczędność wody, energii, wykorzystanie produktów ubocznych lub odpadowych, wykorzystanie OZE lub produkcja surowców odnawialnych do produkcji energii.</w:t>
      </w:r>
    </w:p>
    <w:p w:rsidR="00927C61" w:rsidRDefault="00927C61">
      <w:pPr>
        <w:spacing w:line="276" w:lineRule="auto"/>
        <w:jc w:val="left"/>
      </w:pPr>
      <w:r>
        <w:br w:type="page"/>
      </w:r>
    </w:p>
    <w:p w:rsidR="006C4E82" w:rsidRDefault="00927C61" w:rsidP="00A10D06">
      <w:pPr>
        <w:pStyle w:val="Nagwek3"/>
        <w:numPr>
          <w:ilvl w:val="2"/>
          <w:numId w:val="1"/>
        </w:numPr>
        <w:ind w:left="1418" w:hanging="698"/>
      </w:pPr>
      <w:bookmarkStart w:id="64" w:name="_Toc438118382"/>
      <w:r>
        <w:lastRenderedPageBreak/>
        <w:t>Finansowanie przez Narodowy Fundusz Ochrony Środowiska i Gospodarki Wodnej</w:t>
      </w:r>
      <w:bookmarkEnd w:id="64"/>
    </w:p>
    <w:p w:rsidR="00927C61" w:rsidRDefault="00927C61" w:rsidP="00927C61"/>
    <w:p w:rsidR="00927C61" w:rsidRDefault="00927C61" w:rsidP="00927C61">
      <w:pPr>
        <w:rPr>
          <w:szCs w:val="24"/>
        </w:rPr>
      </w:pPr>
      <w:proofErr w:type="spellStart"/>
      <w:r>
        <w:t>NFOŚiGW</w:t>
      </w:r>
      <w:proofErr w:type="spellEnd"/>
      <w:r>
        <w:t xml:space="preserve"> prowadzi samodzielną gospodarkę finansową </w:t>
      </w:r>
      <w:r w:rsidRPr="00BB6FE1">
        <w:rPr>
          <w:szCs w:val="24"/>
        </w:rPr>
        <w:t>dział</w:t>
      </w:r>
      <w:r>
        <w:rPr>
          <w:szCs w:val="24"/>
        </w:rPr>
        <w:t>ając na podstawie ustawy Prawo Ochrony Ś</w:t>
      </w:r>
      <w:r w:rsidRPr="00BB6FE1">
        <w:rPr>
          <w:szCs w:val="24"/>
        </w:rPr>
        <w:t xml:space="preserve">rodowiska. Zapewnia m.in. wykorzystanie środków zagranicznych przeznaczonych </w:t>
      </w:r>
      <w:r>
        <w:rPr>
          <w:szCs w:val="24"/>
        </w:rPr>
        <w:br/>
      </w:r>
      <w:r w:rsidRPr="00BB6FE1">
        <w:rPr>
          <w:szCs w:val="24"/>
        </w:rPr>
        <w:t>na ochronę środowiska, dofinansowuje inwestycje z zakresu ochrony klimatu i redukcji emisji gazów cieplarnianych. Poniżej przedstawiono programy dotyczące ochron</w:t>
      </w:r>
      <w:r w:rsidRPr="00942076">
        <w:rPr>
          <w:szCs w:val="24"/>
        </w:rPr>
        <w:t>y</w:t>
      </w:r>
      <w:r w:rsidRPr="00BB6FE1">
        <w:rPr>
          <w:szCs w:val="24"/>
        </w:rPr>
        <w:t xml:space="preserve"> powietrza, realizowane ze środków </w:t>
      </w:r>
      <w:proofErr w:type="spellStart"/>
      <w:r w:rsidRPr="00BB6FE1">
        <w:rPr>
          <w:szCs w:val="24"/>
        </w:rPr>
        <w:t>NFOŚiGW</w:t>
      </w:r>
      <w:proofErr w:type="spellEnd"/>
      <w:r w:rsidRPr="00BB6FE1">
        <w:rPr>
          <w:szCs w:val="24"/>
        </w:rPr>
        <w:t>.</w:t>
      </w:r>
    </w:p>
    <w:p w:rsidR="00927C61" w:rsidRPr="00942076" w:rsidRDefault="00927C61" w:rsidP="00927C61">
      <w:pPr>
        <w:rPr>
          <w:b/>
          <w:szCs w:val="24"/>
        </w:rPr>
      </w:pPr>
      <w:r w:rsidRPr="00942076">
        <w:rPr>
          <w:b/>
          <w:szCs w:val="24"/>
        </w:rPr>
        <w:t>Poprawa jakości powietrza</w:t>
      </w:r>
    </w:p>
    <w:p w:rsidR="00927C61" w:rsidRPr="003F5B70" w:rsidRDefault="00927C61" w:rsidP="00927C61">
      <w:pPr>
        <w:rPr>
          <w:szCs w:val="24"/>
          <w:u w:val="single"/>
        </w:rPr>
      </w:pPr>
      <w:r w:rsidRPr="00942076">
        <w:rPr>
          <w:szCs w:val="24"/>
          <w:u w:val="single"/>
        </w:rPr>
        <w:t>KAWKA - Likwidacja niskiej emisji wspierająca wzrost efektywności energetycznej i rozwój rozproszonych odnawialnych źródeł energii.</w:t>
      </w:r>
      <w:r w:rsidRPr="00942076">
        <w:rPr>
          <w:szCs w:val="24"/>
        </w:rPr>
        <w:t xml:space="preserve"> Celem programu jest zmniejszenie narażenia ludności na oddziaływanie zanieczyszczeń powietrza w strefach, w których występują znaczące przekroczenia dopuszczalnych i docelowych poziomów stężeń tych zanieczyszczeń, poprzez opracowanie programów ochrony powietrza oraz poprzez zmniej</w:t>
      </w:r>
      <w:r>
        <w:rPr>
          <w:szCs w:val="24"/>
        </w:rPr>
        <w:t>szenie emisji zanieczyszczeń, w </w:t>
      </w:r>
      <w:r w:rsidRPr="00942076">
        <w:rPr>
          <w:szCs w:val="24"/>
        </w:rPr>
        <w:t>szczególności pyłów PM2,5, PM10 oraz emisji CO</w:t>
      </w:r>
      <w:r w:rsidRPr="00942076">
        <w:rPr>
          <w:szCs w:val="24"/>
          <w:vertAlign w:val="subscript"/>
        </w:rPr>
        <w:t>2</w:t>
      </w:r>
      <w:r w:rsidRPr="00942076">
        <w:rPr>
          <w:szCs w:val="24"/>
        </w:rPr>
        <w:t>.</w:t>
      </w:r>
    </w:p>
    <w:p w:rsidR="00927C61" w:rsidRPr="00942076" w:rsidRDefault="00927C61" w:rsidP="00927C61">
      <w:pPr>
        <w:rPr>
          <w:szCs w:val="24"/>
          <w:u w:val="single"/>
        </w:rPr>
      </w:pPr>
      <w:r w:rsidRPr="00942076">
        <w:rPr>
          <w:b/>
          <w:szCs w:val="24"/>
        </w:rPr>
        <w:t>Poprawa efektywności energetycznej</w:t>
      </w:r>
    </w:p>
    <w:p w:rsidR="00927C61" w:rsidRPr="00942076" w:rsidRDefault="00927C61" w:rsidP="00927C61">
      <w:pPr>
        <w:rPr>
          <w:szCs w:val="24"/>
        </w:rPr>
      </w:pPr>
      <w:r w:rsidRPr="00942076">
        <w:rPr>
          <w:szCs w:val="24"/>
          <w:u w:val="single"/>
        </w:rPr>
        <w:t>LEMUR Energooszczędne Budynki Użyteczności Publicznej.</w:t>
      </w:r>
      <w:r w:rsidRPr="00942076">
        <w:rPr>
          <w:szCs w:val="24"/>
        </w:rPr>
        <w:t xml:space="preserve"> Celem programu jest zmniejszenie zużycia energii, a w konsekwencji ograniczenie lub uniknięcie emisji CO</w:t>
      </w:r>
      <w:r w:rsidRPr="00942076">
        <w:rPr>
          <w:szCs w:val="24"/>
          <w:vertAlign w:val="subscript"/>
        </w:rPr>
        <w:t>2</w:t>
      </w:r>
      <w:r>
        <w:rPr>
          <w:szCs w:val="24"/>
        </w:rPr>
        <w:t xml:space="preserve"> w związku z </w:t>
      </w:r>
      <w:r w:rsidRPr="00942076">
        <w:rPr>
          <w:szCs w:val="24"/>
        </w:rPr>
        <w:t>projektowaniem i budową nowych energooszczędnych budynków użyteczności publicznej oraz zamieszkania zbiorowego. Przedsięwzięcie polegać będzie</w:t>
      </w:r>
      <w:r w:rsidR="006F2005">
        <w:rPr>
          <w:szCs w:val="24"/>
        </w:rPr>
        <w:t xml:space="preserve"> </w:t>
      </w:r>
      <w:r w:rsidRPr="00942076">
        <w:rPr>
          <w:szCs w:val="24"/>
        </w:rPr>
        <w:t>na projektowaniu i budowie</w:t>
      </w:r>
      <w:r>
        <w:rPr>
          <w:szCs w:val="24"/>
        </w:rPr>
        <w:t>,</w:t>
      </w:r>
      <w:r w:rsidRPr="00942076">
        <w:rPr>
          <w:szCs w:val="24"/>
        </w:rPr>
        <w:t xml:space="preserve"> lub tylko budowie</w:t>
      </w:r>
      <w:r>
        <w:rPr>
          <w:szCs w:val="24"/>
        </w:rPr>
        <w:t>,</w:t>
      </w:r>
      <w:r w:rsidRPr="00942076">
        <w:rPr>
          <w:szCs w:val="24"/>
        </w:rPr>
        <w:t xml:space="preserve"> nowych budynków użyteczności </w:t>
      </w:r>
      <w:r>
        <w:rPr>
          <w:szCs w:val="24"/>
        </w:rPr>
        <w:t xml:space="preserve">publicznej i </w:t>
      </w:r>
      <w:r w:rsidRPr="00942076">
        <w:rPr>
          <w:szCs w:val="24"/>
        </w:rPr>
        <w:t xml:space="preserve">zamieszkania zbiorowego. </w:t>
      </w:r>
    </w:p>
    <w:p w:rsidR="00927C61" w:rsidRPr="00942076" w:rsidRDefault="00927C61" w:rsidP="00927C61">
      <w:pPr>
        <w:rPr>
          <w:szCs w:val="24"/>
        </w:rPr>
      </w:pPr>
      <w:r w:rsidRPr="00942076">
        <w:rPr>
          <w:szCs w:val="24"/>
          <w:u w:val="single"/>
        </w:rPr>
        <w:t>Dopłaty do kredytów na budowę domów energooszczędnych.</w:t>
      </w:r>
      <w:r w:rsidRPr="00942076">
        <w:rPr>
          <w:szCs w:val="24"/>
        </w:rPr>
        <w:t xml:space="preserve"> Celem programu jest oszczędność energii i ograniczenie lub uniknięcie emisji CO</w:t>
      </w:r>
      <w:r w:rsidRPr="00942076">
        <w:rPr>
          <w:szCs w:val="24"/>
          <w:vertAlign w:val="subscript"/>
        </w:rPr>
        <w:t>2</w:t>
      </w:r>
      <w:r w:rsidRPr="00942076">
        <w:rPr>
          <w:szCs w:val="24"/>
        </w:rPr>
        <w:t xml:space="preserve"> poprzez dofinansowanie przedsięwzięć poprawiających efektywność wykorzystania energii w nowobudowanych budynkach mieszkalnych. Przedsięwzięcia, które mogą być realizowane to:</w:t>
      </w:r>
    </w:p>
    <w:p w:rsidR="00927C61" w:rsidRPr="00942076" w:rsidRDefault="00927C61" w:rsidP="00E7342B">
      <w:pPr>
        <w:numPr>
          <w:ilvl w:val="0"/>
          <w:numId w:val="26"/>
        </w:numPr>
        <w:spacing w:after="0"/>
        <w:ind w:left="714" w:hanging="357"/>
        <w:rPr>
          <w:szCs w:val="24"/>
        </w:rPr>
      </w:pPr>
      <w:r w:rsidRPr="00942076">
        <w:rPr>
          <w:szCs w:val="24"/>
        </w:rPr>
        <w:t xml:space="preserve">budowa domu jednorodzinnego; </w:t>
      </w:r>
    </w:p>
    <w:p w:rsidR="00927C61" w:rsidRPr="00942076" w:rsidRDefault="00927C61" w:rsidP="00E7342B">
      <w:pPr>
        <w:numPr>
          <w:ilvl w:val="0"/>
          <w:numId w:val="26"/>
        </w:numPr>
        <w:spacing w:after="0"/>
        <w:ind w:left="714" w:hanging="357"/>
        <w:rPr>
          <w:szCs w:val="24"/>
        </w:rPr>
      </w:pPr>
      <w:r w:rsidRPr="00942076">
        <w:rPr>
          <w:szCs w:val="24"/>
        </w:rPr>
        <w:t xml:space="preserve">zakup nowego domu jednorodzinnego; </w:t>
      </w:r>
    </w:p>
    <w:p w:rsidR="00927C61" w:rsidRPr="00942076" w:rsidRDefault="00927C61" w:rsidP="00E7342B">
      <w:pPr>
        <w:numPr>
          <w:ilvl w:val="0"/>
          <w:numId w:val="26"/>
        </w:numPr>
        <w:spacing w:after="0"/>
        <w:ind w:left="714" w:hanging="357"/>
        <w:rPr>
          <w:szCs w:val="24"/>
        </w:rPr>
      </w:pPr>
      <w:r w:rsidRPr="00942076">
        <w:rPr>
          <w:szCs w:val="24"/>
        </w:rPr>
        <w:t xml:space="preserve">zakup lokalu mieszkalnego w nowym budynku mieszkalnym wielorodzinnym </w:t>
      </w:r>
    </w:p>
    <w:p w:rsidR="00927C61" w:rsidRPr="003F5B70" w:rsidRDefault="00927C61" w:rsidP="00927C61">
      <w:pPr>
        <w:spacing w:line="240" w:lineRule="auto"/>
        <w:rPr>
          <w:sz w:val="16"/>
          <w:szCs w:val="16"/>
          <w:u w:val="single"/>
        </w:rPr>
      </w:pPr>
    </w:p>
    <w:p w:rsidR="00927C61" w:rsidRPr="00942076" w:rsidRDefault="00927C61" w:rsidP="00927C61">
      <w:pPr>
        <w:rPr>
          <w:szCs w:val="24"/>
        </w:rPr>
      </w:pPr>
      <w:r w:rsidRPr="00942076">
        <w:rPr>
          <w:szCs w:val="24"/>
          <w:u w:val="single"/>
        </w:rPr>
        <w:lastRenderedPageBreak/>
        <w:t>Inwestycje energooszczędne w małych i średnich przedsiębiorstwach.</w:t>
      </w:r>
      <w:r w:rsidRPr="00942076">
        <w:rPr>
          <w:szCs w:val="24"/>
        </w:rPr>
        <w:t xml:space="preserve"> Celem programu jest ograniczenie zużycia energii w wyniku realizacji inwestycji w zakresie efektywności energetycznej i zastosowania odnawialnych źródeł energii w sektorze MŚP. W rezultacie realizacji programu nastąpi zmniejszenie emisji CO</w:t>
      </w:r>
      <w:r w:rsidRPr="00942076">
        <w:rPr>
          <w:szCs w:val="24"/>
          <w:vertAlign w:val="subscript"/>
        </w:rPr>
        <w:t>2</w:t>
      </w:r>
      <w:r w:rsidRPr="00942076">
        <w:rPr>
          <w:szCs w:val="24"/>
        </w:rPr>
        <w:t>. Przedsięwzięcia, które mogą być realizowane to:</w:t>
      </w:r>
    </w:p>
    <w:p w:rsidR="00927C61" w:rsidRPr="00942076" w:rsidRDefault="00927C61" w:rsidP="00E7342B">
      <w:pPr>
        <w:numPr>
          <w:ilvl w:val="0"/>
          <w:numId w:val="27"/>
        </w:numPr>
        <w:spacing w:after="0"/>
        <w:ind w:left="714" w:hanging="357"/>
        <w:rPr>
          <w:szCs w:val="24"/>
        </w:rPr>
      </w:pPr>
      <w:r w:rsidRPr="00942076">
        <w:rPr>
          <w:szCs w:val="24"/>
        </w:rPr>
        <w:t xml:space="preserve">poprawa efektywności energetycznej i/lub zastosowanie odnawialnych źródeł energii, </w:t>
      </w:r>
    </w:p>
    <w:p w:rsidR="00927C61" w:rsidRPr="00942076" w:rsidRDefault="00927C61" w:rsidP="00E7342B">
      <w:pPr>
        <w:numPr>
          <w:ilvl w:val="0"/>
          <w:numId w:val="27"/>
        </w:numPr>
        <w:spacing w:after="0"/>
        <w:ind w:left="714" w:hanging="357"/>
        <w:rPr>
          <w:szCs w:val="24"/>
        </w:rPr>
      </w:pPr>
      <w:r w:rsidRPr="00942076">
        <w:rPr>
          <w:szCs w:val="24"/>
        </w:rPr>
        <w:t xml:space="preserve">termomodernizacja budynku i/lub zastosowanie odnawialnych źródeł energii. </w:t>
      </w:r>
    </w:p>
    <w:p w:rsidR="00927C61" w:rsidRPr="00942076" w:rsidRDefault="00927C61" w:rsidP="00927C61">
      <w:pPr>
        <w:rPr>
          <w:szCs w:val="24"/>
        </w:rPr>
      </w:pPr>
    </w:p>
    <w:p w:rsidR="00927C61" w:rsidRPr="00942076" w:rsidRDefault="00927C61" w:rsidP="00927C61">
      <w:pPr>
        <w:rPr>
          <w:b/>
          <w:szCs w:val="24"/>
        </w:rPr>
      </w:pPr>
      <w:r w:rsidRPr="00942076">
        <w:rPr>
          <w:b/>
          <w:szCs w:val="24"/>
        </w:rPr>
        <w:t>Wspieranie rozproszonych, odnawialnych źródeł energii</w:t>
      </w:r>
    </w:p>
    <w:p w:rsidR="00927C61" w:rsidRPr="00942076" w:rsidRDefault="00927C61" w:rsidP="00927C61">
      <w:pPr>
        <w:rPr>
          <w:szCs w:val="24"/>
        </w:rPr>
      </w:pPr>
      <w:r w:rsidRPr="00942076">
        <w:rPr>
          <w:szCs w:val="24"/>
          <w:u w:val="single"/>
        </w:rPr>
        <w:t>BOCIAN – Rozproszone, odnawialne źródła energii.</w:t>
      </w:r>
      <w:r w:rsidRPr="00942076">
        <w:rPr>
          <w:szCs w:val="24"/>
        </w:rPr>
        <w:t xml:space="preserve"> Celem programu jest ograniczenie lub uniknięcie emisji CO</w:t>
      </w:r>
      <w:r w:rsidRPr="00942076">
        <w:rPr>
          <w:szCs w:val="24"/>
          <w:vertAlign w:val="subscript"/>
        </w:rPr>
        <w:t>2</w:t>
      </w:r>
      <w:r w:rsidRPr="00942076">
        <w:rPr>
          <w:szCs w:val="24"/>
        </w:rPr>
        <w:t xml:space="preserve"> w wyniku zwiększenia produkcji energii z odnawialnych źródeł poprzez zakup i montaż małych lub </w:t>
      </w:r>
      <w:proofErr w:type="spellStart"/>
      <w:r w:rsidRPr="00942076">
        <w:rPr>
          <w:szCs w:val="24"/>
        </w:rPr>
        <w:t>mikroinstalacji</w:t>
      </w:r>
      <w:proofErr w:type="spellEnd"/>
      <w:r w:rsidRPr="00942076">
        <w:rPr>
          <w:szCs w:val="24"/>
        </w:rPr>
        <w:t xml:space="preserve"> odnawialnych źródeł energii do produkcji ciepła lub energii elektrycznej, dla osób fizycznych, wspólnot lub spółdzielni mieszkaniowych. Przedsięwzięcie polega na zakupie i montażu nowych instalacji </w:t>
      </w:r>
      <w:proofErr w:type="spellStart"/>
      <w:r w:rsidRPr="00942076">
        <w:rPr>
          <w:szCs w:val="24"/>
        </w:rPr>
        <w:t>mikroinstalacji</w:t>
      </w:r>
      <w:proofErr w:type="spellEnd"/>
      <w:r w:rsidRPr="00942076">
        <w:rPr>
          <w:szCs w:val="24"/>
        </w:rPr>
        <w:t xml:space="preserve"> odnawialnych źródeł energii do produkcji: energii elektrycznej </w:t>
      </w:r>
      <w:r>
        <w:rPr>
          <w:szCs w:val="24"/>
        </w:rPr>
        <w:t xml:space="preserve">lub </w:t>
      </w:r>
      <w:r w:rsidRPr="00942076">
        <w:rPr>
          <w:szCs w:val="24"/>
        </w:rPr>
        <w:t xml:space="preserve">ciepła i energii elektrycznej na potrzeby istniejących lub będących w budowie budynków mieszkalnych jednorodzinnych lub wielorodzinnych. </w:t>
      </w:r>
    </w:p>
    <w:p w:rsidR="00927C61" w:rsidRPr="00942076" w:rsidRDefault="00927C61" w:rsidP="00927C61">
      <w:pPr>
        <w:rPr>
          <w:szCs w:val="24"/>
        </w:rPr>
      </w:pPr>
      <w:proofErr w:type="spellStart"/>
      <w:r w:rsidRPr="00942076">
        <w:rPr>
          <w:szCs w:val="24"/>
          <w:u w:val="single"/>
        </w:rPr>
        <w:t>Prosument</w:t>
      </w:r>
      <w:proofErr w:type="spellEnd"/>
      <w:r w:rsidRPr="00942076">
        <w:rPr>
          <w:szCs w:val="24"/>
          <w:u w:val="single"/>
        </w:rPr>
        <w:t xml:space="preserve"> – linia dofinansowania z przeznaczeniem na zakup i montaż </w:t>
      </w:r>
      <w:proofErr w:type="spellStart"/>
      <w:r w:rsidRPr="00942076">
        <w:rPr>
          <w:szCs w:val="24"/>
          <w:u w:val="single"/>
        </w:rPr>
        <w:t>mikroinstalacji</w:t>
      </w:r>
      <w:proofErr w:type="spellEnd"/>
      <w:r w:rsidRPr="00942076">
        <w:rPr>
          <w:szCs w:val="24"/>
          <w:u w:val="single"/>
        </w:rPr>
        <w:t xml:space="preserve"> OZE.</w:t>
      </w:r>
      <w:r w:rsidRPr="00942076">
        <w:rPr>
          <w:szCs w:val="24"/>
        </w:rPr>
        <w:t xml:space="preserve"> Celem programu jest ograniczenie lub uniknięcie emisji CO</w:t>
      </w:r>
      <w:r w:rsidRPr="00942076">
        <w:rPr>
          <w:szCs w:val="24"/>
          <w:vertAlign w:val="subscript"/>
        </w:rPr>
        <w:t>2</w:t>
      </w:r>
      <w:r w:rsidRPr="00942076">
        <w:rPr>
          <w:szCs w:val="24"/>
        </w:rPr>
        <w:t xml:space="preserve"> w wyniku zwiększenia produkcji energii z odnawialnych źródeł poprzez zakup i montaż małych lub </w:t>
      </w:r>
      <w:proofErr w:type="spellStart"/>
      <w:r w:rsidRPr="00942076">
        <w:rPr>
          <w:szCs w:val="24"/>
        </w:rPr>
        <w:t>mikroinstalacji</w:t>
      </w:r>
      <w:proofErr w:type="spellEnd"/>
      <w:r w:rsidRPr="00942076">
        <w:rPr>
          <w:szCs w:val="24"/>
        </w:rPr>
        <w:t xml:space="preserve"> odnawialnych źródeł energii do produkcji ciepła lub energii elektrycznej, dla osób fizycznych, wspólnot lub spółdzielni mieszkaniowych. Przedsięwzięcie polega na zakupie i montażu</w:t>
      </w:r>
      <w:r>
        <w:rPr>
          <w:szCs w:val="24"/>
        </w:rPr>
        <w:t xml:space="preserve"> nowych instalacji </w:t>
      </w:r>
      <w:r w:rsidRPr="006F2005">
        <w:rPr>
          <w:szCs w:val="24"/>
        </w:rPr>
        <w:t>i </w:t>
      </w:r>
      <w:proofErr w:type="spellStart"/>
      <w:r w:rsidRPr="006F2005">
        <w:rPr>
          <w:szCs w:val="24"/>
        </w:rPr>
        <w:t>mikroinstalacji</w:t>
      </w:r>
      <w:proofErr w:type="spellEnd"/>
      <w:r w:rsidRPr="006F2005">
        <w:rPr>
          <w:szCs w:val="24"/>
        </w:rPr>
        <w:t xml:space="preserve"> odnawialnych źródeł energii do produkcji: energii elektrycznej</w:t>
      </w:r>
      <w:r w:rsidR="004206EE" w:rsidRPr="006F2005">
        <w:rPr>
          <w:szCs w:val="24"/>
        </w:rPr>
        <w:t xml:space="preserve"> </w:t>
      </w:r>
      <w:r w:rsidRPr="006F2005">
        <w:rPr>
          <w:szCs w:val="24"/>
        </w:rPr>
        <w:t>lub ciepła i energii</w:t>
      </w:r>
      <w:r w:rsidRPr="00942076">
        <w:rPr>
          <w:szCs w:val="24"/>
        </w:rPr>
        <w:t xml:space="preserve"> elektrycznej na potrzeby istniejących lub będących w budowie budynków mieszkalnych jednorodzinnych lub wielorodzinnych. </w:t>
      </w:r>
    </w:p>
    <w:p w:rsidR="00927C61" w:rsidRPr="00942076" w:rsidRDefault="00927C61" w:rsidP="00927C61">
      <w:pPr>
        <w:rPr>
          <w:b/>
          <w:szCs w:val="24"/>
        </w:rPr>
      </w:pPr>
      <w:r w:rsidRPr="00942076">
        <w:rPr>
          <w:b/>
          <w:szCs w:val="24"/>
        </w:rPr>
        <w:t xml:space="preserve">System zielonych inwestycji (GIS – Green Investment </w:t>
      </w:r>
      <w:proofErr w:type="spellStart"/>
      <w:r w:rsidRPr="00942076">
        <w:rPr>
          <w:b/>
          <w:szCs w:val="24"/>
        </w:rPr>
        <w:t>Scheme</w:t>
      </w:r>
      <w:proofErr w:type="spellEnd"/>
      <w:r w:rsidRPr="00942076">
        <w:rPr>
          <w:b/>
          <w:szCs w:val="24"/>
        </w:rPr>
        <w:t>)</w:t>
      </w:r>
    </w:p>
    <w:p w:rsidR="00927C61" w:rsidRPr="00942076" w:rsidRDefault="00927C61" w:rsidP="00927C61">
      <w:pPr>
        <w:rPr>
          <w:szCs w:val="24"/>
        </w:rPr>
      </w:pPr>
      <w:r w:rsidRPr="00942076">
        <w:rPr>
          <w:szCs w:val="24"/>
          <w:u w:val="single"/>
        </w:rPr>
        <w:t>Zarządzanie energią w budynkach użyteczności publicznej.</w:t>
      </w:r>
      <w:r w:rsidRPr="00942076">
        <w:rPr>
          <w:szCs w:val="24"/>
        </w:rPr>
        <w:t xml:space="preserve"> Celem programu jest ograniczenie lub uniknięcie emisji dwutlenku węgla poprzez dofinansowanie przedsięwzięć poprawiających efektywność wykorzystania energii przez budynki użyteczności publicznej. Przedsięwzięcie </w:t>
      </w:r>
      <w:r w:rsidRPr="006F2005">
        <w:rPr>
          <w:szCs w:val="24"/>
        </w:rPr>
        <w:t>polegać będzie na termomodernizacji budynków użyteczności publicznej,</w:t>
      </w:r>
      <w:r w:rsidR="004206EE" w:rsidRPr="006F2005">
        <w:rPr>
          <w:szCs w:val="24"/>
        </w:rPr>
        <w:t xml:space="preserve"> </w:t>
      </w:r>
      <w:r w:rsidRPr="006F2005">
        <w:rPr>
          <w:szCs w:val="24"/>
        </w:rPr>
        <w:t>w tym zmiany</w:t>
      </w:r>
      <w:r w:rsidRPr="00942076">
        <w:rPr>
          <w:szCs w:val="24"/>
        </w:rPr>
        <w:t xml:space="preserve"> wyposażenia obiektów w urządzenia o najwyższych, uzasadnionych ekonomicznie standardach </w:t>
      </w:r>
      <w:r w:rsidRPr="00942076">
        <w:rPr>
          <w:szCs w:val="24"/>
        </w:rPr>
        <w:lastRenderedPageBreak/>
        <w:t>efektywności energetycznej związanych bezpośrednio</w:t>
      </w:r>
      <w:r w:rsidR="00BC7C00">
        <w:rPr>
          <w:szCs w:val="24"/>
        </w:rPr>
        <w:t xml:space="preserve"> </w:t>
      </w:r>
      <w:r w:rsidRPr="00942076">
        <w:rPr>
          <w:szCs w:val="24"/>
        </w:rPr>
        <w:t>z prowadzoną termomodernizacją obiektów.</w:t>
      </w:r>
    </w:p>
    <w:p w:rsidR="00927C61" w:rsidRPr="00942076" w:rsidRDefault="00927C61" w:rsidP="00927C61">
      <w:pPr>
        <w:rPr>
          <w:szCs w:val="24"/>
          <w:u w:val="single"/>
        </w:rPr>
      </w:pPr>
      <w:r w:rsidRPr="00942076">
        <w:rPr>
          <w:szCs w:val="24"/>
          <w:u w:val="single"/>
        </w:rPr>
        <w:t>Elektrociepłownie i ciepłownie na biomasę.</w:t>
      </w:r>
      <w:r w:rsidRPr="00942076">
        <w:rPr>
          <w:szCs w:val="24"/>
        </w:rPr>
        <w:t xml:space="preserve"> Celem programu jest wspieranie realizacji przedsięwzięć obejmujących </w:t>
      </w:r>
      <w:r w:rsidRPr="00942076">
        <w:rPr>
          <w:bCs/>
          <w:szCs w:val="24"/>
        </w:rPr>
        <w:t>modernizację</w:t>
      </w:r>
      <w:r w:rsidRPr="00942076">
        <w:rPr>
          <w:szCs w:val="24"/>
        </w:rPr>
        <w:t xml:space="preserve"> lub </w:t>
      </w:r>
      <w:r w:rsidRPr="00942076">
        <w:rPr>
          <w:bCs/>
          <w:szCs w:val="24"/>
        </w:rPr>
        <w:t>budowę</w:t>
      </w:r>
      <w:r w:rsidR="00AD4662">
        <w:rPr>
          <w:bCs/>
          <w:szCs w:val="24"/>
        </w:rPr>
        <w:t xml:space="preserve"> </w:t>
      </w:r>
      <w:r w:rsidRPr="00942076">
        <w:rPr>
          <w:bCs/>
          <w:szCs w:val="24"/>
        </w:rPr>
        <w:t xml:space="preserve">ciepłowni i elektrociepłowni opalanych biomasą </w:t>
      </w:r>
      <w:r w:rsidRPr="00942076">
        <w:rPr>
          <w:szCs w:val="24"/>
        </w:rPr>
        <w:t>o mocy cieplnej poniżej 20 MW.</w:t>
      </w:r>
    </w:p>
    <w:p w:rsidR="00927C61" w:rsidRPr="00942076" w:rsidRDefault="00927C61" w:rsidP="00927C61">
      <w:pPr>
        <w:rPr>
          <w:szCs w:val="24"/>
        </w:rPr>
      </w:pPr>
      <w:r w:rsidRPr="00942076">
        <w:rPr>
          <w:szCs w:val="24"/>
          <w:u w:val="single"/>
        </w:rPr>
        <w:t>Budowa, rozbudowa i przebudowa sieci elektroenergetycznych w celu umożliwienia przyłączenia źródeł wytwórczych energetyki wiatrowej (OZE).</w:t>
      </w:r>
      <w:r w:rsidRPr="00942076">
        <w:rPr>
          <w:szCs w:val="24"/>
        </w:rPr>
        <w:t xml:space="preserve"> Celem programu jest umożliwienie przyłączenia do Krajowego Systemu Elektroenergetycznego i wprowadzenia</w:t>
      </w:r>
      <w:r w:rsidR="00AD4662">
        <w:rPr>
          <w:szCs w:val="24"/>
        </w:rPr>
        <w:t xml:space="preserve"> </w:t>
      </w:r>
      <w:r w:rsidRPr="00942076">
        <w:rPr>
          <w:szCs w:val="24"/>
        </w:rPr>
        <w:t>do tej sieci wyprodukowanej energii elektrycznej przez nowe źródła wytwórcze energetyki wiatrowej (OZE).</w:t>
      </w:r>
    </w:p>
    <w:p w:rsidR="00927C61" w:rsidRPr="00942076" w:rsidRDefault="00927C61" w:rsidP="00927C61">
      <w:pPr>
        <w:rPr>
          <w:szCs w:val="24"/>
          <w:u w:val="single"/>
        </w:rPr>
      </w:pPr>
      <w:r w:rsidRPr="00942076">
        <w:rPr>
          <w:szCs w:val="24"/>
          <w:u w:val="single"/>
        </w:rPr>
        <w:t xml:space="preserve">Zarządzanie energią w budynkach wybranych podmiotów sektora finansów publicznych. </w:t>
      </w:r>
      <w:r w:rsidRPr="00942076">
        <w:rPr>
          <w:szCs w:val="24"/>
        </w:rPr>
        <w:t>Celem niniejszego programu jest ograniczenie lub unikniecie emisji dwutlenku węgla poprzez dofinansowanie przedsięwzięć poprawiających efektywność wykorzystania energii</w:t>
      </w:r>
      <w:r>
        <w:rPr>
          <w:szCs w:val="24"/>
        </w:rPr>
        <w:t xml:space="preserve"> w </w:t>
      </w:r>
      <w:r w:rsidRPr="00942076">
        <w:rPr>
          <w:szCs w:val="24"/>
        </w:rPr>
        <w:t>budynkach wybranych podmiotów sektora finansów publicznych.</w:t>
      </w:r>
    </w:p>
    <w:p w:rsidR="005663F9" w:rsidRPr="00F219ED" w:rsidRDefault="005663F9" w:rsidP="005663F9">
      <w:pPr>
        <w:spacing w:before="100" w:beforeAutospacing="1" w:after="100" w:afterAutospacing="1" w:line="240" w:lineRule="auto"/>
        <w:rPr>
          <w:rFonts w:ascii="Times New Roman" w:eastAsia="Times New Roman" w:hAnsi="Times New Roman" w:cs="Times New Roman"/>
          <w:sz w:val="24"/>
          <w:szCs w:val="24"/>
          <w:lang w:eastAsia="pl-PL"/>
        </w:rPr>
      </w:pPr>
    </w:p>
    <w:p w:rsidR="00AD7AF5" w:rsidRDefault="00AD7AF5">
      <w:pPr>
        <w:spacing w:line="276" w:lineRule="auto"/>
        <w:jc w:val="left"/>
      </w:pPr>
      <w:r>
        <w:br w:type="page"/>
      </w:r>
    </w:p>
    <w:p w:rsidR="00927C61" w:rsidRDefault="00AD7AF5" w:rsidP="00A10D06">
      <w:pPr>
        <w:pStyle w:val="Nagwek3"/>
        <w:numPr>
          <w:ilvl w:val="2"/>
          <w:numId w:val="1"/>
        </w:numPr>
      </w:pPr>
      <w:bookmarkStart w:id="65" w:name="_Toc438118383"/>
      <w:r>
        <w:lastRenderedPageBreak/>
        <w:t>Źródła finansowania na poziomie wojewódzkim</w:t>
      </w:r>
      <w:bookmarkEnd w:id="65"/>
    </w:p>
    <w:p w:rsidR="00AD7AF5" w:rsidRDefault="00AD7AF5" w:rsidP="00AD7AF5"/>
    <w:p w:rsidR="00AD7AF5" w:rsidRPr="000661A8" w:rsidRDefault="00AD7AF5" w:rsidP="00AD7AF5">
      <w:r w:rsidRPr="000661A8">
        <w:t xml:space="preserve">W </w:t>
      </w:r>
      <w:r w:rsidRPr="009E3FA2">
        <w:t>201</w:t>
      </w:r>
      <w:r w:rsidR="003C5CC8" w:rsidRPr="009E3FA2">
        <w:t>6</w:t>
      </w:r>
      <w:r w:rsidRPr="000661A8">
        <w:t xml:space="preserve"> roku zgodnie z listą przedsięwzięć priorytetowych </w:t>
      </w:r>
      <w:r w:rsidR="00056A37">
        <w:t xml:space="preserve">Wojewódzkiego Funduszu Ochrony Środowiska i Gospodarki Wodnej w Katowicach </w:t>
      </w:r>
      <w:r w:rsidRPr="000661A8">
        <w:t xml:space="preserve">finansowane będą zadania z zakresu: </w:t>
      </w:r>
    </w:p>
    <w:p w:rsidR="00AD7AF5" w:rsidRPr="003E5E56" w:rsidRDefault="008036D4" w:rsidP="00E7342B">
      <w:pPr>
        <w:numPr>
          <w:ilvl w:val="0"/>
          <w:numId w:val="29"/>
        </w:numPr>
        <w:spacing w:before="120" w:after="120" w:line="276" w:lineRule="auto"/>
      </w:pPr>
      <w:r w:rsidRPr="003E5E56">
        <w:t>ochrony wód i gospodarki</w:t>
      </w:r>
      <w:r w:rsidR="00015B09" w:rsidRPr="003E5E56">
        <w:t xml:space="preserve"> wodn</w:t>
      </w:r>
      <w:r w:rsidRPr="003E5E56">
        <w:t>ej</w:t>
      </w:r>
      <w:r w:rsidR="00015B09" w:rsidRPr="003E5E56">
        <w:t>,</w:t>
      </w:r>
    </w:p>
    <w:p w:rsidR="00AD7AF5" w:rsidRPr="003E5E56" w:rsidRDefault="008036D4" w:rsidP="00E7342B">
      <w:pPr>
        <w:numPr>
          <w:ilvl w:val="0"/>
          <w:numId w:val="29"/>
        </w:numPr>
        <w:spacing w:before="120" w:after="120" w:line="276" w:lineRule="auto"/>
      </w:pPr>
      <w:r w:rsidRPr="003E5E56">
        <w:t>gospodarki odpadami i ochrony</w:t>
      </w:r>
      <w:r w:rsidR="00015B09" w:rsidRPr="003E5E56">
        <w:t xml:space="preserve"> powierzchni ziemi</w:t>
      </w:r>
      <w:r w:rsidR="00AD7AF5" w:rsidRPr="003E5E56">
        <w:t xml:space="preserve">, </w:t>
      </w:r>
    </w:p>
    <w:p w:rsidR="008036D4" w:rsidRPr="003E5E56" w:rsidRDefault="00AD7AF5" w:rsidP="00E7342B">
      <w:pPr>
        <w:numPr>
          <w:ilvl w:val="0"/>
          <w:numId w:val="29"/>
        </w:numPr>
        <w:spacing w:before="120" w:after="120" w:line="276" w:lineRule="auto"/>
      </w:pPr>
      <w:r w:rsidRPr="003E5E56">
        <w:t>ochrony atmosfery,</w:t>
      </w:r>
    </w:p>
    <w:p w:rsidR="00AD7AF5" w:rsidRPr="003E5E56" w:rsidRDefault="00AD7AF5" w:rsidP="00E7342B">
      <w:pPr>
        <w:numPr>
          <w:ilvl w:val="0"/>
          <w:numId w:val="29"/>
        </w:numPr>
        <w:spacing w:before="120" w:after="120" w:line="276" w:lineRule="auto"/>
      </w:pPr>
      <w:r w:rsidRPr="003E5E56">
        <w:t xml:space="preserve">ochrony różnorodności biologicznej i funkcji ekosystemów, </w:t>
      </w:r>
    </w:p>
    <w:p w:rsidR="00AD7AF5" w:rsidRPr="003E5E56" w:rsidRDefault="008036D4" w:rsidP="00E7342B">
      <w:pPr>
        <w:numPr>
          <w:ilvl w:val="0"/>
          <w:numId w:val="29"/>
        </w:numPr>
        <w:spacing w:before="120" w:after="120" w:line="276" w:lineRule="auto"/>
      </w:pPr>
      <w:r w:rsidRPr="003E5E56">
        <w:t>edukacji</w:t>
      </w:r>
      <w:r w:rsidR="00015B09" w:rsidRPr="003E5E56">
        <w:t xml:space="preserve"> ekologiczn</w:t>
      </w:r>
      <w:r w:rsidRPr="003E5E56">
        <w:t>ej</w:t>
      </w:r>
      <w:r w:rsidR="00015B09" w:rsidRPr="003E5E56">
        <w:t>,</w:t>
      </w:r>
    </w:p>
    <w:p w:rsidR="00015B09" w:rsidRPr="003E5E56" w:rsidRDefault="008036D4" w:rsidP="00E7342B">
      <w:pPr>
        <w:numPr>
          <w:ilvl w:val="0"/>
          <w:numId w:val="29"/>
        </w:numPr>
        <w:spacing w:before="120" w:after="120" w:line="276" w:lineRule="auto"/>
      </w:pPr>
      <w:r w:rsidRPr="003E5E56">
        <w:t>zapobiegania</w:t>
      </w:r>
      <w:r w:rsidR="00015B09" w:rsidRPr="003E5E56">
        <w:t xml:space="preserve"> poważnym awariom,</w:t>
      </w:r>
    </w:p>
    <w:p w:rsidR="00015B09" w:rsidRPr="003E5E56" w:rsidRDefault="008036D4" w:rsidP="00E7342B">
      <w:pPr>
        <w:numPr>
          <w:ilvl w:val="0"/>
          <w:numId w:val="29"/>
        </w:numPr>
        <w:spacing w:before="120" w:after="120" w:line="276" w:lineRule="auto"/>
      </w:pPr>
      <w:r w:rsidRPr="003E5E56">
        <w:t>zarządzania</w:t>
      </w:r>
      <w:r w:rsidR="00015B09" w:rsidRPr="003E5E56">
        <w:t xml:space="preserve"> środowiskowe</w:t>
      </w:r>
      <w:r w:rsidRPr="003E5E56">
        <w:t>go i profilaktyki zdrowotnej</w:t>
      </w:r>
      <w:r w:rsidR="00015B09" w:rsidRPr="003E5E56">
        <w:t>.</w:t>
      </w:r>
    </w:p>
    <w:p w:rsidR="00AD7AF5" w:rsidRPr="003E5E56" w:rsidRDefault="004E1FB2" w:rsidP="003E5E56">
      <w:r w:rsidRPr="003E5E56">
        <w:t xml:space="preserve">Dofinansowanie z </w:t>
      </w:r>
      <w:proofErr w:type="spellStart"/>
      <w:r w:rsidRPr="003E5E56">
        <w:t>WFOŚiGW</w:t>
      </w:r>
      <w:proofErr w:type="spellEnd"/>
      <w:r w:rsidRPr="003E5E56">
        <w:t xml:space="preserve"> w Katowicach udzielane jest według zasad ustalanych </w:t>
      </w:r>
      <w:r w:rsidR="00A16ECB" w:rsidRPr="003E5E56">
        <w:t>przez Radę Nadzorczą w formie uchwały</w:t>
      </w:r>
      <w:r w:rsidRPr="003E5E56">
        <w:t>.</w:t>
      </w:r>
    </w:p>
    <w:p w:rsidR="00AD7AF5" w:rsidRPr="003E5E56" w:rsidRDefault="00AD7AF5" w:rsidP="003E5E56">
      <w:r w:rsidRPr="003E5E56">
        <w:t xml:space="preserve">Dofinansowanie </w:t>
      </w:r>
      <w:r w:rsidR="00E570BE" w:rsidRPr="003E5E56">
        <w:t xml:space="preserve">może być </w:t>
      </w:r>
      <w:r w:rsidRPr="003E5E56">
        <w:t xml:space="preserve">udzielane przez Fundusz </w:t>
      </w:r>
      <w:r w:rsidR="004E1FB2" w:rsidRPr="003E5E56">
        <w:t xml:space="preserve">min. </w:t>
      </w:r>
      <w:r w:rsidR="00E570BE" w:rsidRPr="003E5E56">
        <w:t>w następujących formach</w:t>
      </w:r>
      <w:r w:rsidRPr="003E5E56">
        <w:t xml:space="preserve">: </w:t>
      </w:r>
    </w:p>
    <w:p w:rsidR="00AD7AF5" w:rsidRPr="003E5E56" w:rsidRDefault="00AD7AF5" w:rsidP="003E5E56">
      <w:pPr>
        <w:numPr>
          <w:ilvl w:val="0"/>
          <w:numId w:val="31"/>
        </w:numPr>
        <w:spacing w:before="120" w:after="120"/>
      </w:pPr>
      <w:r w:rsidRPr="003E5E56">
        <w:t>pożyczka, w tym pożyczka pomostowa</w:t>
      </w:r>
      <w:r w:rsidR="004E1FB2" w:rsidRPr="003E5E56">
        <w:t xml:space="preserve"> - </w:t>
      </w:r>
      <w:r w:rsidR="00AF52CB" w:rsidRPr="003E5E56">
        <w:t>w wysokości do 80% kosztów kwalifikowanych</w:t>
      </w:r>
      <w:r w:rsidR="00A16ECB" w:rsidRPr="003E5E56">
        <w:t>. W przypadku zadań polegających na demontażu, transporcie i unieszkodliwianiu</w:t>
      </w:r>
      <w:r w:rsidR="00654BAA" w:rsidRPr="003E5E56">
        <w:t xml:space="preserve"> odpadów zawierających azbest z obiektów budowlanych zaliczonych do I stopnia pilności dofinansowanie może wynieść do 100% kosztów kwalifikowanych.</w:t>
      </w:r>
    </w:p>
    <w:p w:rsidR="00AD7AF5" w:rsidRPr="003E5E56" w:rsidRDefault="004E1FB2" w:rsidP="003E5E56">
      <w:pPr>
        <w:numPr>
          <w:ilvl w:val="0"/>
          <w:numId w:val="31"/>
        </w:numPr>
        <w:spacing w:before="120" w:after="120"/>
        <w:ind w:left="714" w:hanging="357"/>
      </w:pPr>
      <w:r w:rsidRPr="003E5E56">
        <w:t xml:space="preserve">dotacja - </w:t>
      </w:r>
      <w:r w:rsidR="00AF52CB" w:rsidRPr="003E5E56">
        <w:t>w wysokości do 50% kosztów kwalifikowanych</w:t>
      </w:r>
      <w:r w:rsidR="00654BAA" w:rsidRPr="003E5E56">
        <w:t xml:space="preserve"> lub 80% kosztów kwalifikowanych dla zadań z zakresu ochrony różnorodności biologicznej i funkcji ekosystemów; edukacji ekologicznej; zapobiegania poważnym awariom; opracowań i ekspertyz; profilaktyki zdrowotnej; uzupełniania w sprzęt przeciwpowodziowy; demontażu, transportu i unieszkodliwiania odpadów zawierających azbest realizowanych przez jednostki sektora finansów publicznych w obiektach użyteczności publicznej; zamykania składowisk odpadów komunalnych stwarzających zagrożenie dla środowiska, na terenach będących własnością  Skarbu Państwa lub </w:t>
      </w:r>
      <w:proofErr w:type="spellStart"/>
      <w:r w:rsidR="00654BAA" w:rsidRPr="003E5E56">
        <w:t>jst</w:t>
      </w:r>
      <w:proofErr w:type="spellEnd"/>
      <w:r w:rsidR="00654BAA" w:rsidRPr="003E5E56">
        <w:t>; wspomaganie systemu kontroli wnoszenia opłat za korzystanie ze środowiska.</w:t>
      </w:r>
    </w:p>
    <w:p w:rsidR="00A16ECB" w:rsidRPr="003E5E56" w:rsidRDefault="00A16ECB" w:rsidP="003E5E56">
      <w:pPr>
        <w:spacing w:before="120" w:after="120"/>
        <w:ind w:left="357"/>
      </w:pPr>
      <w:r w:rsidRPr="003E5E56">
        <w:t>W przypadku łączenia w jednym zadaniu pożyczki z dotacją, łączna wysokość dofinansowania nie może przekroczyć 80% kosztów kwalifikowanych.</w:t>
      </w:r>
    </w:p>
    <w:p w:rsidR="00AD7AF5" w:rsidRPr="003E5E56" w:rsidRDefault="00AD7AF5" w:rsidP="003E5E56">
      <w:pPr>
        <w:numPr>
          <w:ilvl w:val="0"/>
          <w:numId w:val="31"/>
        </w:numPr>
        <w:spacing w:before="120" w:after="120"/>
        <w:ind w:left="714" w:hanging="357"/>
      </w:pPr>
      <w:r w:rsidRPr="003E5E56">
        <w:t xml:space="preserve">umorzenie części wykorzystanej pożyczki, </w:t>
      </w:r>
    </w:p>
    <w:p w:rsidR="004E1FB2" w:rsidRPr="003E5E56" w:rsidRDefault="004E1FB2" w:rsidP="003E5E56">
      <w:pPr>
        <w:numPr>
          <w:ilvl w:val="0"/>
          <w:numId w:val="31"/>
        </w:numPr>
        <w:spacing w:before="120" w:after="120"/>
      </w:pPr>
      <w:r w:rsidRPr="003E5E56">
        <w:lastRenderedPageBreak/>
        <w:t xml:space="preserve">dopłaty do oprocentowania kredytów bankowych, </w:t>
      </w:r>
    </w:p>
    <w:p w:rsidR="004E1FB2" w:rsidRPr="003E5E56" w:rsidRDefault="00AD7AF5" w:rsidP="003E5E56">
      <w:pPr>
        <w:numPr>
          <w:ilvl w:val="0"/>
          <w:numId w:val="31"/>
        </w:numPr>
        <w:spacing w:before="120" w:after="120"/>
      </w:pPr>
      <w:r w:rsidRPr="003E5E56">
        <w:t>kredyty</w:t>
      </w:r>
      <w:r w:rsidR="004E1FB2" w:rsidRPr="003E5E56">
        <w:t xml:space="preserve"> i dotacje ze środków Funduszu w bankowych liniach kredytowych.</w:t>
      </w:r>
    </w:p>
    <w:p w:rsidR="00EF0785" w:rsidRPr="003E5E56" w:rsidRDefault="00A16ECB" w:rsidP="003E5E56">
      <w:pPr>
        <w:spacing w:before="120" w:after="120"/>
      </w:pPr>
      <w:r w:rsidRPr="003E5E56">
        <w:t xml:space="preserve">Wysokość dofinansowania uzależniona jest </w:t>
      </w:r>
      <w:r w:rsidR="004E1FB2" w:rsidRPr="003E5E56">
        <w:t xml:space="preserve">od </w:t>
      </w:r>
      <w:r w:rsidR="00572395" w:rsidRPr="003E5E56">
        <w:t xml:space="preserve">efektywności ekonomicznej i </w:t>
      </w:r>
      <w:r w:rsidR="004E1FB2" w:rsidRPr="003E5E56">
        <w:t>efektów ekologicznych zadani</w:t>
      </w:r>
      <w:r w:rsidR="00572395" w:rsidRPr="003E5E56">
        <w:t xml:space="preserve">a oraz </w:t>
      </w:r>
      <w:r w:rsidR="004E1FB2" w:rsidRPr="003E5E56">
        <w:t>możliwości finansowych funduszu.</w:t>
      </w:r>
    </w:p>
    <w:p w:rsidR="00F212AC" w:rsidRDefault="00582635" w:rsidP="00F212AC">
      <w:r>
        <w:t>Kolejnym ź</w:t>
      </w:r>
      <w:r w:rsidR="00F212AC">
        <w:t xml:space="preserve">ródłem finansowania inwestycji na poziomie </w:t>
      </w:r>
      <w:r w:rsidR="006E6F7F">
        <w:t>regionalnym jest także</w:t>
      </w:r>
      <w:r w:rsidR="00F212AC">
        <w:t xml:space="preserve"> Regionalny Program Operacyjny Województwa Śląskiego na lata 2014-2020. Zgodnie z opracowanym dokumentem programowym w ramach IV osi priorytetowej: </w:t>
      </w:r>
      <w:r w:rsidR="00F212AC" w:rsidRPr="00F212AC">
        <w:rPr>
          <w:i/>
        </w:rPr>
        <w:t>Efektywność energetyczna, odnawialne źródła energii i gospodarka niskoemisyjna</w:t>
      </w:r>
      <w:r w:rsidR="000B0C11">
        <w:t xml:space="preserve"> przewidziano następujące wsparcie</w:t>
      </w:r>
      <w:r w:rsidR="00F20E79">
        <w:t>:</w:t>
      </w:r>
    </w:p>
    <w:p w:rsidR="004B6879" w:rsidRDefault="00F20E79" w:rsidP="00D615AB">
      <w:pPr>
        <w:pStyle w:val="Akapitzlist"/>
        <w:numPr>
          <w:ilvl w:val="0"/>
          <w:numId w:val="67"/>
        </w:numPr>
      </w:pPr>
      <w:r>
        <w:t xml:space="preserve">Priorytet inwestycyjny 4a </w:t>
      </w:r>
      <w:r w:rsidRPr="00D615AB">
        <w:rPr>
          <w:i/>
        </w:rPr>
        <w:t>wspieranie</w:t>
      </w:r>
      <w:r w:rsidR="00AD4662">
        <w:rPr>
          <w:i/>
        </w:rPr>
        <w:t xml:space="preserve"> </w:t>
      </w:r>
      <w:r w:rsidRPr="00D615AB">
        <w:rPr>
          <w:i/>
        </w:rPr>
        <w:t>wytwarzania i dystrybucji energii pochodzącej ze źródeł odnawialnych</w:t>
      </w:r>
      <w:r>
        <w:t xml:space="preserve">. </w:t>
      </w:r>
      <w:r w:rsidR="004B6879">
        <w:t>W ramach w/w priorytetu wyznaczono jeden cel szczegółowy:</w:t>
      </w:r>
      <w:r w:rsidR="00AD4662">
        <w:t xml:space="preserve"> </w:t>
      </w:r>
      <w:r w:rsidR="004B6879" w:rsidRPr="00D615AB">
        <w:rPr>
          <w:b/>
        </w:rPr>
        <w:t>Zwiększony poziom produkcji energii ze źródeł odnawialnych</w:t>
      </w:r>
      <w:r w:rsidR="00A435BC">
        <w:t xml:space="preserve">, w ramach którego planuje się skierowanie wsparcia na realizację projektów inwestycyjnych dotyczących wytwarzania energii z odnawialnych źródeł wraz z podłączeniem tych źródeł do sieci dystrybucyjnej/przemysłowej. </w:t>
      </w:r>
    </w:p>
    <w:p w:rsidR="00A435BC" w:rsidRDefault="00A435BC" w:rsidP="00A435BC">
      <w:pPr>
        <w:pStyle w:val="Akapitzlist"/>
        <w:numPr>
          <w:ilvl w:val="0"/>
          <w:numId w:val="66"/>
        </w:numPr>
      </w:pPr>
      <w:r>
        <w:t xml:space="preserve">Typy przedsięwzięć: Budowa i przebudowa infrastruktury służącej do produkcji i dystrybucji energii ze źródeł odnawialnych. </w:t>
      </w:r>
    </w:p>
    <w:p w:rsidR="00D615AB" w:rsidRDefault="00D615AB" w:rsidP="00D615AB">
      <w:pPr>
        <w:pStyle w:val="Akapitzlist"/>
        <w:numPr>
          <w:ilvl w:val="0"/>
          <w:numId w:val="67"/>
        </w:numPr>
      </w:pPr>
      <w:r>
        <w:t xml:space="preserve">Priorytet inwestycyjny 4b </w:t>
      </w:r>
      <w:r w:rsidRPr="00D615AB">
        <w:rPr>
          <w:i/>
        </w:rPr>
        <w:t>promowanie efektywnośc</w:t>
      </w:r>
      <w:r>
        <w:rPr>
          <w:i/>
        </w:rPr>
        <w:t>i energetycznej i korzystania z </w:t>
      </w:r>
      <w:r w:rsidRPr="00D615AB">
        <w:rPr>
          <w:i/>
        </w:rPr>
        <w:t>odnawialnych źródeł energii w przedsiębiorstwach</w:t>
      </w:r>
      <w:r>
        <w:t xml:space="preserve">. W ramach w/w priorytetu wyznaczono jeden cel szczegółowy: </w:t>
      </w:r>
      <w:r w:rsidRPr="00D615AB">
        <w:rPr>
          <w:b/>
        </w:rPr>
        <w:t>Zwiększona efektywność energetyczna w sektorze przedsiębiorstw</w:t>
      </w:r>
      <w:r w:rsidR="005E660C">
        <w:t xml:space="preserve">, w ramach którego planuje się zwiększenie efektywności energetycznej w sektorze MŚP poprzez zmniejszenie strat energii oraz zwiększenie udziału energii ze źródeł odnawialnych w końcowym zużyciu energii brutto. </w:t>
      </w:r>
    </w:p>
    <w:p w:rsidR="005E660C" w:rsidRDefault="005E660C" w:rsidP="005E660C">
      <w:pPr>
        <w:pStyle w:val="Akapitzlist"/>
        <w:numPr>
          <w:ilvl w:val="0"/>
          <w:numId w:val="66"/>
        </w:numPr>
      </w:pPr>
      <w:r>
        <w:t xml:space="preserve">Typy przedsięwzięć: Modernizacja i rozbudowa linii produkcyjnych na bardziej efektywne energetycznie; Głęboka, kompleksowa modernizacja energetyczna budynków w przedsiębiorstwach; Zastosowanie technologii efektywnych energetycznie w przedsiębiorstwach; Zastosowanie energooszczędnych technologii produkcji i użytkowania energii. </w:t>
      </w:r>
    </w:p>
    <w:p w:rsidR="000B0C11" w:rsidRDefault="000B0C11" w:rsidP="000B0C11">
      <w:pPr>
        <w:pStyle w:val="Akapitzlist"/>
        <w:numPr>
          <w:ilvl w:val="0"/>
          <w:numId w:val="67"/>
        </w:numPr>
      </w:pPr>
      <w:r>
        <w:t xml:space="preserve">Priorytet inwestycyjny 4c </w:t>
      </w:r>
      <w:r w:rsidRPr="000B0C11">
        <w:rPr>
          <w:i/>
        </w:rPr>
        <w:t>wspieranie efektywności energetycznej, inteligentnego zarządzania energią i wykorzystania odnawialnych źródeł energii w infrastrukturze publicznej, w tym w budynkach publicznych i w sektorze mieszkaniowym</w:t>
      </w:r>
      <w:r>
        <w:t xml:space="preserve">. </w:t>
      </w:r>
      <w:r w:rsidR="00C010BB">
        <w:t xml:space="preserve">W ramach w/w priorytetu wyznaczono jeden cel szczegółowy: </w:t>
      </w:r>
      <w:r w:rsidR="00C010BB" w:rsidRPr="00C010BB">
        <w:rPr>
          <w:b/>
        </w:rPr>
        <w:t>zwiększona efektywność energetyczna w sektorze publicznym i mieszkaniowym</w:t>
      </w:r>
      <w:r w:rsidR="0001196C">
        <w:rPr>
          <w:b/>
        </w:rPr>
        <w:t xml:space="preserve">, </w:t>
      </w:r>
      <w:r w:rsidR="0001196C">
        <w:t xml:space="preserve">w ramach którego planuje się zwiększenie </w:t>
      </w:r>
      <w:r w:rsidR="0001196C">
        <w:lastRenderedPageBreak/>
        <w:t xml:space="preserve">konkurencyjności gospodarki oraz zmniejszenie emisyjności gospodarki poprzez zwiększenie efektywności energetycznej gospodarki. </w:t>
      </w:r>
    </w:p>
    <w:p w:rsidR="0001196C" w:rsidRDefault="0001196C" w:rsidP="0001196C">
      <w:pPr>
        <w:pStyle w:val="Akapitzlist"/>
        <w:numPr>
          <w:ilvl w:val="0"/>
          <w:numId w:val="66"/>
        </w:numPr>
      </w:pPr>
      <w:r>
        <w:t xml:space="preserve">Typy przedsięwzięć: Modernizacja energetyczna budynków użyteczności publicznej oraz wielorodzinnych budynków mieszkalnych; Likwidacja „niskiej emisji” poprzez wymianę/modernizację indywidualnych źródeł ciepła lub podłączenie budynków do sieciowych nośników ciepła; Budowa instalacji OZE w modernizowanych energetycznie budynkach. </w:t>
      </w:r>
    </w:p>
    <w:p w:rsidR="005B4B86" w:rsidRDefault="00F8693C" w:rsidP="00F8693C">
      <w:pPr>
        <w:pStyle w:val="Akapitzlist"/>
        <w:numPr>
          <w:ilvl w:val="0"/>
          <w:numId w:val="67"/>
        </w:numPr>
      </w:pPr>
      <w:r>
        <w:t xml:space="preserve">Priorytet inwestycyjny 4e </w:t>
      </w:r>
      <w:r w:rsidRPr="00F8693C">
        <w:rPr>
          <w:i/>
        </w:rPr>
        <w:t>promowanie strategii niskoemisyjnych dla wszystkich rodzajów terytoriów, w szczególności dla obszarów miejskich, w tym wspieranie zrównoważonej multimodalnej mobilności miejskiej i działań adaptacyjnych mających oddziaływania łagodzące na zmiany klimatu</w:t>
      </w:r>
      <w:r>
        <w:t xml:space="preserve">. W ramach w/w priorytetu wyznaczono jeden cel szczegółowy: </w:t>
      </w:r>
      <w:r w:rsidRPr="00F8693C">
        <w:rPr>
          <w:b/>
        </w:rPr>
        <w:t>zwiększona atrakcyjność transportu publicznego dla pasażerów</w:t>
      </w:r>
      <w:r>
        <w:t xml:space="preserve">, w ramach którego </w:t>
      </w:r>
      <w:r w:rsidR="00742865">
        <w:t xml:space="preserve">planuje się zwiększenie konkurencyjności oraz zmniejszenie emisyjności gospodarki poprzez obniżenie emisji generowanych przez transport w aglomeracjach miejskich. </w:t>
      </w:r>
    </w:p>
    <w:p w:rsidR="00742865" w:rsidRDefault="00742865" w:rsidP="00742865">
      <w:pPr>
        <w:pStyle w:val="Akapitzlist"/>
        <w:numPr>
          <w:ilvl w:val="0"/>
          <w:numId w:val="66"/>
        </w:numPr>
      </w:pPr>
      <w:r>
        <w:t xml:space="preserve">Typy przedsięwzięć: budowa, przebudowa liniowej i punktowej infrastruktury transportu zbiorowego; wdrażanie inteligentnych systemów transportowych; zakup taboru autobusowego i tramwajowego na potrzeby transportu publicznego wraz z budową infrastruktury; budowa i przebudowa liniowej infrastruktury tramwajowej; poprawa efektywności energetycznej oświetlenia. </w:t>
      </w:r>
    </w:p>
    <w:p w:rsidR="00742865" w:rsidRDefault="00742865" w:rsidP="00742865">
      <w:pPr>
        <w:pStyle w:val="Akapitzlist"/>
        <w:numPr>
          <w:ilvl w:val="0"/>
          <w:numId w:val="67"/>
        </w:numPr>
      </w:pPr>
      <w:r>
        <w:t xml:space="preserve">Priorytet inwestycyjny 4g </w:t>
      </w:r>
      <w:r w:rsidRPr="00742865">
        <w:rPr>
          <w:i/>
        </w:rPr>
        <w:t xml:space="preserve">promowanie wykorzystywania wysokosprawnej </w:t>
      </w:r>
      <w:proofErr w:type="spellStart"/>
      <w:r w:rsidRPr="00742865">
        <w:rPr>
          <w:i/>
        </w:rPr>
        <w:t>kogeneracji</w:t>
      </w:r>
      <w:proofErr w:type="spellEnd"/>
      <w:r w:rsidRPr="00742865">
        <w:rPr>
          <w:i/>
        </w:rPr>
        <w:t xml:space="preserve"> ciepła i energii elektrycznej w oparciu o zapotrzebowanie na ciepło użytkowe</w:t>
      </w:r>
      <w:r>
        <w:t xml:space="preserve">. </w:t>
      </w:r>
      <w:r w:rsidR="00E30DB1">
        <w:t xml:space="preserve">W ramach w/w priorytetu wyznaczono jeden cel szczegółowy: </w:t>
      </w:r>
      <w:r w:rsidR="00E30DB1" w:rsidRPr="00E30DB1">
        <w:rPr>
          <w:b/>
        </w:rPr>
        <w:t xml:space="preserve">zwiększony udział produkcji energii w wysokosprawnej </w:t>
      </w:r>
      <w:proofErr w:type="spellStart"/>
      <w:r w:rsidR="00E30DB1" w:rsidRPr="00E30DB1">
        <w:rPr>
          <w:b/>
        </w:rPr>
        <w:t>kogeneracji</w:t>
      </w:r>
      <w:proofErr w:type="spellEnd"/>
      <w:r w:rsidR="00E30DB1">
        <w:t xml:space="preserve">, </w:t>
      </w:r>
      <w:r w:rsidR="00574783">
        <w:t>w ramach którego planuje się zwiększenie efektywności energetycznej gospodarki poprzez obniżenie ilości zużywanego paliwa, zmniejszenie emisji dwutlenku węgla emitowanego do atmosfery, większą elastyczność produkcji ciepła do ogrzewania i ciepłej wody użytkowej, wzrost produkcji energii elektrycznej ze źródeł odnawialnych oraz możliwość zwiększenia produkcji energii bez przekroczenia ustawowych limitów emisji CO</w:t>
      </w:r>
      <w:r w:rsidR="00574783" w:rsidRPr="00574783">
        <w:rPr>
          <w:vertAlign w:val="subscript"/>
        </w:rPr>
        <w:t>2</w:t>
      </w:r>
      <w:r w:rsidR="00574783">
        <w:t xml:space="preserve">. </w:t>
      </w:r>
    </w:p>
    <w:p w:rsidR="00F20E79" w:rsidRDefault="00ED4ED2" w:rsidP="00F212AC">
      <w:pPr>
        <w:pStyle w:val="Akapitzlist"/>
        <w:numPr>
          <w:ilvl w:val="0"/>
          <w:numId w:val="66"/>
        </w:numPr>
      </w:pPr>
      <w:r>
        <w:t xml:space="preserve">Typy przedsięwzięć: Budowa i modernizacja instalacji do produkcji energii w wysokosprawnej </w:t>
      </w:r>
      <w:proofErr w:type="spellStart"/>
      <w:r>
        <w:t>kogeneracji</w:t>
      </w:r>
      <w:proofErr w:type="spellEnd"/>
      <w:r>
        <w:t xml:space="preserve">. </w:t>
      </w:r>
    </w:p>
    <w:p w:rsidR="00582635" w:rsidRDefault="00582635" w:rsidP="00582635"/>
    <w:p w:rsidR="00321A8E" w:rsidRDefault="00321A8E" w:rsidP="00A10D06">
      <w:pPr>
        <w:pStyle w:val="Nagwek3"/>
        <w:numPr>
          <w:ilvl w:val="2"/>
          <w:numId w:val="1"/>
        </w:numPr>
        <w:ind w:left="1418" w:hanging="698"/>
      </w:pPr>
      <w:bookmarkStart w:id="66" w:name="_Toc438118384"/>
      <w:r>
        <w:lastRenderedPageBreak/>
        <w:t>Organizacje i instytucje zaangażowane w finansowanie innowacyjnych projektów w zakresie efektywnej energii (EE) i odnawialnych źródeł energii (OZE)</w:t>
      </w:r>
      <w:bookmarkEnd w:id="66"/>
    </w:p>
    <w:p w:rsidR="00321A8E" w:rsidRDefault="00321A8E" w:rsidP="00321A8E"/>
    <w:p w:rsidR="00321A8E" w:rsidRPr="00B80E92" w:rsidRDefault="00321A8E" w:rsidP="00321A8E">
      <w:r w:rsidRPr="00B80E92">
        <w:rPr>
          <w:u w:val="single"/>
        </w:rPr>
        <w:t>Ministerstwo Gospodarki</w:t>
      </w:r>
      <w:r w:rsidRPr="00B80E92">
        <w:t xml:space="preserve"> – kierujące w Polsce działem gospodarka. Jednym z podstawowych celów ministerstwa jest kształtowanie warunków podejmowania i wykonywania działalności gospodarczej oraz podejmowanie działań sprzyjający</w:t>
      </w:r>
      <w:r>
        <w:t>ch wzrostowi konkurencyjności i </w:t>
      </w:r>
      <w:r w:rsidRPr="00B80E92">
        <w:t>innowacyjności gospodarki polskiej. W rozpatrywanym kon</w:t>
      </w:r>
      <w:r>
        <w:t>tekście inwestycji związanych z </w:t>
      </w:r>
      <w:r w:rsidRPr="00B80E92">
        <w:t>efektywnością energetyczną i odnawialnymi źródłami energii istotne jest również zaangażowanie ministerstwa w funkcjonowanie krajo</w:t>
      </w:r>
      <w:r>
        <w:t>wych systemów energetycznych, z </w:t>
      </w:r>
      <w:r w:rsidRPr="00B80E92">
        <w:t xml:space="preserve">uwzględnieniem zasad racjonalnej gospodarki i potrzeb bezpieczeństwa energetycznego kraju. </w:t>
      </w:r>
      <w:hyperlink r:id="rId47" w:history="1">
        <w:r w:rsidRPr="00BD3269">
          <w:rPr>
            <w:rStyle w:val="Hipercze"/>
          </w:rPr>
          <w:t>www.mg.gov.pl</w:t>
        </w:r>
      </w:hyperlink>
    </w:p>
    <w:p w:rsidR="00321A8E" w:rsidRPr="00B80E92" w:rsidRDefault="00321A8E" w:rsidP="00321A8E">
      <w:r w:rsidRPr="00B80E92">
        <w:rPr>
          <w:u w:val="single"/>
        </w:rPr>
        <w:t>Ministerstwo Środowiska</w:t>
      </w:r>
      <w:r w:rsidRPr="00B80E92">
        <w:t xml:space="preserve"> - zajmuje się ochroną środowiska oraz gospodarką wodną w Polsce. Misją ministerstwa jest współtworzenie polityki państwa, troska o środowisko w Polsce i na świecie oraz wpływanie na długofalowy, realizowany z poszanowaniem przyrody i praw człowieka rozwój kraju tak, aby uwzględnić potrzeby zarówno wsp</w:t>
      </w:r>
      <w:r>
        <w:t>ółcześnie żyjących ludzi, jak i </w:t>
      </w:r>
      <w:r w:rsidRPr="00B80E92">
        <w:t xml:space="preserve">przyszłych pokoleń. Sposobem realizacji celów ministerstwa jest m. in. stymulowanie inwestycji mających wpływ na zmniejszenie ilości zużywanej przez polską gospodarkę energii oraz zwiększenie udziału energii odnawialnej w bilansie energetycznym Polski. </w:t>
      </w:r>
      <w:hyperlink r:id="rId48" w:history="1">
        <w:r w:rsidRPr="00BD3269">
          <w:rPr>
            <w:rStyle w:val="Hipercze"/>
          </w:rPr>
          <w:t>www.mos.gov.pl</w:t>
        </w:r>
      </w:hyperlink>
    </w:p>
    <w:p w:rsidR="00321A8E" w:rsidRPr="00B80E92" w:rsidRDefault="00321A8E" w:rsidP="00321A8E">
      <w:r w:rsidRPr="00B80E92">
        <w:rPr>
          <w:u w:val="single"/>
        </w:rPr>
        <w:t>Ministerstwo Rozwoju Regionalnego</w:t>
      </w:r>
      <w:r w:rsidRPr="00B80E92">
        <w:t xml:space="preserve"> - realizuje działania związane z opracowywaniem projektów narodowej strategii rozwoju regionalnego oraz dystrybucją funduszy strukturalnych pozyskanych z budżetu Unii Europejskiej, które stanowią jedno z podstawowych źródeł finansowania inwestycji związanych z innowacyjnymi rozwiązaniami z zakresu efektywności energetycznej i odnawialnych źródeł energii. </w:t>
      </w:r>
      <w:hyperlink r:id="rId49" w:history="1">
        <w:r w:rsidRPr="00B80E92">
          <w:rPr>
            <w:rStyle w:val="Hipercze"/>
          </w:rPr>
          <w:t>www.mrr.gov.pl</w:t>
        </w:r>
      </w:hyperlink>
    </w:p>
    <w:p w:rsidR="00321A8E" w:rsidRPr="00B80E92" w:rsidRDefault="00321A8E" w:rsidP="00321A8E">
      <w:r w:rsidRPr="00B80E92">
        <w:rPr>
          <w:u w:val="single"/>
        </w:rPr>
        <w:t>Ministerstwo Rolnictwa i Rozwoju Wsi</w:t>
      </w:r>
      <w:r w:rsidRPr="00B80E92">
        <w:t xml:space="preserve"> - zajmuje się sprawami produkcji rolnej, rozwojem wsi, przemysłem spożywczym, rybołówstwem oraz nadzorem fitosanitarnym i weterynaryjnym. W kontekście rozwoju wsi realizowane są komponenty związane z rozwojem i budową zasobów pozyskujących energię ze źródeł odnawialnych na obszarach wiejskich. </w:t>
      </w:r>
      <w:hyperlink r:id="rId50" w:history="1">
        <w:r w:rsidRPr="00BD3269">
          <w:rPr>
            <w:rStyle w:val="Hipercze"/>
          </w:rPr>
          <w:t>www.minrol.gov.pl/pol</w:t>
        </w:r>
      </w:hyperlink>
    </w:p>
    <w:p w:rsidR="00321A8E" w:rsidRPr="00B80E92" w:rsidRDefault="00321A8E" w:rsidP="00321A8E">
      <w:r w:rsidRPr="00B80E92">
        <w:rPr>
          <w:u w:val="single"/>
        </w:rPr>
        <w:t>Narodowy Fundusz Ochrony Środowiska i Gospodarki Wodnej</w:t>
      </w:r>
      <w:r w:rsidRPr="00B80E92">
        <w:t xml:space="preserve"> - jest wspólnie z wojewódzkimi funduszami filarem polskiego systemu finansowania ochrony środowiska. Najważniejszym zadaniem Narodowego Funduszu w ostatnich latach jest efektywne i sprawne wykorzystanie </w:t>
      </w:r>
      <w:r w:rsidRPr="00B80E92">
        <w:lastRenderedPageBreak/>
        <w:t xml:space="preserve">środków z Unii Europejskiej przeznaczonych na rozbudowę i modernizację infrastruktury ochrony środowiska w Polsce. Działania NFOŚIGW są wspierane przez wojewódzkie fundusze ochrony środowiska, które realizują spójne przedsięwzięcia w poszczególnych regionach kraju. </w:t>
      </w:r>
      <w:proofErr w:type="spellStart"/>
      <w:r w:rsidRPr="00B80E92">
        <w:t>NFOŚiGW</w:t>
      </w:r>
      <w:proofErr w:type="spellEnd"/>
      <w:r>
        <w:t xml:space="preserve"> wspólnie z </w:t>
      </w:r>
      <w:r w:rsidRPr="00B80E92">
        <w:t xml:space="preserve">wojewódzkimi funduszami ochrony środowiska i gospodarki wodnej, jako niezależne podmioty prawne, stanowią system finansowania ochrony środowiska w Polsce. Narodowy Fundusz jest źródłem finansowania przedsięwzięć ekologicznych, głównie o charakterze ponadregionalnym, natomiast </w:t>
      </w:r>
      <w:proofErr w:type="spellStart"/>
      <w:r w:rsidRPr="00B80E92">
        <w:t>WFOŚiGW</w:t>
      </w:r>
      <w:proofErr w:type="spellEnd"/>
      <w:r w:rsidRPr="00B80E92">
        <w:t xml:space="preserve"> na poziomie regionalnym. </w:t>
      </w:r>
      <w:hyperlink r:id="rId51" w:history="1">
        <w:r w:rsidRPr="00BD3269">
          <w:rPr>
            <w:rStyle w:val="Hipercze"/>
          </w:rPr>
          <w:t>www.nfosigw.gov.pl</w:t>
        </w:r>
      </w:hyperlink>
    </w:p>
    <w:p w:rsidR="00321A8E" w:rsidRPr="00B80E92" w:rsidRDefault="00321A8E" w:rsidP="00321A8E">
      <w:r w:rsidRPr="00B80E92">
        <w:rPr>
          <w:u w:val="single"/>
        </w:rPr>
        <w:t>Polska Agencja Rozwoju Przedsiębiorczości (PARP</w:t>
      </w:r>
      <w:r w:rsidRPr="00B80E92">
        <w:t>) - jest agencją rządową podlegającą Ministrowi właściwemu ds. gospodarki. Zadaniem Agencji jest zarządzanie</w:t>
      </w:r>
      <w:r>
        <w:t xml:space="preserve"> funduszami z budżetu państwa i </w:t>
      </w:r>
      <w:r w:rsidRPr="00B80E92">
        <w:t>Unii Europejskiej, przeznaczonymi na wspieranie przedsiębiorczości i innowacyjności oraz rozwój zasobów ludzkich. Misją PARP jest tworzenie korzystnych warunków dla zrównoważonego rozwoju polskiej gospodarki poprzez wspieranie innowacyjności i aktywności międzynarodowej przedsiębiorstw oraz promocja przyjazn</w:t>
      </w:r>
      <w:r>
        <w:t>ych środowisku form produkcji i </w:t>
      </w:r>
      <w:r w:rsidRPr="00B80E92">
        <w:t xml:space="preserve">konsumpcji. Celem działania Agencji jest realizacja programów rozwoju gospodarki wspierających działalność innowacyjną i badawczą małych i średnich przedsiębiorstw (MSP), rozwój regionalny, wzrost eksportu, rozwój zasobów ludzkich oraz wykorzystywanie nowych technologii. W perspektywie finansowej obejmującej lata 2007-2013 Agencja jest odpowiedzialna za wdrażanie działań w ramach trzech programów operacyjnych Innowacyjna Gospodarka. </w:t>
      </w:r>
      <w:hyperlink r:id="rId52" w:history="1">
        <w:r w:rsidRPr="00BD3269">
          <w:rPr>
            <w:rStyle w:val="Hipercze"/>
          </w:rPr>
          <w:t>www.parp.gov.pl/index/main</w:t>
        </w:r>
      </w:hyperlink>
    </w:p>
    <w:p w:rsidR="00321A8E" w:rsidRPr="00B80E92" w:rsidRDefault="00321A8E" w:rsidP="00321A8E">
      <w:r w:rsidRPr="00B80E92">
        <w:rPr>
          <w:u w:val="single"/>
        </w:rPr>
        <w:t>Agencja Restrukturyzacji i Modernizacji Rolnictwa</w:t>
      </w:r>
      <w:r>
        <w:t xml:space="preserve"> – </w:t>
      </w:r>
      <w:proofErr w:type="spellStart"/>
      <w:r w:rsidRPr="00B80E92">
        <w:t>powstaław</w:t>
      </w:r>
      <w:proofErr w:type="spellEnd"/>
      <w:r w:rsidRPr="00B80E92">
        <w:t xml:space="preserve"> 1994 r. w celu wspierania rozwoju rolnictwa i obszarów wiejskich. </w:t>
      </w:r>
      <w:proofErr w:type="spellStart"/>
      <w:r w:rsidRPr="00B80E92">
        <w:t>ARiMR</w:t>
      </w:r>
      <w:proofErr w:type="spellEnd"/>
      <w:r w:rsidRPr="00B80E92">
        <w:t xml:space="preserve"> została wyznaczona przez Rząd RP do pełnienia roli akredytowanej agencji płatniczej. Zajmuje się wdrażaniem instrumentów współfinansowanych z budżetu Unii Europejskiej oraz udziela pomocy ze środków krajowych. Agencja, jako wykonawca polityki rolnej, ściśle współprac</w:t>
      </w:r>
      <w:r>
        <w:t>uje z Ministerstwem Rolnictwa i </w:t>
      </w:r>
      <w:r w:rsidRPr="00B80E92">
        <w:t xml:space="preserve">Rozwoju Wsi. </w:t>
      </w:r>
      <w:hyperlink r:id="rId53" w:history="1">
        <w:r w:rsidRPr="00BD3269">
          <w:rPr>
            <w:rStyle w:val="Hipercze"/>
          </w:rPr>
          <w:t>www.arimr.gov.pl</w:t>
        </w:r>
      </w:hyperlink>
    </w:p>
    <w:p w:rsidR="00321A8E" w:rsidRPr="00B80E92" w:rsidRDefault="00321A8E" w:rsidP="00321A8E">
      <w:r w:rsidRPr="00B80E92">
        <w:rPr>
          <w:u w:val="single"/>
        </w:rPr>
        <w:t>Centrum Innowacji Naczelnej Organizacji Technicznej</w:t>
      </w:r>
      <w:r w:rsidRPr="00B80E92">
        <w:t xml:space="preserve"> - je</w:t>
      </w:r>
      <w:r>
        <w:t>st samodzielną organizacyjnie i </w:t>
      </w:r>
      <w:r w:rsidRPr="00B80E92">
        <w:t xml:space="preserve">finansowo jednostką Naczelnej Organizacji Technicznej. Centrum realizuje „Program </w:t>
      </w:r>
      <w:proofErr w:type="spellStart"/>
      <w:r w:rsidRPr="00B80E92">
        <w:t>FSNT-NOT</w:t>
      </w:r>
      <w:proofErr w:type="spellEnd"/>
      <w:r w:rsidRPr="00B80E92">
        <w:t xml:space="preserve"> projektów celowych dla </w:t>
      </w:r>
      <w:proofErr w:type="spellStart"/>
      <w:r w:rsidRPr="00B80E92">
        <w:t>msp</w:t>
      </w:r>
      <w:proofErr w:type="spellEnd"/>
      <w:r w:rsidRPr="00B80E92">
        <w:t>”, w ramach którego dofinansowuje badania stosowane i prace rozwojowe służące uruchomieniu nowych wyrobów lub wdroż</w:t>
      </w:r>
      <w:r>
        <w:t>eniu nowoczesnych technologii w </w:t>
      </w:r>
      <w:r w:rsidRPr="00B80E92">
        <w:t xml:space="preserve">małych i średnich przedsiębiorstwach. </w:t>
      </w:r>
      <w:hyperlink r:id="rId54" w:history="1">
        <w:r w:rsidRPr="00BD3269">
          <w:rPr>
            <w:rStyle w:val="Hipercze"/>
          </w:rPr>
          <w:t>www.centruminnowacji.org</w:t>
        </w:r>
      </w:hyperlink>
    </w:p>
    <w:p w:rsidR="00321A8E" w:rsidRDefault="00321A8E" w:rsidP="00321A8E">
      <w:r w:rsidRPr="00B80E92">
        <w:rPr>
          <w:u w:val="single"/>
        </w:rPr>
        <w:lastRenderedPageBreak/>
        <w:t>Urzędy Marszałkowskie</w:t>
      </w:r>
      <w:r w:rsidRPr="00B80E92">
        <w:t xml:space="preserve"> - w strukturze finansowania innowacyjnych projektów inwestycyjnych związanych z efektywnością energetyczną i odnawialnymi źródłami energii znaczącą rolę odgrywają instytucje regionalne funkcjonujące w rama</w:t>
      </w:r>
      <w:r>
        <w:t>ch poszczególnych województw. W </w:t>
      </w:r>
      <w:r w:rsidRPr="00B80E92">
        <w:t xml:space="preserve">ramach otrzymanej puli środków realizują one działania mające na celu m. in. rozwój ww. dziedzin na terenie podległych im regionów (tutaj: Urząd Marszałkowski Województwa </w:t>
      </w:r>
      <w:r w:rsidR="00E423D0" w:rsidRPr="00B563DD">
        <w:t>Śląskiego w Katowicach</w:t>
      </w:r>
      <w:r w:rsidRPr="00B80E92">
        <w:t xml:space="preserve">). </w:t>
      </w:r>
    </w:p>
    <w:p w:rsidR="00F85310" w:rsidRDefault="00F85310">
      <w:pPr>
        <w:spacing w:line="276" w:lineRule="auto"/>
        <w:jc w:val="left"/>
      </w:pPr>
      <w:r>
        <w:br w:type="page"/>
      </w:r>
    </w:p>
    <w:p w:rsidR="00321A8E" w:rsidRDefault="00B56F5A" w:rsidP="00A10D06">
      <w:pPr>
        <w:pStyle w:val="Nagwek1"/>
        <w:numPr>
          <w:ilvl w:val="0"/>
          <w:numId w:val="1"/>
        </w:numPr>
      </w:pPr>
      <w:bookmarkStart w:id="67" w:name="_Toc438118385"/>
      <w:r>
        <w:lastRenderedPageBreak/>
        <w:t>Wyniki bazowej inwentaryzacji emisji dwutlenku węgla (CO</w:t>
      </w:r>
      <w:r w:rsidRPr="00B56F5A">
        <w:rPr>
          <w:vertAlign w:val="subscript"/>
        </w:rPr>
        <w:t>2</w:t>
      </w:r>
      <w:r>
        <w:t>)</w:t>
      </w:r>
      <w:bookmarkEnd w:id="67"/>
    </w:p>
    <w:p w:rsidR="00B56F5A" w:rsidRPr="00B56F5A" w:rsidRDefault="000117A8" w:rsidP="00A10D06">
      <w:pPr>
        <w:pStyle w:val="Nagwek2"/>
        <w:numPr>
          <w:ilvl w:val="1"/>
          <w:numId w:val="1"/>
        </w:numPr>
      </w:pPr>
      <w:bookmarkStart w:id="68" w:name="_Toc438118386"/>
      <w:r>
        <w:t xml:space="preserve"> </w:t>
      </w:r>
      <w:r w:rsidR="00523723">
        <w:t>Metodologia inwentaryzacji źródeł emisji CO</w:t>
      </w:r>
      <w:r w:rsidR="00523723" w:rsidRPr="00523723">
        <w:rPr>
          <w:vertAlign w:val="subscript"/>
        </w:rPr>
        <w:t>2</w:t>
      </w:r>
      <w:bookmarkEnd w:id="68"/>
    </w:p>
    <w:p w:rsidR="00AD7AF5" w:rsidRDefault="00AD7AF5" w:rsidP="00AD7AF5"/>
    <w:p w:rsidR="004065F6" w:rsidRPr="00A77BF5" w:rsidRDefault="004065F6" w:rsidP="004065F6">
      <w:r w:rsidRPr="00A77BF5">
        <w:t>Podstawą niniejszego Planu Gospodarki Niskoemisyjnej jest inwentaryzacja emisji gazów cieplarnianych, a szczególnie CO</w:t>
      </w:r>
      <w:r w:rsidRPr="00A77BF5">
        <w:rPr>
          <w:vertAlign w:val="subscript"/>
        </w:rPr>
        <w:t>2</w:t>
      </w:r>
      <w:r w:rsidRPr="00A77BF5">
        <w:t xml:space="preserve"> do powietrza. W celu sporządzenia inwentaryzacji emisji wykorzystano wytyczne Porozumienia Burmistrzów „</w:t>
      </w:r>
      <w:proofErr w:type="spellStart"/>
      <w:r w:rsidRPr="00A77BF5">
        <w:t>How</w:t>
      </w:r>
      <w:proofErr w:type="spellEnd"/>
      <w:r w:rsidRPr="00A77BF5">
        <w:t xml:space="preserve"> to </w:t>
      </w:r>
      <w:proofErr w:type="spellStart"/>
      <w:r w:rsidRPr="00A77BF5">
        <w:t>develop</w:t>
      </w:r>
      <w:proofErr w:type="spellEnd"/>
      <w:r w:rsidRPr="00A77BF5">
        <w:t xml:space="preserve"> a </w:t>
      </w:r>
      <w:proofErr w:type="spellStart"/>
      <w:r w:rsidRPr="00A77BF5">
        <w:t>Sustainable</w:t>
      </w:r>
      <w:proofErr w:type="spellEnd"/>
      <w:r w:rsidRPr="00A77BF5">
        <w:t xml:space="preserve"> Energy Action Plan (SEAP)”. Dokument ten, dostępny na stronach Porozumienia (</w:t>
      </w:r>
      <w:proofErr w:type="spellStart"/>
      <w:r w:rsidRPr="00A77BF5">
        <w:t>www.eumayors.eu</w:t>
      </w:r>
      <w:proofErr w:type="spellEnd"/>
      <w:r w:rsidRPr="00A77BF5">
        <w:t>), określa ramy oraz podstawowe założenia dla wykonania inwentaryzacji emisji gazów cieplarnianych do powietrza.</w:t>
      </w:r>
    </w:p>
    <w:p w:rsidR="004065F6" w:rsidRPr="00A77BF5" w:rsidRDefault="004065F6" w:rsidP="004065F6">
      <w:r w:rsidRPr="00A77BF5">
        <w:t>Zgodnie z wytycznymi „Porozumienia Burmistrzów” działaniami objęto zużycie energii i związaną z nim emisję CO</w:t>
      </w:r>
      <w:r w:rsidRPr="00A77BF5">
        <w:rPr>
          <w:vertAlign w:val="subscript"/>
        </w:rPr>
        <w:t>2</w:t>
      </w:r>
      <w:r w:rsidRPr="00A77BF5">
        <w:t xml:space="preserve"> w następujących sektorach: </w:t>
      </w:r>
    </w:p>
    <w:p w:rsidR="004065F6" w:rsidRPr="00A77BF5" w:rsidRDefault="004065F6" w:rsidP="004065F6">
      <w:pPr>
        <w:spacing w:line="276" w:lineRule="auto"/>
      </w:pPr>
      <w:r w:rsidRPr="00A77BF5">
        <w:t xml:space="preserve">- obiekty komunalne, </w:t>
      </w:r>
    </w:p>
    <w:p w:rsidR="004065F6" w:rsidRPr="00A77BF5" w:rsidRDefault="004065F6" w:rsidP="004065F6">
      <w:pPr>
        <w:spacing w:line="276" w:lineRule="auto"/>
      </w:pPr>
      <w:r w:rsidRPr="00A77BF5">
        <w:t xml:space="preserve">- budynki mieszkalne, </w:t>
      </w:r>
    </w:p>
    <w:p w:rsidR="004065F6" w:rsidRPr="00A77BF5" w:rsidRDefault="004065F6" w:rsidP="004065F6">
      <w:pPr>
        <w:spacing w:line="276" w:lineRule="auto"/>
      </w:pPr>
      <w:r w:rsidRPr="00A77BF5">
        <w:t xml:space="preserve">- oświetlenie uliczne, </w:t>
      </w:r>
    </w:p>
    <w:p w:rsidR="004065F6" w:rsidRPr="00A77BF5" w:rsidRDefault="004065F6" w:rsidP="004065F6">
      <w:pPr>
        <w:spacing w:line="276" w:lineRule="auto"/>
      </w:pPr>
      <w:r w:rsidRPr="00A77BF5">
        <w:t xml:space="preserve">- transport. </w:t>
      </w:r>
    </w:p>
    <w:p w:rsidR="004065F6" w:rsidRPr="00A77BF5" w:rsidRDefault="004065F6" w:rsidP="004065F6">
      <w:r w:rsidRPr="00A77BF5">
        <w:t xml:space="preserve">Do sporządzenia dokumentu przeprowadzono badania ankietowe wśród konsumentów energii cieplnej i elektrycznej. Poniższe wyliczenia i wnioski oparto na danych, jakie otrzymano w odpowiedzi na pisma i badania ankietowe, informacjach przekazanych przez Urząd Gminy </w:t>
      </w:r>
      <w:r w:rsidR="007C6213">
        <w:t>Herby</w:t>
      </w:r>
      <w:r w:rsidRPr="00A77BF5">
        <w:t xml:space="preserve"> oraz danych Głównego Urzędu Statystycznego.</w:t>
      </w:r>
    </w:p>
    <w:p w:rsidR="004065F6" w:rsidRPr="00A77BF5" w:rsidRDefault="004065F6" w:rsidP="004065F6">
      <w:r w:rsidRPr="00A77BF5">
        <w:t>W celu określenia redukcji emisji została opracowana bazowa inwentaryzacja emisji dla roku 2004 (tzw. BEI) oraz przeprowadzono kontrolną inwentaryzację emisji dla roku 2014 (tzw. MEI). Do obliczeń określono zużycie nośników energii finalnej na obszarze gminy, w podziale na poszczególne obszary. Pod pojęciem nośników energii rozumie się zużycie paliw i energii elektrycznej w bezpośrednim zużyciu.</w:t>
      </w:r>
    </w:p>
    <w:p w:rsidR="007C6213" w:rsidRDefault="007C6213" w:rsidP="007C6213">
      <w:pPr>
        <w:rPr>
          <w:b/>
        </w:rPr>
      </w:pPr>
      <w:r w:rsidRPr="00A77BF5">
        <w:rPr>
          <w:b/>
        </w:rPr>
        <w:t>W celu oszacowania wartości emisji zanieczyszczeń przyjęto następujące założenia metodologiczne:</w:t>
      </w:r>
    </w:p>
    <w:p w:rsidR="007C6213" w:rsidRPr="00A77BF5" w:rsidRDefault="007C6213" w:rsidP="00E7342B">
      <w:pPr>
        <w:numPr>
          <w:ilvl w:val="0"/>
          <w:numId w:val="32"/>
        </w:numPr>
        <w:spacing w:before="120" w:after="120"/>
      </w:pPr>
      <w:r w:rsidRPr="00A77BF5">
        <w:t>Zasięg terytorialny inwentaryzac</w:t>
      </w:r>
      <w:r w:rsidR="00E423D0">
        <w:t>ji: obszar objęty inwentaryzacją</w:t>
      </w:r>
      <w:r w:rsidRPr="00A77BF5">
        <w:t xml:space="preserve"> znajduje się w granicach administracyjnych gminy </w:t>
      </w:r>
      <w:r w:rsidR="00C60AB8">
        <w:t>Herby</w:t>
      </w:r>
      <w:r w:rsidRPr="00A77BF5">
        <w:t>.</w:t>
      </w:r>
    </w:p>
    <w:p w:rsidR="007C6213" w:rsidRPr="00A77BF5" w:rsidRDefault="007C6213" w:rsidP="00E7342B">
      <w:pPr>
        <w:numPr>
          <w:ilvl w:val="0"/>
          <w:numId w:val="32"/>
        </w:numPr>
        <w:spacing w:before="120" w:after="120"/>
      </w:pPr>
      <w:r w:rsidRPr="00A77BF5">
        <w:lastRenderedPageBreak/>
        <w:t>Zakres przeprowadzonej inwentaryzacji obejmował emisje zanieczyszczeń powietrza ze szczególnym uwzględnieniem emisji CO</w:t>
      </w:r>
      <w:r w:rsidRPr="00A77BF5">
        <w:rPr>
          <w:vertAlign w:val="subscript"/>
        </w:rPr>
        <w:t>2</w:t>
      </w:r>
    </w:p>
    <w:p w:rsidR="007C6213" w:rsidRPr="00A77BF5" w:rsidRDefault="007C6213" w:rsidP="00E7342B">
      <w:pPr>
        <w:pStyle w:val="Akapitzlist"/>
        <w:numPr>
          <w:ilvl w:val="1"/>
          <w:numId w:val="32"/>
        </w:numPr>
        <w:spacing w:before="120" w:after="120"/>
      </w:pPr>
      <w:r w:rsidRPr="00A77BF5">
        <w:t>energii cieplnej na potrzeby ogrzewania i ciepłej wody użytkowej,</w:t>
      </w:r>
    </w:p>
    <w:p w:rsidR="007C6213" w:rsidRDefault="007C6213" w:rsidP="00E7342B">
      <w:pPr>
        <w:pStyle w:val="Akapitzlist"/>
        <w:numPr>
          <w:ilvl w:val="1"/>
          <w:numId w:val="32"/>
        </w:numPr>
        <w:spacing w:before="120" w:after="120"/>
      </w:pPr>
      <w:r w:rsidRPr="00A77BF5">
        <w:t>energii paliw (transport- pojazdy na terenie gminy),</w:t>
      </w:r>
    </w:p>
    <w:p w:rsidR="007C6213" w:rsidRPr="00A77BF5" w:rsidRDefault="007C6213" w:rsidP="00E7342B">
      <w:pPr>
        <w:pStyle w:val="Akapitzlist"/>
        <w:numPr>
          <w:ilvl w:val="1"/>
          <w:numId w:val="32"/>
        </w:numPr>
        <w:spacing w:before="120" w:after="120"/>
      </w:pPr>
      <w:r w:rsidRPr="00A77BF5">
        <w:t>energii elektrycznej.</w:t>
      </w:r>
    </w:p>
    <w:p w:rsidR="007C6213" w:rsidRPr="00A77BF5" w:rsidRDefault="007C6213" w:rsidP="00E7342B">
      <w:pPr>
        <w:numPr>
          <w:ilvl w:val="0"/>
          <w:numId w:val="32"/>
        </w:numPr>
        <w:spacing w:before="120" w:after="120"/>
      </w:pPr>
      <w:r w:rsidRPr="00A77BF5">
        <w:t>Wskaźniki emisji – w celu prawidłowego określenia wielkości emisji zast</w:t>
      </w:r>
      <w:r w:rsidR="00BC7C00">
        <w:t>osowano przedstawione w tabeli 7</w:t>
      </w:r>
      <w:r w:rsidRPr="00A77BF5">
        <w:t xml:space="preserve"> wskaźniki. </w:t>
      </w:r>
    </w:p>
    <w:p w:rsidR="00AD7AF5" w:rsidRDefault="00AD7AF5" w:rsidP="00AD7AF5"/>
    <w:p w:rsidR="005D61DC" w:rsidRDefault="005D61DC" w:rsidP="00A10D06">
      <w:pPr>
        <w:pStyle w:val="Nagwek3"/>
        <w:numPr>
          <w:ilvl w:val="2"/>
          <w:numId w:val="1"/>
        </w:numPr>
        <w:ind w:left="1418" w:hanging="698"/>
        <w:jc w:val="left"/>
      </w:pPr>
      <w:bookmarkStart w:id="69" w:name="_Toc438118387"/>
      <w:r>
        <w:t>Ogólne zasady przeprowadzania inwentaryzacji obiektów (badania ankietowe)</w:t>
      </w:r>
      <w:bookmarkEnd w:id="69"/>
    </w:p>
    <w:p w:rsidR="005D61DC" w:rsidRDefault="005D61DC" w:rsidP="005D61DC"/>
    <w:p w:rsidR="005D61DC" w:rsidRPr="009067EB" w:rsidRDefault="005D61DC" w:rsidP="005D61DC">
      <w:r w:rsidRPr="006F2005">
        <w:t>Plan Gospodarki Niskoemisyjnej opracowano w oparciu o informacje otrzymane</w:t>
      </w:r>
      <w:r w:rsidR="004206EE" w:rsidRPr="006F2005">
        <w:t xml:space="preserve"> </w:t>
      </w:r>
      <w:r w:rsidRPr="006F2005">
        <w:t>od Urzędu</w:t>
      </w:r>
      <w:r w:rsidRPr="009067EB">
        <w:t xml:space="preserve"> Gminy </w:t>
      </w:r>
      <w:r w:rsidR="00C60AB8">
        <w:t>Herby</w:t>
      </w:r>
      <w:r w:rsidRPr="009067EB">
        <w:t xml:space="preserve"> w zakresie:</w:t>
      </w:r>
    </w:p>
    <w:p w:rsidR="005D61DC" w:rsidRPr="009067EB" w:rsidRDefault="005D61DC" w:rsidP="00802D34">
      <w:pPr>
        <w:numPr>
          <w:ilvl w:val="0"/>
          <w:numId w:val="3"/>
        </w:numPr>
        <w:spacing w:after="0"/>
      </w:pPr>
      <w:r w:rsidRPr="009067EB">
        <w:t>sytuacji energetycznej budynków gminnych użyteczności publicznej,</w:t>
      </w:r>
    </w:p>
    <w:p w:rsidR="005D61DC" w:rsidRPr="009067EB" w:rsidRDefault="005D61DC" w:rsidP="00802D34">
      <w:pPr>
        <w:numPr>
          <w:ilvl w:val="0"/>
          <w:numId w:val="3"/>
        </w:numPr>
        <w:spacing w:after="0"/>
      </w:pPr>
      <w:r w:rsidRPr="009067EB">
        <w:t>danych na temat opłat oświetlenia ulicznego,</w:t>
      </w:r>
    </w:p>
    <w:p w:rsidR="005D61DC" w:rsidRPr="009067EB" w:rsidRDefault="005D61DC" w:rsidP="00802D34">
      <w:pPr>
        <w:numPr>
          <w:ilvl w:val="0"/>
          <w:numId w:val="3"/>
        </w:numPr>
        <w:spacing w:after="0"/>
      </w:pPr>
      <w:r w:rsidRPr="009067EB">
        <w:t xml:space="preserve">Strategii rozwoju Gminy </w:t>
      </w:r>
      <w:r w:rsidR="00C60AB8">
        <w:t>Herby</w:t>
      </w:r>
      <w:r w:rsidRPr="009067EB">
        <w:t>,</w:t>
      </w:r>
    </w:p>
    <w:p w:rsidR="005D61DC" w:rsidRPr="009067EB" w:rsidRDefault="005D61DC" w:rsidP="00802D34">
      <w:pPr>
        <w:numPr>
          <w:ilvl w:val="0"/>
          <w:numId w:val="3"/>
        </w:numPr>
        <w:spacing w:after="0"/>
      </w:pPr>
      <w:r w:rsidRPr="009067EB">
        <w:t>Studium uwarunkowań i kierunków zagospodarowania przestrzennego,</w:t>
      </w:r>
    </w:p>
    <w:p w:rsidR="005D61DC" w:rsidRPr="00D25E83" w:rsidRDefault="005D61DC" w:rsidP="005D61DC">
      <w:pPr>
        <w:spacing w:line="240" w:lineRule="auto"/>
        <w:rPr>
          <w:sz w:val="16"/>
          <w:szCs w:val="16"/>
        </w:rPr>
      </w:pPr>
    </w:p>
    <w:p w:rsidR="005D61DC" w:rsidRPr="009067EB" w:rsidRDefault="005D61DC" w:rsidP="005D61DC">
      <w:r w:rsidRPr="009067EB">
        <w:t>W ramach inwentaryzacji emisji w transporcie wyk</w:t>
      </w:r>
      <w:r w:rsidR="00AF4CF6">
        <w:t>orzystano następujące informacje</w:t>
      </w:r>
      <w:r w:rsidRPr="009067EB">
        <w:t xml:space="preserve">: </w:t>
      </w:r>
    </w:p>
    <w:p w:rsidR="005D61DC" w:rsidRPr="009067EB" w:rsidRDefault="005D61DC" w:rsidP="00802D34">
      <w:pPr>
        <w:numPr>
          <w:ilvl w:val="0"/>
          <w:numId w:val="4"/>
        </w:numPr>
        <w:spacing w:after="0"/>
        <w:ind w:left="714" w:hanging="357"/>
      </w:pPr>
      <w:r w:rsidRPr="009067EB">
        <w:t xml:space="preserve">generalny pomiar ruchu w 2010 roku (Średni Dobowy Ruch), </w:t>
      </w:r>
    </w:p>
    <w:p w:rsidR="005D61DC" w:rsidRPr="006F2005" w:rsidRDefault="005D61DC" w:rsidP="00802D34">
      <w:pPr>
        <w:numPr>
          <w:ilvl w:val="0"/>
          <w:numId w:val="4"/>
        </w:numPr>
        <w:spacing w:after="0"/>
        <w:ind w:left="714" w:hanging="357"/>
      </w:pPr>
      <w:r w:rsidRPr="006F2005">
        <w:t>pomiar ruchu na drogach wojewódzkich w 2010 roku (Średni Dobowy Ruch</w:t>
      </w:r>
      <w:r w:rsidR="004206EE" w:rsidRPr="006F2005">
        <w:t xml:space="preserve"> </w:t>
      </w:r>
      <w:r w:rsidRPr="006F2005">
        <w:t>w punktach</w:t>
      </w:r>
      <w:r w:rsidRPr="009067EB">
        <w:t xml:space="preserve"> </w:t>
      </w:r>
      <w:r w:rsidRPr="006F2005">
        <w:t xml:space="preserve">pomiarowych w 2010 roku),  </w:t>
      </w:r>
    </w:p>
    <w:p w:rsidR="005D61DC" w:rsidRPr="006F2005" w:rsidRDefault="005D61DC" w:rsidP="005D61DC">
      <w:pPr>
        <w:spacing w:line="240" w:lineRule="auto"/>
        <w:rPr>
          <w:sz w:val="16"/>
          <w:szCs w:val="16"/>
        </w:rPr>
      </w:pPr>
    </w:p>
    <w:p w:rsidR="005D61DC" w:rsidRPr="006F2005" w:rsidRDefault="005D61DC" w:rsidP="005D61DC">
      <w:r w:rsidRPr="006F2005">
        <w:t>Budynki użyteczności publicznej i gospodarstwa domowe poddano ankietyzacji</w:t>
      </w:r>
      <w:r w:rsidR="004206EE" w:rsidRPr="006F2005">
        <w:t xml:space="preserve"> </w:t>
      </w:r>
      <w:r w:rsidRPr="006F2005">
        <w:t xml:space="preserve">w trzecim kwartale 2015 r. Zebrane informacje pozwoliły na wyznaczenie możliwych przedsięwzięć w sektorze mieszkalnym. </w:t>
      </w:r>
    </w:p>
    <w:p w:rsidR="005D61DC" w:rsidRPr="009067EB" w:rsidRDefault="005D61DC" w:rsidP="005D61DC">
      <w:r w:rsidRPr="009067EB">
        <w:t>Główne informacje zebrane od właścicieli budynków to:</w:t>
      </w:r>
    </w:p>
    <w:p w:rsidR="005D61DC" w:rsidRPr="009067EB" w:rsidRDefault="005D61DC" w:rsidP="00E7342B">
      <w:pPr>
        <w:numPr>
          <w:ilvl w:val="0"/>
          <w:numId w:val="33"/>
        </w:numPr>
        <w:spacing w:after="120" w:line="240" w:lineRule="auto"/>
        <w:ind w:left="714" w:hanging="357"/>
      </w:pPr>
      <w:r w:rsidRPr="009067EB">
        <w:t xml:space="preserve">liczba mieszkańców, </w:t>
      </w:r>
    </w:p>
    <w:p w:rsidR="005D61DC" w:rsidRPr="009067EB" w:rsidRDefault="005D61DC" w:rsidP="00E7342B">
      <w:pPr>
        <w:numPr>
          <w:ilvl w:val="0"/>
          <w:numId w:val="33"/>
        </w:numPr>
        <w:spacing w:after="120" w:line="240" w:lineRule="auto"/>
        <w:ind w:left="714" w:hanging="357"/>
      </w:pPr>
      <w:r w:rsidRPr="009067EB">
        <w:t xml:space="preserve">powierzchnia użytkowa, </w:t>
      </w:r>
    </w:p>
    <w:p w:rsidR="005D61DC" w:rsidRPr="009067EB" w:rsidRDefault="005D61DC" w:rsidP="00E7342B">
      <w:pPr>
        <w:numPr>
          <w:ilvl w:val="0"/>
          <w:numId w:val="33"/>
        </w:numPr>
        <w:spacing w:after="120" w:line="240" w:lineRule="auto"/>
        <w:ind w:left="714" w:hanging="357"/>
      </w:pPr>
      <w:r w:rsidRPr="009067EB">
        <w:t xml:space="preserve">kubatura całkowita, </w:t>
      </w:r>
    </w:p>
    <w:p w:rsidR="005D61DC" w:rsidRPr="009067EB" w:rsidRDefault="005D61DC" w:rsidP="00E7342B">
      <w:pPr>
        <w:numPr>
          <w:ilvl w:val="0"/>
          <w:numId w:val="33"/>
        </w:numPr>
        <w:spacing w:after="120" w:line="240" w:lineRule="auto"/>
        <w:ind w:left="714" w:hanging="357"/>
      </w:pPr>
      <w:r w:rsidRPr="009067EB">
        <w:lastRenderedPageBreak/>
        <w:t xml:space="preserve">rok budowy, </w:t>
      </w:r>
    </w:p>
    <w:p w:rsidR="005D61DC" w:rsidRPr="009067EB" w:rsidRDefault="005D61DC" w:rsidP="00E7342B">
      <w:pPr>
        <w:numPr>
          <w:ilvl w:val="0"/>
          <w:numId w:val="33"/>
        </w:numPr>
        <w:spacing w:after="120" w:line="240" w:lineRule="auto"/>
        <w:ind w:left="714" w:hanging="357"/>
      </w:pPr>
      <w:r w:rsidRPr="009067EB">
        <w:t>rodzaj ciepła wykorzystanego do centralnego ogrzewania i ciepłej wody użytkowej</w:t>
      </w:r>
    </w:p>
    <w:p w:rsidR="005D61DC" w:rsidRPr="009067EB" w:rsidRDefault="005D61DC" w:rsidP="00E7342B">
      <w:pPr>
        <w:numPr>
          <w:ilvl w:val="0"/>
          <w:numId w:val="33"/>
        </w:numPr>
        <w:spacing w:after="120" w:line="240" w:lineRule="auto"/>
        <w:ind w:left="714" w:hanging="357"/>
      </w:pPr>
      <w:r w:rsidRPr="009067EB">
        <w:t>zużycie energii</w:t>
      </w:r>
    </w:p>
    <w:p w:rsidR="005D61DC" w:rsidRDefault="005D61DC" w:rsidP="00E7342B">
      <w:pPr>
        <w:numPr>
          <w:ilvl w:val="0"/>
          <w:numId w:val="33"/>
        </w:numPr>
        <w:spacing w:after="120" w:line="240" w:lineRule="auto"/>
        <w:ind w:left="714" w:hanging="357"/>
      </w:pPr>
      <w:r w:rsidRPr="009067EB">
        <w:t>plany / zamierzenia związane z poprawą efektywności energetycznej.</w:t>
      </w:r>
    </w:p>
    <w:p w:rsidR="005D61DC" w:rsidRDefault="005D61DC" w:rsidP="005D61DC"/>
    <w:p w:rsidR="00354004" w:rsidRDefault="00354004" w:rsidP="00A10D06">
      <w:pPr>
        <w:pStyle w:val="Nagwek3"/>
        <w:numPr>
          <w:ilvl w:val="2"/>
          <w:numId w:val="1"/>
        </w:numPr>
      </w:pPr>
      <w:bookmarkStart w:id="70" w:name="_Toc438118388"/>
      <w:r>
        <w:t>Inwentaryzacja emisji CO</w:t>
      </w:r>
      <w:r w:rsidRPr="00354004">
        <w:rPr>
          <w:vertAlign w:val="subscript"/>
        </w:rPr>
        <w:t>2</w:t>
      </w:r>
      <w:bookmarkEnd w:id="70"/>
    </w:p>
    <w:p w:rsidR="00354004" w:rsidRPr="00354004" w:rsidRDefault="00354004" w:rsidP="00354004"/>
    <w:p w:rsidR="00347E99" w:rsidRPr="00D979F2" w:rsidRDefault="00347E99" w:rsidP="00347E99">
      <w:r w:rsidRPr="00D979F2">
        <w:t xml:space="preserve">Inwentaryzację zanieczyszczeń oraz emisję CO2 do atmosfery wykonano w oparciu o bilans energetyczny dla </w:t>
      </w:r>
      <w:r w:rsidRPr="00B563DD">
        <w:t xml:space="preserve">Gminy </w:t>
      </w:r>
      <w:r w:rsidR="00B563DD" w:rsidRPr="00B563DD">
        <w:t>Herby</w:t>
      </w:r>
      <w:r w:rsidRPr="00D979F2">
        <w:t xml:space="preserve">. Jako rok bazowy przyjęto rok 2009, dla którego udało się zebrać kompleksowe dane we wszystkich grupach odbiorców. Inwentaryzacja emisji CO2 (bazowa oraz prognoza do roku 2020) została wykonana zgodnie z wytycznymi Porozumienia Burmistrzów określonymi w dokumencie „SEAP” „Jak opracować plan działań na rzecz zrównoważonej energii”. W celu obliczenia emisji zanieczyszczeń w roku bazowym wyznacza się zużycie energii finalnej dla poszczególnych sektorów odbiorców sektorów odbiorców w tych latach na obszarze całej Gminy. </w:t>
      </w:r>
    </w:p>
    <w:p w:rsidR="00347E99" w:rsidRPr="00D979F2" w:rsidRDefault="00347E99" w:rsidP="00347E99">
      <w:r w:rsidRPr="00D979F2">
        <w:t xml:space="preserve">Poniżej przedstawiono następujące obszary odbiorców: </w:t>
      </w:r>
    </w:p>
    <w:p w:rsidR="00347E99" w:rsidRPr="00D979F2" w:rsidRDefault="00347E99" w:rsidP="00E7342B">
      <w:pPr>
        <w:numPr>
          <w:ilvl w:val="0"/>
          <w:numId w:val="34"/>
        </w:numPr>
        <w:spacing w:before="120" w:after="120" w:line="276" w:lineRule="auto"/>
      </w:pPr>
      <w:r w:rsidRPr="00D979F2">
        <w:t xml:space="preserve">budynków użyteczności publicznej, </w:t>
      </w:r>
    </w:p>
    <w:p w:rsidR="00347E99" w:rsidRPr="00D979F2" w:rsidRDefault="00347E99" w:rsidP="00E7342B">
      <w:pPr>
        <w:numPr>
          <w:ilvl w:val="0"/>
          <w:numId w:val="34"/>
        </w:numPr>
        <w:spacing w:before="120" w:after="120" w:line="276" w:lineRule="auto"/>
      </w:pPr>
      <w:r w:rsidRPr="00D979F2">
        <w:t xml:space="preserve">budynków jednorodzinnych/ mieszkalnych, </w:t>
      </w:r>
    </w:p>
    <w:p w:rsidR="00347E99" w:rsidRPr="00D979F2" w:rsidRDefault="00347E99" w:rsidP="00E7342B">
      <w:pPr>
        <w:numPr>
          <w:ilvl w:val="0"/>
          <w:numId w:val="34"/>
        </w:numPr>
        <w:spacing w:before="120" w:after="120" w:line="276" w:lineRule="auto"/>
      </w:pPr>
      <w:r w:rsidRPr="00D979F2">
        <w:t xml:space="preserve">oświetlenia ulicznego, </w:t>
      </w:r>
    </w:p>
    <w:p w:rsidR="00347E99" w:rsidRPr="00D979F2" w:rsidRDefault="00347E99" w:rsidP="00E7342B">
      <w:pPr>
        <w:numPr>
          <w:ilvl w:val="0"/>
          <w:numId w:val="34"/>
        </w:numPr>
        <w:spacing w:before="120" w:after="120" w:line="276" w:lineRule="auto"/>
      </w:pPr>
      <w:r w:rsidRPr="00D979F2">
        <w:t xml:space="preserve">transportu. </w:t>
      </w:r>
    </w:p>
    <w:p w:rsidR="00347E99" w:rsidRPr="00595108" w:rsidRDefault="00347E99" w:rsidP="00595108">
      <w:pPr>
        <w:spacing w:line="240" w:lineRule="auto"/>
        <w:rPr>
          <w:sz w:val="16"/>
          <w:szCs w:val="16"/>
        </w:rPr>
      </w:pPr>
    </w:p>
    <w:p w:rsidR="00347E99" w:rsidRPr="00D979F2" w:rsidRDefault="00347E99" w:rsidP="00347E99">
      <w:r w:rsidRPr="00D979F2">
        <w:t>Wyróżniono najczęściej używane nośniki na terenie gminy</w:t>
      </w:r>
      <w:r>
        <w:t>:</w:t>
      </w:r>
    </w:p>
    <w:p w:rsidR="00347E99" w:rsidRPr="00D979F2" w:rsidRDefault="00347E99" w:rsidP="00E7342B">
      <w:pPr>
        <w:numPr>
          <w:ilvl w:val="0"/>
          <w:numId w:val="34"/>
        </w:numPr>
        <w:spacing w:before="120" w:after="120" w:line="276" w:lineRule="auto"/>
      </w:pPr>
      <w:r>
        <w:t>d</w:t>
      </w:r>
      <w:r w:rsidRPr="00D979F2">
        <w:t xml:space="preserve">rewno opałowe, </w:t>
      </w:r>
    </w:p>
    <w:p w:rsidR="00347E99" w:rsidRPr="00D979F2" w:rsidRDefault="00347E99" w:rsidP="00E7342B">
      <w:pPr>
        <w:numPr>
          <w:ilvl w:val="0"/>
          <w:numId w:val="34"/>
        </w:numPr>
        <w:spacing w:before="120" w:after="120" w:line="276" w:lineRule="auto"/>
      </w:pPr>
      <w:r>
        <w:t>w</w:t>
      </w:r>
      <w:r w:rsidRPr="00D979F2">
        <w:t xml:space="preserve">ęgiel kamienny, </w:t>
      </w:r>
    </w:p>
    <w:p w:rsidR="00347E99" w:rsidRPr="00D979F2" w:rsidRDefault="00347E99" w:rsidP="00E7342B">
      <w:pPr>
        <w:numPr>
          <w:ilvl w:val="0"/>
          <w:numId w:val="34"/>
        </w:numPr>
        <w:spacing w:before="120" w:after="120" w:line="276" w:lineRule="auto"/>
      </w:pPr>
      <w:r>
        <w:t>e</w:t>
      </w:r>
      <w:r w:rsidRPr="00D979F2">
        <w:t xml:space="preserve">nergię elektryczną, </w:t>
      </w:r>
    </w:p>
    <w:p w:rsidR="00347E99" w:rsidRPr="00D979F2" w:rsidRDefault="00347E99" w:rsidP="00E7342B">
      <w:pPr>
        <w:numPr>
          <w:ilvl w:val="0"/>
          <w:numId w:val="34"/>
        </w:numPr>
        <w:spacing w:before="120" w:after="120" w:line="276" w:lineRule="auto"/>
      </w:pPr>
      <w:r>
        <w:t>o</w:t>
      </w:r>
      <w:r w:rsidRPr="00D979F2">
        <w:t xml:space="preserve">lej napędowy, </w:t>
      </w:r>
    </w:p>
    <w:p w:rsidR="00347E99" w:rsidRPr="00D979F2" w:rsidRDefault="00347E99" w:rsidP="00E7342B">
      <w:pPr>
        <w:numPr>
          <w:ilvl w:val="0"/>
          <w:numId w:val="34"/>
        </w:numPr>
        <w:spacing w:before="120" w:after="120" w:line="240" w:lineRule="auto"/>
      </w:pPr>
      <w:r>
        <w:t>g</w:t>
      </w:r>
      <w:r w:rsidRPr="00D979F2">
        <w:t xml:space="preserve">az płynny LPG, </w:t>
      </w:r>
    </w:p>
    <w:p w:rsidR="00347E99" w:rsidRPr="00D979F2" w:rsidRDefault="00347E99" w:rsidP="00E7342B">
      <w:pPr>
        <w:numPr>
          <w:ilvl w:val="0"/>
          <w:numId w:val="34"/>
        </w:numPr>
        <w:spacing w:before="120" w:after="120" w:line="240" w:lineRule="auto"/>
      </w:pPr>
      <w:r>
        <w:t>b</w:t>
      </w:r>
      <w:r w:rsidRPr="00D979F2">
        <w:t xml:space="preserve">enzyna. </w:t>
      </w:r>
    </w:p>
    <w:p w:rsidR="00347E99" w:rsidRPr="00D979F2" w:rsidRDefault="00347E99" w:rsidP="00347E99">
      <w:pPr>
        <w:spacing w:line="240" w:lineRule="auto"/>
      </w:pPr>
    </w:p>
    <w:p w:rsidR="00917930" w:rsidRDefault="00917930" w:rsidP="00917930">
      <w:pPr>
        <w:ind w:firstLine="360"/>
      </w:pPr>
      <w:r>
        <w:lastRenderedPageBreak/>
        <w:t>W celu oszacowania wartości emisji zanieczyszczeń przyjęto następujące założenia metodologiczne:</w:t>
      </w:r>
    </w:p>
    <w:p w:rsidR="00917930" w:rsidRDefault="00917930" w:rsidP="00555729">
      <w:pPr>
        <w:pStyle w:val="Akapitzlist"/>
        <w:numPr>
          <w:ilvl w:val="0"/>
          <w:numId w:val="71"/>
        </w:numPr>
      </w:pPr>
      <w:r>
        <w:t>zasięg terytorialny inwentaryzacji: obszar objęty inwentaryzacja znajduje się</w:t>
      </w:r>
      <w:r w:rsidR="0006456D">
        <w:t xml:space="preserve"> w granicach administracyjnych </w:t>
      </w:r>
      <w:r w:rsidR="0006456D" w:rsidRPr="00B563DD">
        <w:t>G</w:t>
      </w:r>
      <w:r w:rsidRPr="00B563DD">
        <w:t xml:space="preserve">miny </w:t>
      </w:r>
      <w:r w:rsidR="0006456D" w:rsidRPr="00B563DD">
        <w:t>Herby</w:t>
      </w:r>
      <w:r>
        <w:t>,</w:t>
      </w:r>
    </w:p>
    <w:p w:rsidR="00917930" w:rsidRDefault="00917930" w:rsidP="00555729">
      <w:pPr>
        <w:pStyle w:val="Akapitzlist"/>
        <w:numPr>
          <w:ilvl w:val="0"/>
          <w:numId w:val="71"/>
        </w:numPr>
      </w:pPr>
      <w:r>
        <w:t>zakres przeprowadzonej inwentaryzacji obejmował emisje zanieczyszczeń powietrza ze szczególnym uwzględnieniem emisji CO</w:t>
      </w:r>
      <w:r>
        <w:rPr>
          <w:vertAlign w:val="subscript"/>
        </w:rPr>
        <w:t>2</w:t>
      </w:r>
      <w:r>
        <w:t>:</w:t>
      </w:r>
    </w:p>
    <w:p w:rsidR="00917930" w:rsidRDefault="00917930" w:rsidP="00917930">
      <w:pPr>
        <w:pStyle w:val="Akapitzlist"/>
      </w:pPr>
      <w:r>
        <w:t>- energii cieplnej na potrzeby ogrzewania i ciepłej wody użytkowej,</w:t>
      </w:r>
    </w:p>
    <w:p w:rsidR="00917930" w:rsidRDefault="00917930" w:rsidP="00917930">
      <w:pPr>
        <w:pStyle w:val="Akapitzlist"/>
      </w:pPr>
      <w:r>
        <w:t>- energii paliw (transport-pojazdy na terenie gminy),</w:t>
      </w:r>
    </w:p>
    <w:p w:rsidR="00917930" w:rsidRDefault="00917930" w:rsidP="00917930">
      <w:pPr>
        <w:pStyle w:val="Akapitzlist"/>
      </w:pPr>
      <w:bookmarkStart w:id="71" w:name="_Toc431460814"/>
      <w:r>
        <w:t>- energia elektryczna,</w:t>
      </w:r>
      <w:bookmarkEnd w:id="71"/>
    </w:p>
    <w:p w:rsidR="00917930" w:rsidRPr="00944937" w:rsidRDefault="00917930" w:rsidP="00555729">
      <w:pPr>
        <w:pStyle w:val="Akapitzlist"/>
        <w:numPr>
          <w:ilvl w:val="0"/>
          <w:numId w:val="71"/>
        </w:numPr>
      </w:pPr>
      <w:r>
        <w:t>do obliczeń skorzystano ze "standardowych" wskaźników emisji zgodnie z zasadami IPCC (Międzynarodowy Zespół do spraw Zmian Klimatu), obejmującymi całość emisji CO</w:t>
      </w:r>
      <w:r>
        <w:rPr>
          <w:vertAlign w:val="subscript"/>
        </w:rPr>
        <w:t>2</w:t>
      </w:r>
      <w:r>
        <w:t xml:space="preserve"> wynikającej z końcowego zużycia energii na terenie gminy. Standardowe wskaźniki emisji bazują na zawartości węgla w poszczególnych paliwach. Użyte ws</w:t>
      </w:r>
      <w:r w:rsidR="00EB0EB1">
        <w:t>kaźniki przedstawiono w tabeli 7</w:t>
      </w:r>
      <w:r>
        <w:t>:</w:t>
      </w:r>
    </w:p>
    <w:p w:rsidR="00944937" w:rsidRPr="00944937" w:rsidRDefault="00944937" w:rsidP="00944937">
      <w:pPr>
        <w:pStyle w:val="Legenda"/>
        <w:keepNext/>
        <w:rPr>
          <w:color w:val="auto"/>
        </w:rPr>
      </w:pPr>
      <w:r w:rsidRPr="00944937">
        <w:rPr>
          <w:color w:val="auto"/>
        </w:rPr>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7</w:t>
      </w:r>
      <w:r w:rsidR="00844CE4">
        <w:rPr>
          <w:color w:val="auto"/>
        </w:rPr>
        <w:fldChar w:fldCharType="end"/>
      </w:r>
      <w:r w:rsidRPr="00944937">
        <w:rPr>
          <w:color w:val="auto"/>
        </w:rPr>
        <w:t>. Wartości wskaźników emisji CO2 użytych w ramach inwentaryzacji emisji</w:t>
      </w:r>
    </w:p>
    <w:tbl>
      <w:tblPr>
        <w:tblW w:w="8799" w:type="dxa"/>
        <w:jc w:val="center"/>
        <w:tblInd w:w="-248" w:type="dxa"/>
        <w:tblCellMar>
          <w:left w:w="0" w:type="dxa"/>
          <w:right w:w="0" w:type="dxa"/>
        </w:tblCellMar>
        <w:tblLook w:val="04A0"/>
      </w:tblPr>
      <w:tblGrid>
        <w:gridCol w:w="2143"/>
        <w:gridCol w:w="2140"/>
        <w:gridCol w:w="4516"/>
      </w:tblGrid>
      <w:tr w:rsidR="00917930" w:rsidTr="00917930">
        <w:trPr>
          <w:trHeight w:val="675"/>
          <w:jc w:val="center"/>
        </w:trPr>
        <w:tc>
          <w:tcPr>
            <w:tcW w:w="2143" w:type="dxa"/>
            <w:tcBorders>
              <w:top w:val="single" w:sz="8" w:space="0" w:color="auto"/>
              <w:left w:val="single" w:sz="8" w:space="0" w:color="auto"/>
              <w:bottom w:val="single" w:sz="8" w:space="0" w:color="auto"/>
              <w:right w:val="single" w:sz="8" w:space="0" w:color="auto"/>
            </w:tcBorders>
            <w:shd w:val="clear" w:color="auto" w:fill="C5D9F1"/>
            <w:tcMar>
              <w:top w:w="0" w:type="dxa"/>
              <w:left w:w="70" w:type="dxa"/>
              <w:bottom w:w="0" w:type="dxa"/>
              <w:right w:w="70" w:type="dxa"/>
            </w:tcMar>
            <w:vAlign w:val="center"/>
            <w:hideMark/>
          </w:tcPr>
          <w:p w:rsidR="00917930" w:rsidRDefault="00917930">
            <w:pPr>
              <w:jc w:val="center"/>
              <w:rPr>
                <w:b/>
                <w:bCs/>
                <w:color w:val="000000"/>
                <w:sz w:val="24"/>
                <w:szCs w:val="24"/>
              </w:rPr>
            </w:pPr>
            <w:r>
              <w:rPr>
                <w:b/>
                <w:bCs/>
                <w:color w:val="000000"/>
              </w:rPr>
              <w:t>Nośnik</w:t>
            </w:r>
          </w:p>
        </w:tc>
        <w:tc>
          <w:tcPr>
            <w:tcW w:w="2140" w:type="dxa"/>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917930" w:rsidRDefault="00917930">
            <w:pPr>
              <w:jc w:val="center"/>
              <w:rPr>
                <w:b/>
                <w:bCs/>
                <w:color w:val="000000"/>
                <w:sz w:val="24"/>
                <w:szCs w:val="24"/>
              </w:rPr>
            </w:pPr>
            <w:r>
              <w:rPr>
                <w:b/>
                <w:bCs/>
                <w:color w:val="000000"/>
              </w:rPr>
              <w:t>Wartość wskaźnika (Mg CO</w:t>
            </w:r>
            <w:r>
              <w:rPr>
                <w:b/>
                <w:bCs/>
                <w:color w:val="000000"/>
                <w:vertAlign w:val="subscript"/>
              </w:rPr>
              <w:t>2</w:t>
            </w:r>
            <w:r>
              <w:rPr>
                <w:b/>
                <w:bCs/>
                <w:color w:val="000000"/>
              </w:rPr>
              <w:t>/</w:t>
            </w:r>
            <w:proofErr w:type="spellStart"/>
            <w:r>
              <w:rPr>
                <w:b/>
                <w:bCs/>
                <w:color w:val="000000"/>
              </w:rPr>
              <w:t>MWh</w:t>
            </w:r>
            <w:proofErr w:type="spellEnd"/>
            <w:r>
              <w:rPr>
                <w:b/>
                <w:bCs/>
                <w:color w:val="000000"/>
              </w:rPr>
              <w:t>)</w:t>
            </w:r>
          </w:p>
        </w:tc>
        <w:tc>
          <w:tcPr>
            <w:tcW w:w="4516" w:type="dxa"/>
            <w:tcBorders>
              <w:top w:val="single" w:sz="8" w:space="0" w:color="auto"/>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917930" w:rsidRDefault="00917930">
            <w:pPr>
              <w:jc w:val="center"/>
              <w:rPr>
                <w:b/>
                <w:bCs/>
                <w:color w:val="000000"/>
                <w:sz w:val="24"/>
                <w:szCs w:val="24"/>
              </w:rPr>
            </w:pPr>
            <w:r>
              <w:rPr>
                <w:b/>
                <w:bCs/>
                <w:color w:val="000000"/>
              </w:rPr>
              <w:t>Źródła danych</w:t>
            </w:r>
          </w:p>
        </w:tc>
      </w:tr>
      <w:tr w:rsidR="00917930" w:rsidTr="00917930">
        <w:trPr>
          <w:trHeight w:val="1575"/>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Energia elektryczna</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0,812</w:t>
            </w:r>
          </w:p>
        </w:tc>
        <w:tc>
          <w:tcPr>
            <w:tcW w:w="45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KOBIZE - Referencyjny wskaźnik jednostkowej emisyjności dwutlenku węgla przy produkcji energii elektrycznej do wyznaczania poziomu bazowego d</w:t>
            </w:r>
            <w:r w:rsidR="007F23B8">
              <w:rPr>
                <w:color w:val="000000"/>
              </w:rPr>
              <w:t>la projektów JI realizowanych w </w:t>
            </w:r>
            <w:r>
              <w:rPr>
                <w:color w:val="000000"/>
              </w:rPr>
              <w:t>Polsce</w:t>
            </w:r>
          </w:p>
        </w:tc>
      </w:tr>
      <w:tr w:rsidR="00917930" w:rsidTr="00917930">
        <w:trPr>
          <w:trHeight w:val="300"/>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Drewno opałowe</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w:t>
            </w:r>
          </w:p>
        </w:tc>
        <w:tc>
          <w:tcPr>
            <w:tcW w:w="451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917930" w:rsidRDefault="00917930">
            <w:pPr>
              <w:rPr>
                <w:color w:val="000000"/>
                <w:sz w:val="24"/>
                <w:szCs w:val="24"/>
              </w:rPr>
            </w:pPr>
            <w:r>
              <w:rPr>
                <w:color w:val="000000"/>
              </w:rPr>
              <w:t>KOBIZE - Wartości opałowe (WO)  i wskaźniki emisji CO</w:t>
            </w:r>
            <w:r>
              <w:rPr>
                <w:color w:val="000000"/>
                <w:vertAlign w:val="subscript"/>
              </w:rPr>
              <w:t>2</w:t>
            </w:r>
            <w:r>
              <w:rPr>
                <w:color w:val="000000"/>
              </w:rPr>
              <w:t xml:space="preserve"> (WE) w roku 2008 do raportowania w ramach Wspólnotowego Systemu Handlu Uprawnieniami do Emisji za rok 2014</w:t>
            </w:r>
          </w:p>
        </w:tc>
      </w:tr>
      <w:tr w:rsidR="00917930" w:rsidTr="00917930">
        <w:trPr>
          <w:trHeight w:val="315"/>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Węgiel kamienny</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0,341</w:t>
            </w:r>
          </w:p>
        </w:tc>
        <w:tc>
          <w:tcPr>
            <w:tcW w:w="4516" w:type="dxa"/>
            <w:vMerge/>
            <w:tcBorders>
              <w:top w:val="nil"/>
              <w:left w:val="nil"/>
              <w:bottom w:val="single" w:sz="8" w:space="0" w:color="auto"/>
              <w:right w:val="single" w:sz="8" w:space="0" w:color="auto"/>
            </w:tcBorders>
            <w:vAlign w:val="center"/>
            <w:hideMark/>
          </w:tcPr>
          <w:p w:rsidR="00917930" w:rsidRDefault="00917930">
            <w:pPr>
              <w:rPr>
                <w:color w:val="000000"/>
                <w:sz w:val="24"/>
                <w:szCs w:val="24"/>
              </w:rPr>
            </w:pPr>
          </w:p>
        </w:tc>
      </w:tr>
      <w:tr w:rsidR="00917930" w:rsidTr="00917930">
        <w:trPr>
          <w:trHeight w:val="315"/>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Olej napędowy</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0,264</w:t>
            </w:r>
          </w:p>
        </w:tc>
        <w:tc>
          <w:tcPr>
            <w:tcW w:w="4516" w:type="dxa"/>
            <w:vMerge/>
            <w:tcBorders>
              <w:top w:val="nil"/>
              <w:left w:val="nil"/>
              <w:bottom w:val="single" w:sz="8" w:space="0" w:color="auto"/>
              <w:right w:val="single" w:sz="8" w:space="0" w:color="auto"/>
            </w:tcBorders>
            <w:vAlign w:val="center"/>
            <w:hideMark/>
          </w:tcPr>
          <w:p w:rsidR="00917930" w:rsidRDefault="00917930">
            <w:pPr>
              <w:rPr>
                <w:color w:val="000000"/>
                <w:sz w:val="24"/>
                <w:szCs w:val="24"/>
              </w:rPr>
            </w:pPr>
          </w:p>
        </w:tc>
      </w:tr>
      <w:tr w:rsidR="00917930" w:rsidTr="00917930">
        <w:trPr>
          <w:trHeight w:val="315"/>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Gaz płynny LPG</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0,201</w:t>
            </w:r>
          </w:p>
        </w:tc>
        <w:tc>
          <w:tcPr>
            <w:tcW w:w="4516" w:type="dxa"/>
            <w:vMerge/>
            <w:tcBorders>
              <w:top w:val="nil"/>
              <w:left w:val="nil"/>
              <w:bottom w:val="single" w:sz="8" w:space="0" w:color="auto"/>
              <w:right w:val="single" w:sz="8" w:space="0" w:color="auto"/>
            </w:tcBorders>
            <w:vAlign w:val="center"/>
            <w:hideMark/>
          </w:tcPr>
          <w:p w:rsidR="00917930" w:rsidRDefault="00917930">
            <w:pPr>
              <w:rPr>
                <w:color w:val="000000"/>
                <w:sz w:val="24"/>
                <w:szCs w:val="24"/>
              </w:rPr>
            </w:pPr>
          </w:p>
        </w:tc>
      </w:tr>
      <w:tr w:rsidR="00917930" w:rsidTr="00917930">
        <w:trPr>
          <w:trHeight w:val="315"/>
          <w:jc w:val="center"/>
        </w:trPr>
        <w:tc>
          <w:tcPr>
            <w:tcW w:w="214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7930" w:rsidRDefault="00917930">
            <w:pPr>
              <w:rPr>
                <w:color w:val="000000"/>
                <w:sz w:val="24"/>
                <w:szCs w:val="24"/>
              </w:rPr>
            </w:pPr>
            <w:r>
              <w:rPr>
                <w:color w:val="000000"/>
              </w:rPr>
              <w:t>Benzyna</w:t>
            </w:r>
          </w:p>
        </w:tc>
        <w:tc>
          <w:tcPr>
            <w:tcW w:w="2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17930" w:rsidRDefault="00917930">
            <w:pPr>
              <w:jc w:val="center"/>
              <w:rPr>
                <w:color w:val="000000"/>
                <w:sz w:val="24"/>
                <w:szCs w:val="24"/>
              </w:rPr>
            </w:pPr>
            <w:r>
              <w:rPr>
                <w:color w:val="000000"/>
              </w:rPr>
              <w:t>0,247</w:t>
            </w:r>
          </w:p>
        </w:tc>
        <w:tc>
          <w:tcPr>
            <w:tcW w:w="4516" w:type="dxa"/>
            <w:vMerge/>
            <w:tcBorders>
              <w:top w:val="nil"/>
              <w:left w:val="nil"/>
              <w:bottom w:val="single" w:sz="8" w:space="0" w:color="auto"/>
              <w:right w:val="single" w:sz="8" w:space="0" w:color="auto"/>
            </w:tcBorders>
            <w:vAlign w:val="center"/>
            <w:hideMark/>
          </w:tcPr>
          <w:p w:rsidR="00917930" w:rsidRDefault="00917930">
            <w:pPr>
              <w:rPr>
                <w:color w:val="000000"/>
                <w:sz w:val="24"/>
                <w:szCs w:val="24"/>
              </w:rPr>
            </w:pPr>
          </w:p>
        </w:tc>
      </w:tr>
    </w:tbl>
    <w:p w:rsidR="00917930" w:rsidRDefault="00917930" w:rsidP="00917930">
      <w:pPr>
        <w:pStyle w:val="Akapitzlist"/>
        <w:jc w:val="center"/>
      </w:pPr>
    </w:p>
    <w:p w:rsidR="00917930" w:rsidRDefault="00917930" w:rsidP="00917930">
      <w:pPr>
        <w:pStyle w:val="Akapitzlist"/>
      </w:pPr>
      <w:r>
        <w:lastRenderedPageBreak/>
        <w:t>Do wyliczenia ilości energii generowanej przez poszczególne paliwa zastosowano wartości opałowe zgodne z Krajowym Ośrodkiem Bilansowania i Zarządzania Emisjami,</w:t>
      </w:r>
    </w:p>
    <w:p w:rsidR="00917930" w:rsidRDefault="00917930" w:rsidP="00555729">
      <w:pPr>
        <w:pStyle w:val="Akapitzlist"/>
        <w:numPr>
          <w:ilvl w:val="0"/>
          <w:numId w:val="71"/>
        </w:numPr>
      </w:pPr>
      <w:r>
        <w:t>obliczenia wartości emisji CO</w:t>
      </w:r>
      <w:r>
        <w:rPr>
          <w:vertAlign w:val="subscript"/>
        </w:rPr>
        <w:t>2</w:t>
      </w:r>
      <w:r>
        <w:t xml:space="preserve"> przeprowadzono przy pomocy arkusza kalkulacyjnego, który przelicza dane wyjściowe (ilość zużytej energii, paliwa) na wielkość emisji dwutlenku węgla za pomocą wskaźników emisji. Wielkość ta określona jest za pomocą ekwiwalentu CO</w:t>
      </w:r>
      <w:r>
        <w:rPr>
          <w:vertAlign w:val="subscript"/>
        </w:rPr>
        <w:t>2</w:t>
      </w:r>
      <w:r>
        <w:t xml:space="preserve"> (MgCO</w:t>
      </w:r>
      <w:r>
        <w:rPr>
          <w:vertAlign w:val="subscript"/>
        </w:rPr>
        <w:t>2</w:t>
      </w:r>
      <w:r>
        <w:t>-megagram dwutlenku węgla),</w:t>
      </w:r>
    </w:p>
    <w:p w:rsidR="00917930" w:rsidRDefault="00917930" w:rsidP="00917930">
      <w:pPr>
        <w:pStyle w:val="Akapitzlist"/>
      </w:pPr>
      <w:r>
        <w:t>Do obliczeń wielkości emisji CO</w:t>
      </w:r>
      <w:r>
        <w:rPr>
          <w:vertAlign w:val="subscript"/>
        </w:rPr>
        <w:t>2</w:t>
      </w:r>
      <w:r>
        <w:t xml:space="preserve"> zastosowano poniższy wzór:</w:t>
      </w:r>
    </w:p>
    <w:p w:rsidR="00917930" w:rsidRDefault="00917930" w:rsidP="00917930">
      <w:pPr>
        <w:pStyle w:val="Akapitzlist"/>
      </w:pPr>
    </w:p>
    <w:p w:rsidR="00917930" w:rsidRDefault="00917930" w:rsidP="00917930">
      <w:pPr>
        <w:pStyle w:val="Akapitzlist"/>
        <w:jc w:val="center"/>
        <w:rPr>
          <w:rFonts w:ascii="Calibri" w:hAnsi="Calibri"/>
          <w:b/>
          <w:bCs/>
        </w:rPr>
      </w:pPr>
      <w:r>
        <w:rPr>
          <w:rFonts w:ascii="Calibri" w:hAnsi="Calibri"/>
          <w:b/>
          <w:bCs/>
        </w:rPr>
        <w:t>E</w:t>
      </w:r>
      <w:r>
        <w:rPr>
          <w:rFonts w:ascii="Calibri" w:hAnsi="Calibri"/>
          <w:b/>
          <w:bCs/>
          <w:vertAlign w:val="subscript"/>
        </w:rPr>
        <w:t>CO2</w:t>
      </w:r>
      <w:r>
        <w:rPr>
          <w:rFonts w:ascii="Calibri" w:hAnsi="Calibri"/>
          <w:b/>
          <w:bCs/>
        </w:rPr>
        <w:t>=C</w:t>
      </w:r>
      <m:oMath>
        <m:r>
          <m:rPr>
            <m:sty m:val="bi"/>
          </m:rPr>
          <w:rPr>
            <w:rFonts w:ascii="Cambria Math" w:hAnsi="Cambria Math"/>
          </w:rPr>
          <m:t>×</m:t>
        </m:r>
      </m:oMath>
      <w:r>
        <w:rPr>
          <w:rFonts w:ascii="Calibri" w:hAnsi="Calibri"/>
          <w:b/>
          <w:bCs/>
        </w:rPr>
        <w:t>EF</w:t>
      </w:r>
    </w:p>
    <w:p w:rsidR="00917930" w:rsidRDefault="00917930" w:rsidP="00917930">
      <w:pPr>
        <w:pStyle w:val="Akapitzlist"/>
        <w:jc w:val="center"/>
        <w:rPr>
          <w:rFonts w:ascii="Cambria" w:hAnsi="Cambria"/>
        </w:rPr>
      </w:pPr>
      <w:r>
        <w:t>oznaczenia:</w:t>
      </w:r>
    </w:p>
    <w:p w:rsidR="00917930" w:rsidRDefault="00917930" w:rsidP="00917930">
      <w:pPr>
        <w:pStyle w:val="Akapitzlist"/>
        <w:jc w:val="center"/>
      </w:pPr>
      <w:r>
        <w:t>Eco</w:t>
      </w:r>
      <w:r>
        <w:rPr>
          <w:vertAlign w:val="subscript"/>
        </w:rPr>
        <w:t>2</w:t>
      </w:r>
      <w:r>
        <w:t>- wielkość emisji CO</w:t>
      </w:r>
      <w:r>
        <w:rPr>
          <w:vertAlign w:val="subscript"/>
        </w:rPr>
        <w:t>2</w:t>
      </w:r>
      <w:r>
        <w:t xml:space="preserve"> [Mg]</w:t>
      </w:r>
    </w:p>
    <w:p w:rsidR="00917930" w:rsidRDefault="00917930" w:rsidP="00917930">
      <w:pPr>
        <w:pStyle w:val="Akapitzlist"/>
        <w:jc w:val="center"/>
      </w:pPr>
      <w:r>
        <w:t>C- zużycie energii (elektrycznej, ciepła, paliwa) [</w:t>
      </w:r>
      <w:proofErr w:type="spellStart"/>
      <w:r>
        <w:t>MWh</w:t>
      </w:r>
      <w:proofErr w:type="spellEnd"/>
      <w:r>
        <w:t>]</w:t>
      </w:r>
    </w:p>
    <w:p w:rsidR="00917930" w:rsidRDefault="00917930" w:rsidP="00917930">
      <w:pPr>
        <w:pStyle w:val="Akapitzlist"/>
        <w:jc w:val="center"/>
      </w:pPr>
      <w:r>
        <w:t>EF- wskaźnik emisji CO</w:t>
      </w:r>
      <w:r>
        <w:rPr>
          <w:vertAlign w:val="subscript"/>
        </w:rPr>
        <w:t>2</w:t>
      </w:r>
      <w:r>
        <w:t xml:space="preserve"> [MgCO</w:t>
      </w:r>
      <w:r>
        <w:rPr>
          <w:vertAlign w:val="subscript"/>
        </w:rPr>
        <w:t>2</w:t>
      </w:r>
      <w:r>
        <w:t>/</w:t>
      </w:r>
      <w:proofErr w:type="spellStart"/>
      <w:r>
        <w:t>MWh</w:t>
      </w:r>
      <w:proofErr w:type="spellEnd"/>
      <w:r>
        <w:t>]</w:t>
      </w:r>
    </w:p>
    <w:p w:rsidR="00917930" w:rsidRDefault="00917930" w:rsidP="00917930">
      <w:pPr>
        <w:pStyle w:val="Akapitzlist"/>
        <w:jc w:val="center"/>
      </w:pPr>
    </w:p>
    <w:p w:rsidR="00917930" w:rsidRDefault="00917930" w:rsidP="00555729">
      <w:pPr>
        <w:pStyle w:val="Akapitzlist"/>
        <w:numPr>
          <w:ilvl w:val="0"/>
          <w:numId w:val="71"/>
        </w:numPr>
      </w:pPr>
      <w:r>
        <w:t>zgodnie z metodologią SEAP, z uwagi na brak środków ukierunkowanych na emisję CH</w:t>
      </w:r>
      <w:r>
        <w:rPr>
          <w:vertAlign w:val="subscript"/>
        </w:rPr>
        <w:t>4</w:t>
      </w:r>
      <w:r>
        <w:t xml:space="preserve"> oraz N</w:t>
      </w:r>
      <w:r>
        <w:rPr>
          <w:vertAlign w:val="subscript"/>
        </w:rPr>
        <w:t>2</w:t>
      </w:r>
      <w:r>
        <w:t>O, nie uwzględniono ich w inwentaryzacji,</w:t>
      </w:r>
    </w:p>
    <w:p w:rsidR="00917930" w:rsidRDefault="00917930" w:rsidP="00555729">
      <w:pPr>
        <w:pStyle w:val="Akapitzlist"/>
        <w:numPr>
          <w:ilvl w:val="0"/>
          <w:numId w:val="71"/>
        </w:numPr>
      </w:pPr>
      <w:r>
        <w:t>jako wartość zerową przyjęto emisję CO</w:t>
      </w:r>
      <w:r>
        <w:rPr>
          <w:vertAlign w:val="subscript"/>
        </w:rPr>
        <w:t>2</w:t>
      </w:r>
      <w:r>
        <w:t xml:space="preserve"> pochodzącą ze spalania biomasy czy </w:t>
      </w:r>
      <w:proofErr w:type="spellStart"/>
      <w:r>
        <w:t>biopaliw</w:t>
      </w:r>
      <w:proofErr w:type="spellEnd"/>
      <w:r>
        <w:t xml:space="preserve"> oraz emisji z tzw. „zielonej energii elektrycznej”,</w:t>
      </w:r>
    </w:p>
    <w:p w:rsidR="00917930" w:rsidRDefault="00917930" w:rsidP="00555729">
      <w:pPr>
        <w:pStyle w:val="Akapitzlist"/>
        <w:numPr>
          <w:ilvl w:val="0"/>
          <w:numId w:val="71"/>
        </w:numPr>
      </w:pPr>
      <w:r>
        <w:t>w inwentaryzacji uwzględniono rodzaj stosowanych paliw. W przypadku zastosowania różnych rodzajów paliw uwzględniono ich udział w zużyciu.</w:t>
      </w:r>
    </w:p>
    <w:p w:rsidR="00917930" w:rsidRDefault="00917930" w:rsidP="00917930">
      <w:pPr>
        <w:ind w:left="360"/>
      </w:pPr>
      <w:r>
        <w:t>W ramach inwentaryzacji emisji w transporcie:</w:t>
      </w:r>
    </w:p>
    <w:p w:rsidR="00917930" w:rsidRDefault="00917930" w:rsidP="00555729">
      <w:pPr>
        <w:pStyle w:val="Akapitzlist"/>
        <w:numPr>
          <w:ilvl w:val="0"/>
          <w:numId w:val="72"/>
        </w:numPr>
      </w:pPr>
      <w:r>
        <w:t>ilość pojazdów oszacowano na podstawie danych dotyczących ilości pojazdów zarejestrowanych w powiecie zamieszczonych w Banku Danych Lokalnych oraz strukturze liczby posiadanych pojazdów w rozbiciu na osobowe, ciężarowe oraz rolnicze określone na podstawie ankietyzacji,</w:t>
      </w:r>
    </w:p>
    <w:p w:rsidR="00917930" w:rsidRDefault="00917930" w:rsidP="00555729">
      <w:pPr>
        <w:pStyle w:val="Akapitzlist"/>
        <w:numPr>
          <w:ilvl w:val="0"/>
          <w:numId w:val="72"/>
        </w:numPr>
      </w:pPr>
      <w:r>
        <w:t>strukturę zużycia paliw określono na podstawie przeprowadzonej inwentaryzacji,</w:t>
      </w:r>
    </w:p>
    <w:p w:rsidR="009F7CE4" w:rsidRDefault="00917930" w:rsidP="00555729">
      <w:pPr>
        <w:pStyle w:val="Akapitzlist"/>
        <w:numPr>
          <w:ilvl w:val="0"/>
          <w:numId w:val="72"/>
        </w:numPr>
      </w:pPr>
      <w:r>
        <w:t>roczne przebiegi samochodów osobowych podawane przez mieszkańców pomniejszone zostały o współczynnik uwzględniający kilometry pokonywa</w:t>
      </w:r>
      <w:r w:rsidR="00AD4662">
        <w:t>ne poza obszarem gminy:  wyjeżdż</w:t>
      </w:r>
      <w:r>
        <w:t xml:space="preserve">ający do pracy oraz w celach rekreacyjnych. Według danych GUS w 2006 roku ok. 11% mieszkańców wyjeżdżało do pracy. Założono, że </w:t>
      </w:r>
      <w:r w:rsidR="00145718">
        <w:t>11</w:t>
      </w:r>
      <w:r>
        <w:t>% przebiegu stanowią podróże do pracy oraz 10% podróże w celach rekreacyjnych.</w:t>
      </w:r>
      <w:r w:rsidR="009F7CE4">
        <w:br w:type="page"/>
      </w:r>
    </w:p>
    <w:p w:rsidR="00854773" w:rsidRDefault="00854773" w:rsidP="00A10D06">
      <w:pPr>
        <w:pStyle w:val="Nagwek2"/>
        <w:numPr>
          <w:ilvl w:val="1"/>
          <w:numId w:val="1"/>
        </w:numPr>
      </w:pPr>
      <w:bookmarkStart w:id="72" w:name="_Toc438118389"/>
      <w:r>
        <w:lastRenderedPageBreak/>
        <w:t>Charakterystyka głównych sektorów odbiorców energii</w:t>
      </w:r>
      <w:bookmarkEnd w:id="72"/>
    </w:p>
    <w:p w:rsidR="00854773" w:rsidRDefault="00854773" w:rsidP="00A10D06">
      <w:pPr>
        <w:pStyle w:val="Nagwek3"/>
        <w:numPr>
          <w:ilvl w:val="2"/>
          <w:numId w:val="1"/>
        </w:numPr>
      </w:pPr>
      <w:bookmarkStart w:id="73" w:name="_Toc438118390"/>
      <w:r>
        <w:t>Budynki mieszkalne  jedno- i wielorodzinne</w:t>
      </w:r>
      <w:bookmarkEnd w:id="73"/>
    </w:p>
    <w:p w:rsidR="00D203BE" w:rsidRDefault="00D203BE" w:rsidP="00D203BE"/>
    <w:p w:rsidR="00D203BE" w:rsidRDefault="00D203BE" w:rsidP="00D203BE">
      <w:r>
        <w:t>Pod względem zużycia energii s</w:t>
      </w:r>
      <w:r w:rsidRPr="00B61001">
        <w:t>ektor domów j</w:t>
      </w:r>
      <w:r>
        <w:t xml:space="preserve">ednorodzinnych można zakwalifikować jako największy. </w:t>
      </w:r>
      <w:r w:rsidRPr="00B61001">
        <w:t xml:space="preserve">Obserwuje się częściową wymianę źródeł ciepła o większej sprawności i wyższej efektywności. Niestety często inwestycje </w:t>
      </w:r>
      <w:r>
        <w:t xml:space="preserve">dotyczące sposobu ogrzewania </w:t>
      </w:r>
      <w:r w:rsidRPr="00B61001">
        <w:t xml:space="preserve">nie wiążą się ze zmianą nośnika </w:t>
      </w:r>
      <w:r>
        <w:t>na bardziej ekologiczny. Z tego względu podnoszenie świadomości ekologicznej mieszkańców i promowanie zachowań sprzyjających inwestycjom w OZE i ograniczanie emisji CO</w:t>
      </w:r>
      <w:r w:rsidRPr="00120346">
        <w:rPr>
          <w:vertAlign w:val="subscript"/>
        </w:rPr>
        <w:t>2</w:t>
      </w:r>
      <w:r>
        <w:t xml:space="preserve"> ma kluczowe znaczenie dla realizacji celów Planu Gospodarki Niskoemisyjnej.  </w:t>
      </w:r>
    </w:p>
    <w:p w:rsidR="00D203BE" w:rsidRDefault="00D203BE" w:rsidP="00D203BE">
      <w:r>
        <w:t xml:space="preserve">Poniższa tabela prezentuje zużycie poszczególnych nośników energii w sektorze budynków jednorodzinnych. </w:t>
      </w:r>
    </w:p>
    <w:p w:rsidR="00934C80" w:rsidRPr="002D4616" w:rsidRDefault="00934C80" w:rsidP="00934C80">
      <w:pPr>
        <w:pStyle w:val="Legenda"/>
        <w:keepNext/>
        <w:ind w:firstLine="0"/>
        <w:rPr>
          <w:color w:val="auto"/>
        </w:rPr>
      </w:pPr>
      <w:bookmarkStart w:id="74" w:name="_Toc436586229"/>
      <w:r w:rsidRPr="002D4616">
        <w:rPr>
          <w:color w:val="auto"/>
        </w:rPr>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8</w:t>
      </w:r>
      <w:r w:rsidR="00844CE4">
        <w:rPr>
          <w:color w:val="auto"/>
        </w:rPr>
        <w:fldChar w:fldCharType="end"/>
      </w:r>
      <w:r w:rsidRPr="002D4616">
        <w:rPr>
          <w:color w:val="auto"/>
        </w:rPr>
        <w:t xml:space="preserve"> Zużycie energii na poszczególne nośniki energii i roczna emisja CO2 w sektorze budynków jedno- i wielo-rodzinnych w mieszkalnictwie na terenie gminy</w:t>
      </w:r>
      <w:bookmarkEnd w:id="74"/>
    </w:p>
    <w:tbl>
      <w:tblPr>
        <w:tblStyle w:val="rednialista2akcent1"/>
        <w:tblW w:w="4306" w:type="pct"/>
        <w:tblLook w:val="04A0"/>
      </w:tblPr>
      <w:tblGrid>
        <w:gridCol w:w="2303"/>
        <w:gridCol w:w="1360"/>
        <w:gridCol w:w="1605"/>
        <w:gridCol w:w="1365"/>
        <w:gridCol w:w="1366"/>
      </w:tblGrid>
      <w:tr w:rsidR="00774974" w:rsidTr="00934C80">
        <w:trPr>
          <w:cnfStyle w:val="100000000000"/>
        </w:trPr>
        <w:tc>
          <w:tcPr>
            <w:cnfStyle w:val="001000000100"/>
            <w:tcW w:w="1440" w:type="pct"/>
            <w:tcBorders>
              <w:top w:val="none" w:sz="0" w:space="0" w:color="auto"/>
              <w:left w:val="none" w:sz="0" w:space="0" w:color="auto"/>
              <w:bottom w:val="none" w:sz="0" w:space="0" w:color="auto"/>
              <w:right w:val="none" w:sz="0" w:space="0" w:color="auto"/>
            </w:tcBorders>
            <w:noWrap/>
            <w:vAlign w:val="center"/>
          </w:tcPr>
          <w:p w:rsidR="00774974" w:rsidRDefault="00774974" w:rsidP="00774974">
            <w:pPr>
              <w:spacing w:line="240" w:lineRule="auto"/>
              <w:jc w:val="lef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Źródło emisji</w:t>
            </w:r>
          </w:p>
        </w:tc>
        <w:tc>
          <w:tcPr>
            <w:tcW w:w="850" w:type="pct"/>
            <w:tcBorders>
              <w:top w:val="none" w:sz="0" w:space="0" w:color="auto"/>
              <w:left w:val="none" w:sz="0" w:space="0" w:color="auto"/>
              <w:bottom w:val="none" w:sz="0" w:space="0" w:color="auto"/>
              <w:right w:val="none" w:sz="0" w:space="0" w:color="auto"/>
            </w:tcBorders>
            <w:vAlign w:val="center"/>
          </w:tcPr>
          <w:p w:rsidR="00774974" w:rsidRDefault="00774974" w:rsidP="00774974">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 xml:space="preserve">Całkowita energia </w:t>
            </w:r>
            <w:proofErr w:type="spellStart"/>
            <w:r w:rsidRPr="00774974">
              <w:rPr>
                <w:rFonts w:asciiTheme="minorHAnsi" w:eastAsiaTheme="minorEastAsia" w:hAnsiTheme="minorHAnsi" w:cstheme="minorBidi"/>
                <w:color w:val="auto"/>
                <w:sz w:val="22"/>
                <w:szCs w:val="22"/>
              </w:rPr>
              <w:t>MWh</w:t>
            </w:r>
            <w:proofErr w:type="spellEnd"/>
            <w:r w:rsidRPr="00774974">
              <w:rPr>
                <w:rFonts w:asciiTheme="minorHAnsi" w:eastAsiaTheme="minorEastAsia" w:hAnsiTheme="minorHAnsi" w:cstheme="minorBidi"/>
                <w:color w:val="auto"/>
                <w:sz w:val="22"/>
                <w:szCs w:val="22"/>
              </w:rPr>
              <w:t>/rok</w:t>
            </w:r>
          </w:p>
        </w:tc>
        <w:tc>
          <w:tcPr>
            <w:tcW w:w="1003" w:type="pct"/>
            <w:tcBorders>
              <w:top w:val="none" w:sz="0" w:space="0" w:color="auto"/>
              <w:left w:val="none" w:sz="0" w:space="0" w:color="auto"/>
              <w:bottom w:val="none" w:sz="0" w:space="0" w:color="auto"/>
              <w:right w:val="none" w:sz="0" w:space="0" w:color="auto"/>
            </w:tcBorders>
            <w:vAlign w:val="center"/>
          </w:tcPr>
          <w:p w:rsidR="00774974" w:rsidRDefault="00774974" w:rsidP="00774974">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poszczególnych nośników energii</w:t>
            </w:r>
          </w:p>
        </w:tc>
        <w:tc>
          <w:tcPr>
            <w:tcW w:w="853" w:type="pct"/>
            <w:tcBorders>
              <w:top w:val="none" w:sz="0" w:space="0" w:color="auto"/>
              <w:left w:val="none" w:sz="0" w:space="0" w:color="auto"/>
              <w:bottom w:val="none" w:sz="0" w:space="0" w:color="auto"/>
              <w:right w:val="none" w:sz="0" w:space="0" w:color="auto"/>
            </w:tcBorders>
            <w:vAlign w:val="center"/>
          </w:tcPr>
          <w:p w:rsidR="00774974" w:rsidRDefault="00774974" w:rsidP="00774974">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Całkowita emisja MgCO2/rok</w:t>
            </w:r>
          </w:p>
        </w:tc>
        <w:tc>
          <w:tcPr>
            <w:tcW w:w="854" w:type="pct"/>
            <w:tcBorders>
              <w:top w:val="none" w:sz="0" w:space="0" w:color="auto"/>
              <w:left w:val="none" w:sz="0" w:space="0" w:color="auto"/>
              <w:bottom w:val="none" w:sz="0" w:space="0" w:color="auto"/>
              <w:right w:val="none" w:sz="0" w:space="0" w:color="auto"/>
            </w:tcBorders>
            <w:vAlign w:val="center"/>
          </w:tcPr>
          <w:p w:rsidR="00774974" w:rsidRDefault="00774974" w:rsidP="00774974">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wielkości emisji CO2</w:t>
            </w:r>
          </w:p>
        </w:tc>
      </w:tr>
      <w:tr w:rsidR="00774974" w:rsidTr="00934C80">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774974" w:rsidRDefault="00774974" w:rsidP="00774974">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2009</w:t>
            </w:r>
          </w:p>
        </w:tc>
      </w:tr>
      <w:tr w:rsidR="00774974" w:rsidRPr="00774974" w:rsidTr="00934C80">
        <w:tc>
          <w:tcPr>
            <w:cnfStyle w:val="001000000000"/>
            <w:tcW w:w="1440" w:type="pct"/>
            <w:tcBorders>
              <w:left w:val="none" w:sz="0" w:space="0" w:color="auto"/>
              <w:bottom w:val="none" w:sz="0" w:space="0" w:color="auto"/>
              <w:right w:val="none" w:sz="0" w:space="0" w:color="auto"/>
            </w:tcBorders>
            <w:noWrap/>
          </w:tcPr>
          <w:p w:rsidR="00774974" w:rsidRPr="00774974" w:rsidRDefault="00774974" w:rsidP="00774974">
            <w:pPr>
              <w:pStyle w:val="DecimalAligned"/>
              <w:spacing w:line="240" w:lineRule="auto"/>
              <w:rPr>
                <w:rFonts w:asciiTheme="minorHAnsi" w:hAnsiTheme="minorHAnsi"/>
                <w:sz w:val="20"/>
                <w:szCs w:val="20"/>
              </w:rPr>
            </w:pPr>
            <w:r w:rsidRPr="00774974">
              <w:rPr>
                <w:rFonts w:asciiTheme="minorHAnsi" w:hAnsiTheme="minorHAnsi"/>
                <w:sz w:val="20"/>
                <w:szCs w:val="20"/>
              </w:rPr>
              <w:t>Energia elektryczna</w:t>
            </w:r>
          </w:p>
        </w:tc>
        <w:tc>
          <w:tcPr>
            <w:tcW w:w="850" w:type="pct"/>
          </w:tcPr>
          <w:p w:rsidR="00774974" w:rsidRPr="00774974" w:rsidRDefault="00C00977" w:rsidP="002553F2">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7</w:t>
            </w:r>
            <w:r w:rsidR="002553F2">
              <w:rPr>
                <w:rFonts w:asciiTheme="minorHAnsi" w:hAnsiTheme="minorHAnsi"/>
                <w:sz w:val="20"/>
                <w:szCs w:val="20"/>
              </w:rPr>
              <w:t> 275,94</w:t>
            </w:r>
          </w:p>
        </w:tc>
        <w:tc>
          <w:tcPr>
            <w:tcW w:w="1003" w:type="pct"/>
          </w:tcPr>
          <w:p w:rsidR="00774974" w:rsidRPr="00774974" w:rsidRDefault="002553F2" w:rsidP="00774974">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10,01</w:t>
            </w:r>
            <w:r w:rsidR="00774974" w:rsidRPr="00774974">
              <w:rPr>
                <w:rFonts w:asciiTheme="minorHAnsi" w:hAnsiTheme="minorHAnsi"/>
                <w:sz w:val="20"/>
                <w:szCs w:val="20"/>
              </w:rPr>
              <w:t xml:space="preserve"> %</w:t>
            </w:r>
          </w:p>
        </w:tc>
        <w:tc>
          <w:tcPr>
            <w:tcW w:w="853" w:type="pct"/>
          </w:tcPr>
          <w:p w:rsidR="00774974" w:rsidRPr="00774974" w:rsidRDefault="0043683A" w:rsidP="00774974">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5 908,06</w:t>
            </w:r>
          </w:p>
        </w:tc>
        <w:tc>
          <w:tcPr>
            <w:tcW w:w="854" w:type="pct"/>
          </w:tcPr>
          <w:p w:rsidR="00774974" w:rsidRPr="00774974" w:rsidRDefault="0043683A" w:rsidP="00774974">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26,22</w:t>
            </w:r>
            <w:r w:rsidR="00774974" w:rsidRPr="00774974">
              <w:rPr>
                <w:rFonts w:asciiTheme="minorHAnsi" w:hAnsiTheme="minorHAnsi"/>
                <w:sz w:val="20"/>
                <w:szCs w:val="20"/>
              </w:rPr>
              <w:t xml:space="preserve"> %</w:t>
            </w:r>
          </w:p>
        </w:tc>
      </w:tr>
      <w:tr w:rsidR="00774974" w:rsidRPr="00774974" w:rsidTr="00934C80">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774974" w:rsidRPr="00774974" w:rsidRDefault="00774974" w:rsidP="00774974">
            <w:pPr>
              <w:pStyle w:val="DecimalAligned"/>
              <w:spacing w:line="240" w:lineRule="auto"/>
              <w:rPr>
                <w:rFonts w:asciiTheme="minorHAnsi" w:hAnsiTheme="minorHAnsi"/>
                <w:sz w:val="20"/>
                <w:szCs w:val="20"/>
              </w:rPr>
            </w:pPr>
            <w:r w:rsidRPr="00774974">
              <w:rPr>
                <w:rFonts w:asciiTheme="minorHAnsi" w:hAnsiTheme="minorHAnsi"/>
                <w:sz w:val="20"/>
                <w:szCs w:val="20"/>
              </w:rPr>
              <w:t>Węgiel kamienny</w:t>
            </w:r>
          </w:p>
        </w:tc>
        <w:tc>
          <w:tcPr>
            <w:tcW w:w="850" w:type="pct"/>
            <w:tcBorders>
              <w:top w:val="none" w:sz="0" w:space="0" w:color="auto"/>
              <w:left w:val="none" w:sz="0" w:space="0" w:color="auto"/>
              <w:bottom w:val="none" w:sz="0" w:space="0" w:color="auto"/>
              <w:right w:val="none" w:sz="0" w:space="0" w:color="auto"/>
            </w:tcBorders>
          </w:tcPr>
          <w:p w:rsidR="00774974" w:rsidRPr="00774974" w:rsidRDefault="002553F2" w:rsidP="00774974">
            <w:pPr>
              <w:pStyle w:val="DecimalAligned"/>
              <w:jc w:val="center"/>
              <w:cnfStyle w:val="000000100000"/>
              <w:rPr>
                <w:rFonts w:asciiTheme="minorHAnsi" w:hAnsiTheme="minorHAnsi"/>
                <w:sz w:val="20"/>
                <w:szCs w:val="20"/>
              </w:rPr>
            </w:pPr>
            <w:r>
              <w:rPr>
                <w:rFonts w:asciiTheme="minorHAnsi" w:hAnsiTheme="minorHAnsi"/>
                <w:sz w:val="20"/>
                <w:szCs w:val="20"/>
              </w:rPr>
              <w:t>48 785,61</w:t>
            </w:r>
          </w:p>
        </w:tc>
        <w:tc>
          <w:tcPr>
            <w:tcW w:w="1003" w:type="pct"/>
            <w:tcBorders>
              <w:top w:val="none" w:sz="0" w:space="0" w:color="auto"/>
              <w:left w:val="none" w:sz="0" w:space="0" w:color="auto"/>
              <w:bottom w:val="none" w:sz="0" w:space="0" w:color="auto"/>
              <w:right w:val="none" w:sz="0" w:space="0" w:color="auto"/>
            </w:tcBorders>
          </w:tcPr>
          <w:p w:rsidR="00774974" w:rsidRPr="00774974" w:rsidRDefault="0043683A" w:rsidP="00774974">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67,12</w:t>
            </w:r>
            <w:r w:rsidR="00774974" w:rsidRPr="00774974">
              <w:rPr>
                <w:rFonts w:asciiTheme="minorHAnsi" w:hAnsiTheme="minorHAnsi"/>
                <w:sz w:val="20"/>
                <w:szCs w:val="20"/>
              </w:rPr>
              <w:t xml:space="preserve"> %</w:t>
            </w:r>
          </w:p>
        </w:tc>
        <w:tc>
          <w:tcPr>
            <w:tcW w:w="853" w:type="pct"/>
            <w:tcBorders>
              <w:top w:val="none" w:sz="0" w:space="0" w:color="auto"/>
              <w:left w:val="none" w:sz="0" w:space="0" w:color="auto"/>
              <w:bottom w:val="none" w:sz="0" w:space="0" w:color="auto"/>
              <w:right w:val="none" w:sz="0" w:space="0" w:color="auto"/>
            </w:tcBorders>
          </w:tcPr>
          <w:p w:rsidR="00774974" w:rsidRPr="00774974" w:rsidRDefault="0043683A" w:rsidP="00774974">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16 623,21</w:t>
            </w:r>
          </w:p>
        </w:tc>
        <w:tc>
          <w:tcPr>
            <w:tcW w:w="854" w:type="pct"/>
            <w:tcBorders>
              <w:top w:val="none" w:sz="0" w:space="0" w:color="auto"/>
              <w:left w:val="none" w:sz="0" w:space="0" w:color="auto"/>
              <w:bottom w:val="none" w:sz="0" w:space="0" w:color="auto"/>
            </w:tcBorders>
          </w:tcPr>
          <w:p w:rsidR="00774974" w:rsidRPr="00774974" w:rsidRDefault="0043683A" w:rsidP="00774974">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73,78</w:t>
            </w:r>
            <w:r w:rsidR="00774974" w:rsidRPr="00774974">
              <w:rPr>
                <w:rFonts w:asciiTheme="minorHAnsi" w:hAnsiTheme="minorHAnsi"/>
                <w:sz w:val="20"/>
                <w:szCs w:val="20"/>
              </w:rPr>
              <w:t xml:space="preserve"> %</w:t>
            </w:r>
          </w:p>
        </w:tc>
      </w:tr>
      <w:tr w:rsidR="00774974" w:rsidRPr="00774974" w:rsidTr="00934C80">
        <w:tc>
          <w:tcPr>
            <w:cnfStyle w:val="001000000000"/>
            <w:tcW w:w="1440" w:type="pct"/>
            <w:tcBorders>
              <w:left w:val="none" w:sz="0" w:space="0" w:color="auto"/>
              <w:bottom w:val="none" w:sz="0" w:space="0" w:color="auto"/>
              <w:right w:val="none" w:sz="0" w:space="0" w:color="auto"/>
            </w:tcBorders>
            <w:noWrap/>
          </w:tcPr>
          <w:p w:rsidR="00774974" w:rsidRPr="00774974" w:rsidRDefault="00774974" w:rsidP="00774974">
            <w:pPr>
              <w:pStyle w:val="DecimalAligned"/>
              <w:tabs>
                <w:tab w:val="clear" w:pos="360"/>
              </w:tabs>
              <w:rPr>
                <w:rFonts w:asciiTheme="minorHAnsi" w:hAnsiTheme="minorHAnsi"/>
                <w:sz w:val="20"/>
                <w:szCs w:val="20"/>
              </w:rPr>
            </w:pPr>
            <w:r w:rsidRPr="00774974">
              <w:rPr>
                <w:rFonts w:asciiTheme="minorHAnsi" w:hAnsiTheme="minorHAnsi"/>
                <w:sz w:val="20"/>
                <w:szCs w:val="20"/>
              </w:rPr>
              <w:t>Olej opałowy</w:t>
            </w:r>
          </w:p>
        </w:tc>
        <w:tc>
          <w:tcPr>
            <w:tcW w:w="850" w:type="pct"/>
          </w:tcPr>
          <w:p w:rsidR="00774974" w:rsidRPr="00774974" w:rsidRDefault="002553F2" w:rsidP="00774974">
            <w:pPr>
              <w:pStyle w:val="DecimalAligned"/>
              <w:jc w:val="center"/>
              <w:cnfStyle w:val="000000000000"/>
              <w:rPr>
                <w:rFonts w:asciiTheme="minorHAnsi" w:hAnsiTheme="minorHAnsi"/>
                <w:sz w:val="20"/>
                <w:szCs w:val="20"/>
              </w:rPr>
            </w:pPr>
            <w:r>
              <w:rPr>
                <w:rFonts w:asciiTheme="minorHAnsi" w:hAnsiTheme="minorHAnsi"/>
                <w:sz w:val="20"/>
                <w:szCs w:val="20"/>
              </w:rPr>
              <w:t>2,90</w:t>
            </w:r>
          </w:p>
        </w:tc>
        <w:tc>
          <w:tcPr>
            <w:tcW w:w="1003" w:type="pct"/>
          </w:tcPr>
          <w:p w:rsidR="00774974" w:rsidRPr="00774974" w:rsidRDefault="00774974" w:rsidP="00774974">
            <w:pPr>
              <w:pStyle w:val="DecimalAligned"/>
              <w:tabs>
                <w:tab w:val="clear" w:pos="360"/>
              </w:tabs>
              <w:jc w:val="center"/>
              <w:cnfStyle w:val="000000000000"/>
              <w:rPr>
                <w:rFonts w:asciiTheme="minorHAnsi" w:hAnsiTheme="minorHAnsi"/>
                <w:sz w:val="20"/>
                <w:szCs w:val="20"/>
              </w:rPr>
            </w:pPr>
            <w:r w:rsidRPr="00774974">
              <w:rPr>
                <w:rFonts w:asciiTheme="minorHAnsi" w:hAnsiTheme="minorHAnsi"/>
                <w:sz w:val="20"/>
                <w:szCs w:val="20"/>
              </w:rPr>
              <w:t>0,00 %</w:t>
            </w:r>
          </w:p>
        </w:tc>
        <w:tc>
          <w:tcPr>
            <w:tcW w:w="853" w:type="pct"/>
          </w:tcPr>
          <w:p w:rsidR="00774974" w:rsidRPr="00774974" w:rsidRDefault="00C00977" w:rsidP="0043683A">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0,</w:t>
            </w:r>
            <w:r w:rsidR="0043683A">
              <w:rPr>
                <w:rFonts w:asciiTheme="minorHAnsi" w:hAnsiTheme="minorHAnsi"/>
                <w:sz w:val="20"/>
                <w:szCs w:val="20"/>
              </w:rPr>
              <w:t>77</w:t>
            </w:r>
          </w:p>
        </w:tc>
        <w:tc>
          <w:tcPr>
            <w:tcW w:w="854" w:type="pct"/>
          </w:tcPr>
          <w:p w:rsidR="00774974" w:rsidRPr="00774974" w:rsidRDefault="00774974" w:rsidP="00774974">
            <w:pPr>
              <w:pStyle w:val="DecimalAligned"/>
              <w:tabs>
                <w:tab w:val="clear" w:pos="360"/>
              </w:tabs>
              <w:jc w:val="center"/>
              <w:cnfStyle w:val="000000000000"/>
              <w:rPr>
                <w:rFonts w:asciiTheme="minorHAnsi" w:hAnsiTheme="minorHAnsi"/>
                <w:sz w:val="20"/>
                <w:szCs w:val="20"/>
              </w:rPr>
            </w:pPr>
            <w:r w:rsidRPr="00774974">
              <w:rPr>
                <w:rFonts w:asciiTheme="minorHAnsi" w:hAnsiTheme="minorHAnsi"/>
                <w:sz w:val="20"/>
                <w:szCs w:val="20"/>
              </w:rPr>
              <w:t>0,00 %</w:t>
            </w:r>
          </w:p>
        </w:tc>
      </w:tr>
      <w:tr w:rsidR="00774974" w:rsidRPr="00774974" w:rsidTr="00934C80">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774974" w:rsidRPr="00774974" w:rsidRDefault="00774974" w:rsidP="00774974">
            <w:pPr>
              <w:pStyle w:val="DecimalAligned"/>
              <w:rPr>
                <w:rFonts w:asciiTheme="minorHAnsi" w:hAnsiTheme="minorHAnsi"/>
                <w:sz w:val="20"/>
                <w:szCs w:val="20"/>
              </w:rPr>
            </w:pPr>
            <w:r w:rsidRPr="00774974">
              <w:rPr>
                <w:rFonts w:asciiTheme="minorHAnsi" w:hAnsiTheme="minorHAnsi"/>
                <w:sz w:val="20"/>
                <w:szCs w:val="20"/>
              </w:rPr>
              <w:t>Biomasa</w:t>
            </w:r>
          </w:p>
        </w:tc>
        <w:tc>
          <w:tcPr>
            <w:tcW w:w="850" w:type="pct"/>
            <w:tcBorders>
              <w:top w:val="none" w:sz="0" w:space="0" w:color="auto"/>
              <w:left w:val="none" w:sz="0" w:space="0" w:color="auto"/>
              <w:bottom w:val="none" w:sz="0" w:space="0" w:color="auto"/>
              <w:right w:val="none" w:sz="0" w:space="0" w:color="auto"/>
            </w:tcBorders>
          </w:tcPr>
          <w:p w:rsidR="00774974" w:rsidRPr="00774974" w:rsidRDefault="0043683A" w:rsidP="00774974">
            <w:pPr>
              <w:pStyle w:val="DecimalAligned"/>
              <w:jc w:val="center"/>
              <w:cnfStyle w:val="000000100000"/>
              <w:rPr>
                <w:rFonts w:asciiTheme="minorHAnsi" w:hAnsiTheme="minorHAnsi"/>
                <w:sz w:val="20"/>
                <w:szCs w:val="20"/>
              </w:rPr>
            </w:pPr>
            <w:r>
              <w:rPr>
                <w:rFonts w:asciiTheme="minorHAnsi" w:hAnsiTheme="minorHAnsi"/>
                <w:sz w:val="20"/>
                <w:szCs w:val="20"/>
              </w:rPr>
              <w:t>16 621,11</w:t>
            </w:r>
          </w:p>
        </w:tc>
        <w:tc>
          <w:tcPr>
            <w:tcW w:w="1003" w:type="pct"/>
            <w:tcBorders>
              <w:top w:val="none" w:sz="0" w:space="0" w:color="auto"/>
              <w:left w:val="none" w:sz="0" w:space="0" w:color="auto"/>
              <w:bottom w:val="none" w:sz="0" w:space="0" w:color="auto"/>
              <w:right w:val="none" w:sz="0" w:space="0" w:color="auto"/>
            </w:tcBorders>
          </w:tcPr>
          <w:p w:rsidR="00774974" w:rsidRPr="00774974" w:rsidRDefault="0043683A" w:rsidP="00774974">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22,87</w:t>
            </w:r>
            <w:r w:rsidR="00774974" w:rsidRPr="00774974">
              <w:rPr>
                <w:rFonts w:asciiTheme="minorHAnsi" w:hAnsiTheme="minorHAnsi"/>
                <w:sz w:val="20"/>
                <w:szCs w:val="20"/>
              </w:rPr>
              <w:t xml:space="preserve"> %</w:t>
            </w:r>
          </w:p>
        </w:tc>
        <w:tc>
          <w:tcPr>
            <w:tcW w:w="853" w:type="pct"/>
            <w:tcBorders>
              <w:top w:val="none" w:sz="0" w:space="0" w:color="auto"/>
              <w:left w:val="none" w:sz="0" w:space="0" w:color="auto"/>
              <w:bottom w:val="none" w:sz="0" w:space="0" w:color="auto"/>
              <w:right w:val="none" w:sz="0" w:space="0" w:color="auto"/>
            </w:tcBorders>
          </w:tcPr>
          <w:p w:rsidR="00774974" w:rsidRPr="00774974" w:rsidRDefault="00774974" w:rsidP="00774974">
            <w:pPr>
              <w:pStyle w:val="DecimalAligned"/>
              <w:tabs>
                <w:tab w:val="clear" w:pos="360"/>
              </w:tabs>
              <w:jc w:val="center"/>
              <w:cnfStyle w:val="000000100000"/>
              <w:rPr>
                <w:rFonts w:asciiTheme="minorHAnsi" w:hAnsiTheme="minorHAnsi"/>
                <w:sz w:val="20"/>
                <w:szCs w:val="20"/>
              </w:rPr>
            </w:pPr>
            <w:r w:rsidRPr="00774974">
              <w:rPr>
                <w:rFonts w:asciiTheme="minorHAnsi" w:hAnsiTheme="minorHAnsi"/>
                <w:sz w:val="20"/>
                <w:szCs w:val="20"/>
              </w:rPr>
              <w:t>-</w:t>
            </w:r>
          </w:p>
        </w:tc>
        <w:tc>
          <w:tcPr>
            <w:tcW w:w="854" w:type="pct"/>
            <w:tcBorders>
              <w:top w:val="none" w:sz="0" w:space="0" w:color="auto"/>
              <w:left w:val="none" w:sz="0" w:space="0" w:color="auto"/>
              <w:bottom w:val="none" w:sz="0" w:space="0" w:color="auto"/>
            </w:tcBorders>
          </w:tcPr>
          <w:p w:rsidR="00774974" w:rsidRPr="00774974" w:rsidRDefault="00774974" w:rsidP="00774974">
            <w:pPr>
              <w:pStyle w:val="DecimalAligned"/>
              <w:tabs>
                <w:tab w:val="clear" w:pos="360"/>
              </w:tabs>
              <w:jc w:val="center"/>
              <w:cnfStyle w:val="000000100000"/>
              <w:rPr>
                <w:rFonts w:asciiTheme="minorHAnsi" w:hAnsiTheme="minorHAnsi"/>
                <w:sz w:val="20"/>
                <w:szCs w:val="20"/>
              </w:rPr>
            </w:pPr>
            <w:r w:rsidRPr="00774974">
              <w:rPr>
                <w:rFonts w:asciiTheme="minorHAnsi" w:hAnsiTheme="minorHAnsi"/>
                <w:sz w:val="20"/>
                <w:szCs w:val="20"/>
              </w:rPr>
              <w:t>0,00 %</w:t>
            </w:r>
          </w:p>
        </w:tc>
      </w:tr>
      <w:tr w:rsidR="00774974" w:rsidRPr="00774974" w:rsidTr="00934C80">
        <w:tc>
          <w:tcPr>
            <w:cnfStyle w:val="001000000000"/>
            <w:tcW w:w="1440" w:type="pct"/>
            <w:tcBorders>
              <w:left w:val="none" w:sz="0" w:space="0" w:color="auto"/>
              <w:bottom w:val="none" w:sz="0" w:space="0" w:color="auto"/>
              <w:right w:val="none" w:sz="0" w:space="0" w:color="auto"/>
            </w:tcBorders>
            <w:noWrap/>
          </w:tcPr>
          <w:p w:rsidR="00774974" w:rsidRPr="00774974" w:rsidRDefault="00774974" w:rsidP="00774974">
            <w:pPr>
              <w:jc w:val="left"/>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SUMA</w:t>
            </w:r>
          </w:p>
        </w:tc>
        <w:tc>
          <w:tcPr>
            <w:tcW w:w="850" w:type="pct"/>
          </w:tcPr>
          <w:p w:rsidR="00774974" w:rsidRPr="00774974" w:rsidRDefault="0043683A" w:rsidP="00774974">
            <w:pPr>
              <w:jc w:val="center"/>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72 685,57</w:t>
            </w:r>
          </w:p>
        </w:tc>
        <w:tc>
          <w:tcPr>
            <w:tcW w:w="1003" w:type="pct"/>
          </w:tcPr>
          <w:p w:rsidR="00774974" w:rsidRPr="00774974" w:rsidRDefault="00774974" w:rsidP="00774974">
            <w:pPr>
              <w:jc w:val="center"/>
              <w:cnfStyle w:val="000000000000"/>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100 %</w:t>
            </w:r>
          </w:p>
        </w:tc>
        <w:tc>
          <w:tcPr>
            <w:tcW w:w="853" w:type="pct"/>
          </w:tcPr>
          <w:p w:rsidR="00774974" w:rsidRPr="00774974" w:rsidRDefault="0043683A" w:rsidP="00774974">
            <w:pPr>
              <w:jc w:val="center"/>
              <w:cnfStyle w:val="000000000000"/>
              <w:rPr>
                <w:rFonts w:asciiTheme="minorHAnsi" w:hAnsiTheme="minorHAnsi"/>
                <w:b/>
                <w:color w:val="auto"/>
                <w:sz w:val="20"/>
                <w:szCs w:val="20"/>
              </w:rPr>
            </w:pPr>
            <w:r>
              <w:rPr>
                <w:rFonts w:asciiTheme="minorHAnsi" w:hAnsiTheme="minorHAnsi"/>
                <w:b/>
                <w:color w:val="auto"/>
                <w:sz w:val="20"/>
                <w:szCs w:val="20"/>
              </w:rPr>
              <w:t>22 532,04</w:t>
            </w:r>
          </w:p>
        </w:tc>
        <w:tc>
          <w:tcPr>
            <w:tcW w:w="854" w:type="pct"/>
          </w:tcPr>
          <w:p w:rsidR="00774974" w:rsidRPr="00774974" w:rsidRDefault="00774974" w:rsidP="00774974">
            <w:pPr>
              <w:jc w:val="center"/>
              <w:cnfStyle w:val="000000000000"/>
              <w:rPr>
                <w:rFonts w:asciiTheme="minorHAnsi" w:hAnsiTheme="minorHAnsi"/>
                <w:b/>
                <w:color w:val="auto"/>
                <w:sz w:val="20"/>
                <w:szCs w:val="20"/>
              </w:rPr>
            </w:pPr>
            <w:r w:rsidRPr="00774974">
              <w:rPr>
                <w:rFonts w:asciiTheme="minorHAnsi" w:hAnsiTheme="minorHAnsi"/>
                <w:b/>
                <w:color w:val="auto"/>
                <w:sz w:val="20"/>
                <w:szCs w:val="20"/>
              </w:rPr>
              <w:t>100 %</w:t>
            </w:r>
          </w:p>
        </w:tc>
      </w:tr>
      <w:tr w:rsidR="00774974" w:rsidRPr="00774974" w:rsidTr="00934C80">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774974" w:rsidRPr="00774974" w:rsidRDefault="00774974" w:rsidP="00774974">
            <w:pPr>
              <w:jc w:val="center"/>
              <w:rPr>
                <w:rFonts w:asciiTheme="minorHAnsi" w:eastAsiaTheme="minorEastAsia" w:hAnsiTheme="minorHAnsi"/>
                <w:szCs w:val="23"/>
              </w:rPr>
            </w:pPr>
            <w:r w:rsidRPr="00774974">
              <w:rPr>
                <w:rFonts w:asciiTheme="minorHAnsi" w:eastAsiaTheme="minorEastAsia" w:hAnsiTheme="minorHAnsi"/>
                <w:szCs w:val="23"/>
              </w:rPr>
              <w:t>2014</w:t>
            </w:r>
          </w:p>
        </w:tc>
      </w:tr>
      <w:tr w:rsidR="00774974" w:rsidTr="00934C80">
        <w:tc>
          <w:tcPr>
            <w:cnfStyle w:val="001000000000"/>
            <w:tcW w:w="1440" w:type="pct"/>
            <w:tcBorders>
              <w:left w:val="none" w:sz="0" w:space="0" w:color="auto"/>
              <w:bottom w:val="none" w:sz="0" w:space="0" w:color="auto"/>
              <w:right w:val="none" w:sz="0" w:space="0" w:color="auto"/>
            </w:tcBorders>
            <w:noWrap/>
          </w:tcPr>
          <w:p w:rsidR="00774974" w:rsidRPr="0043683A" w:rsidRDefault="00774974" w:rsidP="00774974">
            <w:pPr>
              <w:pStyle w:val="DecimalAligned"/>
              <w:spacing w:line="240" w:lineRule="auto"/>
              <w:rPr>
                <w:rFonts w:asciiTheme="minorHAnsi" w:hAnsiTheme="minorHAnsi"/>
                <w:color w:val="auto"/>
                <w:sz w:val="20"/>
                <w:szCs w:val="20"/>
              </w:rPr>
            </w:pPr>
            <w:r w:rsidRPr="0043683A">
              <w:rPr>
                <w:rFonts w:asciiTheme="minorHAnsi" w:hAnsiTheme="minorHAnsi"/>
                <w:color w:val="auto"/>
                <w:sz w:val="20"/>
                <w:szCs w:val="20"/>
              </w:rPr>
              <w:t>Energia elektryczna</w:t>
            </w:r>
          </w:p>
        </w:tc>
        <w:tc>
          <w:tcPr>
            <w:tcW w:w="850" w:type="pct"/>
          </w:tcPr>
          <w:p w:rsidR="00774974" w:rsidRPr="0043683A" w:rsidRDefault="00487ED0"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7 841,90</w:t>
            </w:r>
          </w:p>
        </w:tc>
        <w:tc>
          <w:tcPr>
            <w:tcW w:w="1003" w:type="pct"/>
          </w:tcPr>
          <w:p w:rsidR="00774974" w:rsidRPr="0043683A" w:rsidRDefault="0043683A"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11,47</w:t>
            </w:r>
            <w:r w:rsidR="00774974" w:rsidRPr="0043683A">
              <w:rPr>
                <w:rFonts w:asciiTheme="minorHAnsi" w:hAnsiTheme="minorHAnsi"/>
                <w:color w:val="auto"/>
                <w:sz w:val="20"/>
                <w:szCs w:val="20"/>
              </w:rPr>
              <w:t xml:space="preserve"> %</w:t>
            </w:r>
          </w:p>
        </w:tc>
        <w:tc>
          <w:tcPr>
            <w:tcW w:w="853" w:type="pct"/>
          </w:tcPr>
          <w:p w:rsidR="00774974" w:rsidRPr="0043683A" w:rsidRDefault="00487ED0"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6 367,62</w:t>
            </w:r>
          </w:p>
        </w:tc>
        <w:tc>
          <w:tcPr>
            <w:tcW w:w="854" w:type="pct"/>
          </w:tcPr>
          <w:p w:rsidR="00774974" w:rsidRPr="0043683A" w:rsidRDefault="0043683A" w:rsidP="00934C80">
            <w:pPr>
              <w:pStyle w:val="DecimalAligned"/>
              <w:tabs>
                <w:tab w:val="clear" w:pos="360"/>
              </w:tabs>
              <w:jc w:val="center"/>
              <w:cnfStyle w:val="000000000000"/>
              <w:rPr>
                <w:rFonts w:asciiTheme="minorHAnsi" w:hAnsiTheme="minorHAnsi"/>
                <w:color w:val="auto"/>
                <w:sz w:val="20"/>
                <w:szCs w:val="20"/>
              </w:rPr>
            </w:pPr>
            <w:r>
              <w:rPr>
                <w:rFonts w:asciiTheme="minorHAnsi" w:hAnsiTheme="minorHAnsi"/>
                <w:color w:val="auto"/>
                <w:sz w:val="20"/>
                <w:szCs w:val="20"/>
              </w:rPr>
              <w:t>29,36</w:t>
            </w:r>
            <w:r w:rsidR="00774974" w:rsidRPr="0043683A">
              <w:rPr>
                <w:rFonts w:asciiTheme="minorHAnsi" w:hAnsiTheme="minorHAnsi"/>
                <w:color w:val="auto"/>
                <w:sz w:val="20"/>
                <w:szCs w:val="20"/>
              </w:rPr>
              <w:t xml:space="preserve"> %</w:t>
            </w:r>
          </w:p>
        </w:tc>
      </w:tr>
      <w:tr w:rsidR="00774974" w:rsidTr="00934C80">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774974" w:rsidRPr="0043683A" w:rsidRDefault="00774974" w:rsidP="00774974">
            <w:pPr>
              <w:pStyle w:val="DecimalAligned"/>
              <w:spacing w:line="240" w:lineRule="auto"/>
              <w:rPr>
                <w:rFonts w:asciiTheme="minorHAnsi" w:hAnsiTheme="minorHAnsi"/>
                <w:color w:val="auto"/>
                <w:sz w:val="20"/>
                <w:szCs w:val="20"/>
              </w:rPr>
            </w:pPr>
            <w:r w:rsidRPr="0043683A">
              <w:rPr>
                <w:rFonts w:asciiTheme="minorHAnsi" w:hAnsiTheme="minorHAnsi"/>
                <w:color w:val="auto"/>
                <w:sz w:val="20"/>
                <w:szCs w:val="20"/>
              </w:rPr>
              <w:t>Węgiel kamienny</w:t>
            </w:r>
          </w:p>
        </w:tc>
        <w:tc>
          <w:tcPr>
            <w:tcW w:w="850" w:type="pct"/>
            <w:tcBorders>
              <w:top w:val="none" w:sz="0" w:space="0" w:color="auto"/>
              <w:left w:val="none" w:sz="0" w:space="0" w:color="auto"/>
              <w:bottom w:val="none" w:sz="0" w:space="0" w:color="auto"/>
              <w:right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sidRPr="0043683A">
              <w:rPr>
                <w:rFonts w:asciiTheme="minorHAnsi" w:hAnsiTheme="minorHAnsi"/>
                <w:color w:val="auto"/>
                <w:sz w:val="20"/>
                <w:szCs w:val="20"/>
              </w:rPr>
              <w:t>44 955,21</w:t>
            </w:r>
          </w:p>
        </w:tc>
        <w:tc>
          <w:tcPr>
            <w:tcW w:w="1003" w:type="pct"/>
            <w:tcBorders>
              <w:top w:val="none" w:sz="0" w:space="0" w:color="auto"/>
              <w:left w:val="none" w:sz="0" w:space="0" w:color="auto"/>
              <w:bottom w:val="none" w:sz="0" w:space="0" w:color="auto"/>
              <w:right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sidRPr="0043683A">
              <w:rPr>
                <w:rFonts w:asciiTheme="minorHAnsi" w:hAnsiTheme="minorHAnsi"/>
                <w:color w:val="auto"/>
                <w:sz w:val="20"/>
                <w:szCs w:val="20"/>
              </w:rPr>
              <w:t>65,75</w:t>
            </w:r>
            <w:r w:rsidR="00774974" w:rsidRPr="0043683A">
              <w:rPr>
                <w:rFonts w:asciiTheme="minorHAnsi" w:hAnsiTheme="minorHAnsi"/>
                <w:color w:val="auto"/>
                <w:sz w:val="20"/>
                <w:szCs w:val="20"/>
              </w:rPr>
              <w:t xml:space="preserve"> %</w:t>
            </w:r>
          </w:p>
        </w:tc>
        <w:tc>
          <w:tcPr>
            <w:tcW w:w="853" w:type="pct"/>
            <w:tcBorders>
              <w:top w:val="none" w:sz="0" w:space="0" w:color="auto"/>
              <w:left w:val="none" w:sz="0" w:space="0" w:color="auto"/>
              <w:bottom w:val="none" w:sz="0" w:space="0" w:color="auto"/>
              <w:right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15 318,04</w:t>
            </w:r>
          </w:p>
        </w:tc>
        <w:tc>
          <w:tcPr>
            <w:tcW w:w="854" w:type="pct"/>
            <w:tcBorders>
              <w:top w:val="none" w:sz="0" w:space="0" w:color="auto"/>
              <w:left w:val="none" w:sz="0" w:space="0" w:color="auto"/>
              <w:bottom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70,63</w:t>
            </w:r>
            <w:r w:rsidR="00774974" w:rsidRPr="0043683A">
              <w:rPr>
                <w:rFonts w:asciiTheme="minorHAnsi" w:hAnsiTheme="minorHAnsi"/>
                <w:color w:val="auto"/>
                <w:sz w:val="20"/>
                <w:szCs w:val="20"/>
              </w:rPr>
              <w:t xml:space="preserve"> %</w:t>
            </w:r>
          </w:p>
        </w:tc>
      </w:tr>
      <w:tr w:rsidR="00774974" w:rsidTr="00934C80">
        <w:tc>
          <w:tcPr>
            <w:cnfStyle w:val="001000000000"/>
            <w:tcW w:w="1440" w:type="pct"/>
            <w:tcBorders>
              <w:left w:val="none" w:sz="0" w:space="0" w:color="auto"/>
              <w:bottom w:val="none" w:sz="0" w:space="0" w:color="auto"/>
              <w:right w:val="none" w:sz="0" w:space="0" w:color="auto"/>
            </w:tcBorders>
            <w:noWrap/>
          </w:tcPr>
          <w:p w:rsidR="00774974" w:rsidRPr="0043683A" w:rsidRDefault="00774974" w:rsidP="00774974">
            <w:pPr>
              <w:pStyle w:val="DecimalAligned"/>
              <w:rPr>
                <w:rFonts w:asciiTheme="minorHAnsi" w:hAnsiTheme="minorHAnsi"/>
                <w:color w:val="auto"/>
                <w:sz w:val="20"/>
                <w:szCs w:val="20"/>
              </w:rPr>
            </w:pPr>
            <w:r w:rsidRPr="0043683A">
              <w:rPr>
                <w:rFonts w:asciiTheme="minorHAnsi" w:hAnsiTheme="minorHAnsi"/>
                <w:color w:val="auto"/>
                <w:sz w:val="20"/>
                <w:szCs w:val="20"/>
              </w:rPr>
              <w:t>Olej opałowy</w:t>
            </w:r>
          </w:p>
        </w:tc>
        <w:tc>
          <w:tcPr>
            <w:tcW w:w="850" w:type="pct"/>
          </w:tcPr>
          <w:p w:rsidR="00774974" w:rsidRPr="0043683A" w:rsidRDefault="0043683A"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2,54</w:t>
            </w:r>
          </w:p>
        </w:tc>
        <w:tc>
          <w:tcPr>
            <w:tcW w:w="1003" w:type="pct"/>
          </w:tcPr>
          <w:p w:rsidR="00774974" w:rsidRPr="0043683A" w:rsidRDefault="00774974"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0,00 %</w:t>
            </w:r>
          </w:p>
        </w:tc>
        <w:tc>
          <w:tcPr>
            <w:tcW w:w="853" w:type="pct"/>
          </w:tcPr>
          <w:p w:rsidR="00774974" w:rsidRPr="0043683A" w:rsidRDefault="00487ED0" w:rsidP="0043683A">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0,</w:t>
            </w:r>
            <w:r w:rsidR="0043683A">
              <w:rPr>
                <w:rFonts w:asciiTheme="minorHAnsi" w:hAnsiTheme="minorHAnsi"/>
                <w:color w:val="auto"/>
                <w:sz w:val="20"/>
                <w:szCs w:val="20"/>
              </w:rPr>
              <w:t>67</w:t>
            </w:r>
          </w:p>
        </w:tc>
        <w:tc>
          <w:tcPr>
            <w:tcW w:w="854" w:type="pct"/>
          </w:tcPr>
          <w:p w:rsidR="00774974" w:rsidRPr="0043683A" w:rsidRDefault="00774974" w:rsidP="00934C80">
            <w:pPr>
              <w:pStyle w:val="DecimalAligned"/>
              <w:tabs>
                <w:tab w:val="clear" w:pos="360"/>
              </w:tabs>
              <w:jc w:val="center"/>
              <w:cnfStyle w:val="000000000000"/>
              <w:rPr>
                <w:rFonts w:asciiTheme="minorHAnsi" w:hAnsiTheme="minorHAnsi"/>
                <w:color w:val="auto"/>
                <w:sz w:val="20"/>
                <w:szCs w:val="20"/>
              </w:rPr>
            </w:pPr>
            <w:r w:rsidRPr="0043683A">
              <w:rPr>
                <w:rFonts w:asciiTheme="minorHAnsi" w:hAnsiTheme="minorHAnsi"/>
                <w:color w:val="auto"/>
                <w:sz w:val="20"/>
                <w:szCs w:val="20"/>
              </w:rPr>
              <w:t>0,00 %</w:t>
            </w:r>
          </w:p>
        </w:tc>
      </w:tr>
      <w:tr w:rsidR="00774974" w:rsidTr="00934C80">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774974" w:rsidRPr="0043683A" w:rsidRDefault="00774974" w:rsidP="00774974">
            <w:pPr>
              <w:pStyle w:val="DecimalAligned"/>
              <w:rPr>
                <w:rFonts w:asciiTheme="minorHAnsi" w:hAnsiTheme="minorHAnsi"/>
                <w:color w:val="auto"/>
                <w:sz w:val="20"/>
                <w:szCs w:val="20"/>
              </w:rPr>
            </w:pPr>
            <w:r w:rsidRPr="0043683A">
              <w:rPr>
                <w:rFonts w:asciiTheme="minorHAnsi" w:hAnsiTheme="minorHAnsi"/>
                <w:color w:val="auto"/>
                <w:sz w:val="20"/>
                <w:szCs w:val="20"/>
              </w:rPr>
              <w:t>biomasa</w:t>
            </w:r>
          </w:p>
        </w:tc>
        <w:tc>
          <w:tcPr>
            <w:tcW w:w="850" w:type="pct"/>
            <w:tcBorders>
              <w:top w:val="none" w:sz="0" w:space="0" w:color="auto"/>
              <w:left w:val="none" w:sz="0" w:space="0" w:color="auto"/>
              <w:bottom w:val="none" w:sz="0" w:space="0" w:color="auto"/>
              <w:right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sidRPr="0043683A">
              <w:rPr>
                <w:rFonts w:asciiTheme="minorHAnsi" w:hAnsiTheme="minorHAnsi"/>
                <w:color w:val="auto"/>
                <w:sz w:val="20"/>
                <w:szCs w:val="20"/>
              </w:rPr>
              <w:t>15 568,97</w:t>
            </w:r>
          </w:p>
        </w:tc>
        <w:tc>
          <w:tcPr>
            <w:tcW w:w="1003" w:type="pct"/>
            <w:tcBorders>
              <w:top w:val="none" w:sz="0" w:space="0" w:color="auto"/>
              <w:left w:val="none" w:sz="0" w:space="0" w:color="auto"/>
              <w:bottom w:val="none" w:sz="0" w:space="0" w:color="auto"/>
              <w:right w:val="none" w:sz="0" w:space="0" w:color="auto"/>
            </w:tcBorders>
          </w:tcPr>
          <w:p w:rsidR="00774974" w:rsidRPr="0043683A" w:rsidRDefault="0043683A" w:rsidP="00934C80">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22,77</w:t>
            </w:r>
            <w:r w:rsidR="00774974" w:rsidRPr="0043683A">
              <w:rPr>
                <w:rFonts w:asciiTheme="minorHAnsi" w:hAnsiTheme="minorHAnsi"/>
                <w:color w:val="auto"/>
                <w:sz w:val="20"/>
                <w:szCs w:val="20"/>
              </w:rPr>
              <w:t xml:space="preserve"> %</w:t>
            </w:r>
          </w:p>
        </w:tc>
        <w:tc>
          <w:tcPr>
            <w:tcW w:w="853" w:type="pct"/>
            <w:tcBorders>
              <w:top w:val="none" w:sz="0" w:space="0" w:color="auto"/>
              <w:left w:val="none" w:sz="0" w:space="0" w:color="auto"/>
              <w:bottom w:val="none" w:sz="0" w:space="0" w:color="auto"/>
              <w:right w:val="none" w:sz="0" w:space="0" w:color="auto"/>
            </w:tcBorders>
          </w:tcPr>
          <w:p w:rsidR="00774974" w:rsidRPr="0043683A" w:rsidRDefault="00774974" w:rsidP="00934C80">
            <w:pPr>
              <w:pStyle w:val="DecimalAligned"/>
              <w:tabs>
                <w:tab w:val="clear" w:pos="360"/>
              </w:tabs>
              <w:jc w:val="center"/>
              <w:cnfStyle w:val="000000100000"/>
              <w:rPr>
                <w:rFonts w:asciiTheme="minorHAnsi" w:hAnsiTheme="minorHAnsi"/>
                <w:color w:val="auto"/>
                <w:sz w:val="20"/>
                <w:szCs w:val="20"/>
              </w:rPr>
            </w:pPr>
            <w:r w:rsidRPr="0043683A">
              <w:rPr>
                <w:rFonts w:asciiTheme="minorHAnsi" w:hAnsiTheme="minorHAnsi"/>
                <w:color w:val="auto"/>
                <w:sz w:val="20"/>
                <w:szCs w:val="20"/>
              </w:rPr>
              <w:t>-</w:t>
            </w:r>
          </w:p>
        </w:tc>
        <w:tc>
          <w:tcPr>
            <w:tcW w:w="854" w:type="pct"/>
            <w:tcBorders>
              <w:top w:val="none" w:sz="0" w:space="0" w:color="auto"/>
              <w:left w:val="none" w:sz="0" w:space="0" w:color="auto"/>
              <w:bottom w:val="none" w:sz="0" w:space="0" w:color="auto"/>
            </w:tcBorders>
          </w:tcPr>
          <w:p w:rsidR="00774974" w:rsidRPr="0043683A" w:rsidRDefault="00774974" w:rsidP="00934C80">
            <w:pPr>
              <w:pStyle w:val="DecimalAligned"/>
              <w:tabs>
                <w:tab w:val="clear" w:pos="360"/>
              </w:tabs>
              <w:jc w:val="center"/>
              <w:cnfStyle w:val="000000100000"/>
              <w:rPr>
                <w:rFonts w:asciiTheme="minorHAnsi" w:hAnsiTheme="minorHAnsi"/>
                <w:color w:val="auto"/>
                <w:sz w:val="20"/>
                <w:szCs w:val="20"/>
              </w:rPr>
            </w:pPr>
            <w:r w:rsidRPr="0043683A">
              <w:rPr>
                <w:rFonts w:asciiTheme="minorHAnsi" w:hAnsiTheme="minorHAnsi"/>
                <w:color w:val="auto"/>
                <w:sz w:val="20"/>
                <w:szCs w:val="20"/>
              </w:rPr>
              <w:t>0,00 %</w:t>
            </w:r>
          </w:p>
        </w:tc>
      </w:tr>
      <w:tr w:rsidR="00774974" w:rsidRPr="00934C80" w:rsidTr="00934C80">
        <w:tc>
          <w:tcPr>
            <w:cnfStyle w:val="001000000000"/>
            <w:tcW w:w="1440" w:type="pct"/>
            <w:tcBorders>
              <w:left w:val="none" w:sz="0" w:space="0" w:color="auto"/>
              <w:bottom w:val="none" w:sz="0" w:space="0" w:color="auto"/>
              <w:right w:val="none" w:sz="0" w:space="0" w:color="auto"/>
            </w:tcBorders>
            <w:noWrap/>
          </w:tcPr>
          <w:p w:rsidR="00774974" w:rsidRPr="00934C80" w:rsidRDefault="00774974" w:rsidP="00774974">
            <w:pPr>
              <w:jc w:val="left"/>
              <w:rPr>
                <w:rStyle w:val="Wyrnieniedelikatne"/>
                <w:rFonts w:asciiTheme="minorHAnsi" w:hAnsiTheme="minorHAnsi"/>
                <w:b/>
                <w:i w:val="0"/>
                <w:color w:val="auto"/>
                <w:sz w:val="20"/>
                <w:szCs w:val="20"/>
              </w:rPr>
            </w:pPr>
            <w:r w:rsidRPr="00934C80">
              <w:rPr>
                <w:rStyle w:val="Wyrnieniedelikatne"/>
                <w:rFonts w:asciiTheme="minorHAnsi" w:hAnsiTheme="minorHAnsi"/>
                <w:b/>
                <w:i w:val="0"/>
                <w:color w:val="auto"/>
                <w:sz w:val="20"/>
                <w:szCs w:val="20"/>
              </w:rPr>
              <w:t>SUMA</w:t>
            </w:r>
          </w:p>
        </w:tc>
        <w:tc>
          <w:tcPr>
            <w:tcW w:w="850" w:type="pct"/>
          </w:tcPr>
          <w:p w:rsidR="00774974" w:rsidRPr="00934C80" w:rsidRDefault="0043683A" w:rsidP="00934C80">
            <w:pPr>
              <w:jc w:val="center"/>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68 368,61</w:t>
            </w:r>
          </w:p>
        </w:tc>
        <w:tc>
          <w:tcPr>
            <w:tcW w:w="1003" w:type="pct"/>
          </w:tcPr>
          <w:p w:rsidR="00774974" w:rsidRPr="00934C80" w:rsidRDefault="00774974" w:rsidP="00934C80">
            <w:pPr>
              <w:jc w:val="center"/>
              <w:cnfStyle w:val="000000000000"/>
              <w:rPr>
                <w:rStyle w:val="Wyrnieniedelikatne"/>
                <w:rFonts w:asciiTheme="minorHAnsi" w:hAnsiTheme="minorHAnsi"/>
                <w:b/>
                <w:i w:val="0"/>
                <w:color w:val="auto"/>
                <w:sz w:val="20"/>
                <w:szCs w:val="20"/>
              </w:rPr>
            </w:pPr>
            <w:r w:rsidRPr="00934C80">
              <w:rPr>
                <w:rStyle w:val="Wyrnieniedelikatne"/>
                <w:rFonts w:asciiTheme="minorHAnsi" w:hAnsiTheme="minorHAnsi"/>
                <w:b/>
                <w:i w:val="0"/>
                <w:color w:val="auto"/>
                <w:sz w:val="20"/>
                <w:szCs w:val="20"/>
              </w:rPr>
              <w:t>100 %</w:t>
            </w:r>
          </w:p>
        </w:tc>
        <w:tc>
          <w:tcPr>
            <w:tcW w:w="853" w:type="pct"/>
          </w:tcPr>
          <w:p w:rsidR="00774974" w:rsidRPr="00934C80" w:rsidRDefault="0043683A" w:rsidP="00934C80">
            <w:pPr>
              <w:jc w:val="center"/>
              <w:cnfStyle w:val="000000000000"/>
              <w:rPr>
                <w:rFonts w:asciiTheme="minorHAnsi" w:hAnsiTheme="minorHAnsi"/>
                <w:b/>
                <w:color w:val="auto"/>
                <w:sz w:val="20"/>
                <w:szCs w:val="20"/>
              </w:rPr>
            </w:pPr>
            <w:r>
              <w:rPr>
                <w:rFonts w:asciiTheme="minorHAnsi" w:hAnsiTheme="minorHAnsi"/>
                <w:b/>
                <w:color w:val="auto"/>
                <w:sz w:val="20"/>
                <w:szCs w:val="20"/>
              </w:rPr>
              <w:t>21 686,33</w:t>
            </w:r>
          </w:p>
        </w:tc>
        <w:tc>
          <w:tcPr>
            <w:tcW w:w="854" w:type="pct"/>
          </w:tcPr>
          <w:p w:rsidR="00774974" w:rsidRPr="00934C80" w:rsidRDefault="00774974" w:rsidP="00934C80">
            <w:pPr>
              <w:jc w:val="center"/>
              <w:cnfStyle w:val="000000000000"/>
              <w:rPr>
                <w:rFonts w:asciiTheme="minorHAnsi" w:hAnsiTheme="minorHAnsi"/>
                <w:b/>
                <w:color w:val="auto"/>
                <w:sz w:val="20"/>
                <w:szCs w:val="20"/>
              </w:rPr>
            </w:pPr>
            <w:r w:rsidRPr="00934C80">
              <w:rPr>
                <w:rFonts w:asciiTheme="minorHAnsi" w:hAnsiTheme="minorHAnsi"/>
                <w:b/>
                <w:color w:val="auto"/>
                <w:sz w:val="20"/>
                <w:szCs w:val="20"/>
              </w:rPr>
              <w:t>100 %</w:t>
            </w:r>
          </w:p>
        </w:tc>
      </w:tr>
    </w:tbl>
    <w:p w:rsidR="0033718D" w:rsidRPr="00620363" w:rsidRDefault="00934C80" w:rsidP="00854773">
      <w:pPr>
        <w:rPr>
          <w:sz w:val="20"/>
          <w:szCs w:val="20"/>
        </w:rPr>
      </w:pPr>
      <w:r w:rsidRPr="00934C80">
        <w:rPr>
          <w:sz w:val="20"/>
          <w:szCs w:val="20"/>
        </w:rPr>
        <w:t>Źródło: Opracowanie własne, na podstawie badań ankietowych</w:t>
      </w:r>
    </w:p>
    <w:p w:rsidR="00854773" w:rsidRDefault="0033718D" w:rsidP="00854773">
      <w:r>
        <w:t xml:space="preserve">Na wykresie przedstawiono udział poszczególnych nośników w pokryciu zapotrzebowania na energię końcową. </w:t>
      </w:r>
    </w:p>
    <w:p w:rsidR="0043683A" w:rsidRDefault="0043683A" w:rsidP="00854773">
      <w:r>
        <w:rPr>
          <w:noProof/>
          <w:lang w:eastAsia="pl-PL"/>
        </w:rPr>
        <w:lastRenderedPageBreak/>
        <w:drawing>
          <wp:inline distT="0" distB="0" distL="0" distR="0">
            <wp:extent cx="5486400" cy="3200400"/>
            <wp:effectExtent l="0" t="0" r="19050" b="19050"/>
            <wp:docPr id="64"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3718D" w:rsidRPr="00003B53" w:rsidRDefault="0033718D" w:rsidP="0033718D">
      <w:pPr>
        <w:pStyle w:val="Legenda"/>
        <w:ind w:firstLine="0"/>
        <w:rPr>
          <w:color w:val="auto"/>
        </w:rPr>
      </w:pPr>
      <w:bookmarkStart w:id="75" w:name="_Toc429726520"/>
      <w:r w:rsidRPr="00003B53">
        <w:rPr>
          <w:color w:val="auto"/>
        </w:rPr>
        <w:t xml:space="preserve">Wykres </w:t>
      </w:r>
      <w:r w:rsidR="00844CE4" w:rsidRPr="00003B53">
        <w:rPr>
          <w:color w:val="auto"/>
        </w:rPr>
        <w:fldChar w:fldCharType="begin"/>
      </w:r>
      <w:r w:rsidR="00E964D8" w:rsidRPr="00003B53">
        <w:rPr>
          <w:color w:val="auto"/>
        </w:rPr>
        <w:instrText xml:space="preserve"> SEQ Wykres \* ARABIC </w:instrText>
      </w:r>
      <w:r w:rsidR="00844CE4" w:rsidRPr="00003B53">
        <w:rPr>
          <w:color w:val="auto"/>
        </w:rPr>
        <w:fldChar w:fldCharType="separate"/>
      </w:r>
      <w:r w:rsidR="005C42FD">
        <w:rPr>
          <w:noProof/>
          <w:color w:val="auto"/>
        </w:rPr>
        <w:t>19</w:t>
      </w:r>
      <w:r w:rsidR="00844CE4" w:rsidRPr="00003B53">
        <w:rPr>
          <w:noProof/>
          <w:color w:val="auto"/>
        </w:rPr>
        <w:fldChar w:fldCharType="end"/>
      </w:r>
      <w:r w:rsidRPr="00003B53">
        <w:rPr>
          <w:color w:val="auto"/>
        </w:rPr>
        <w:t xml:space="preserve"> Procentowy udział poszczególnych nośników energii</w:t>
      </w:r>
      <w:bookmarkEnd w:id="75"/>
    </w:p>
    <w:p w:rsidR="0033718D" w:rsidRDefault="0033718D" w:rsidP="0033718D">
      <w:pPr>
        <w:rPr>
          <w:sz w:val="20"/>
          <w:szCs w:val="20"/>
        </w:rPr>
      </w:pPr>
      <w:r w:rsidRPr="0033718D">
        <w:rPr>
          <w:sz w:val="20"/>
          <w:szCs w:val="20"/>
        </w:rPr>
        <w:t>Źródło: Opracowanie własne, na podstawie badań ankietowych</w:t>
      </w:r>
    </w:p>
    <w:p w:rsidR="00620363" w:rsidRDefault="00620363" w:rsidP="00620363">
      <w:r>
        <w:t xml:space="preserve">Na podstawie przeprowadzonych wśród mieszkańców gminy Herby badań ankietowych utworzono bazę danych, która gromadzi informacje dotyczące 290 gospodarstw domowych. </w:t>
      </w:r>
    </w:p>
    <w:p w:rsidR="000E330E" w:rsidRDefault="000E330E" w:rsidP="00620363">
      <w:r>
        <w:t xml:space="preserve">Jak wynika z badań ankietowych, dominującym nośnikiem energii wykorzystywanym do ogrzewania domów jednorodzinnych i podgrzewania wody użytkowej, jest węgiel kamienny, w tym także </w:t>
      </w:r>
      <w:proofErr w:type="spellStart"/>
      <w:r>
        <w:t>ekogroszek</w:t>
      </w:r>
      <w:proofErr w:type="spellEnd"/>
      <w:r>
        <w:t xml:space="preserve"> i miał węglowy. Niestety pomimo promocji ekologicznych źródeł energii dążenia do ograniczania emisji CO</w:t>
      </w:r>
      <w:r w:rsidRPr="000E330E">
        <w:rPr>
          <w:vertAlign w:val="subscript"/>
        </w:rPr>
        <w:t>2</w:t>
      </w:r>
      <w:r>
        <w:t xml:space="preserve"> stanowi on </w:t>
      </w:r>
      <w:r w:rsidR="00A15838">
        <w:t>67,12</w:t>
      </w:r>
      <w:r>
        <w:t xml:space="preserve">% ogólnego udziału nośników w bilansie energetycznym. </w:t>
      </w:r>
      <w:r w:rsidR="00A27D39">
        <w:t xml:space="preserve">Na drugim miejscu pod względem udziału jest biomasa, w tym głównie drewno opałowe i odpady pochodzenia drzewnego, które stanowią </w:t>
      </w:r>
      <w:r w:rsidR="00A15838">
        <w:t>22,87</w:t>
      </w:r>
      <w:r w:rsidR="00A27D39">
        <w:t xml:space="preserve">% ogólnego udziału nośników wykorzystywanych do ogrzania domów. Energia elektryczna stanowi zaledwie </w:t>
      </w:r>
      <w:r w:rsidR="00A15838">
        <w:t>10,01</w:t>
      </w:r>
      <w:r w:rsidR="00A27D39">
        <w:t xml:space="preserve">%. </w:t>
      </w:r>
    </w:p>
    <w:p w:rsidR="00A27D39" w:rsidRDefault="00A27D39" w:rsidP="00620363">
      <w:pPr>
        <w:rPr>
          <w:szCs w:val="23"/>
        </w:rPr>
      </w:pPr>
      <w:r>
        <w:rPr>
          <w:szCs w:val="23"/>
        </w:rPr>
        <w:t xml:space="preserve">Warto podkreślić, że roczne koszty ponoszone na cele grzewcze uzależnione są od rodzaju stosowanego paliwa. Aktualnie najtańszym nośnikiem jest ogrzewanie węglowe, dlatego jest ono jednym z najczęściej wybieranych paliw służących do ogrzewania budynków. Najdroższym nośnikiem energii stosowanym do celów grzewczych jest energia elektryczna i olej opałowy,  a także gaz LPG. Do ogrzewania ciepłej wody stosowany jest głównie taki sam nośnik jak przy ogrzewaniu. Tylko 3,68% gospodarstw domowych korzysta z kolektorów słonecznych do podgrzewania wody. </w:t>
      </w:r>
    </w:p>
    <w:p w:rsidR="00870678" w:rsidRDefault="000C0DF2" w:rsidP="00620363">
      <w:r>
        <w:lastRenderedPageBreak/>
        <w:t>W gminie Herby, w zależności od nośnika, średnie roczne zużycie wynosi: 4,78 tony w przypadku węgla oraz 5,78 dm</w:t>
      </w:r>
      <w:r w:rsidRPr="000C0DF2">
        <w:rPr>
          <w:vertAlign w:val="superscript"/>
        </w:rPr>
        <w:t>3</w:t>
      </w:r>
      <w:r>
        <w:t xml:space="preserve"> w przypadku drewna. </w:t>
      </w:r>
      <w:r w:rsidR="005C1A50">
        <w:t>Procentowy udział zużycia energii na cele ogrzania powierzchni gospodarstw domowych przedstawia wykres</w:t>
      </w:r>
      <w:r w:rsidR="00E67A29">
        <w:t xml:space="preserve"> 25</w:t>
      </w:r>
      <w:r w:rsidR="005C1A50">
        <w:t xml:space="preserve">. Z danych wynika, że najczęściej gospodarstwa opalają węglem i drewnem, jednak samo drewno (w tym przypadku zakwalifikowane jako biomasa) stanowi </w:t>
      </w:r>
      <w:r w:rsidR="00870678">
        <w:t xml:space="preserve">45,74% ogólnego zużycia, natomiast węgiel 54,26%. </w:t>
      </w:r>
    </w:p>
    <w:p w:rsidR="00870678" w:rsidRDefault="00870678" w:rsidP="00620363"/>
    <w:p w:rsidR="00870678" w:rsidRDefault="00870678" w:rsidP="00870678">
      <w:pPr>
        <w:keepNext/>
      </w:pPr>
      <w:r w:rsidRPr="00870678">
        <w:rPr>
          <w:noProof/>
          <w:lang w:eastAsia="pl-PL"/>
        </w:rPr>
        <w:drawing>
          <wp:inline distT="0" distB="0" distL="0" distR="0">
            <wp:extent cx="4993822" cy="2743200"/>
            <wp:effectExtent l="0" t="0" r="16510" b="19050"/>
            <wp:docPr id="28"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70678" w:rsidRPr="00003B53" w:rsidRDefault="00870678" w:rsidP="00870678">
      <w:pPr>
        <w:pStyle w:val="Legenda"/>
        <w:ind w:firstLine="0"/>
        <w:rPr>
          <w:color w:val="auto"/>
        </w:rPr>
      </w:pPr>
      <w:bookmarkStart w:id="76" w:name="_Toc429726521"/>
      <w:r w:rsidRPr="00003B53">
        <w:rPr>
          <w:color w:val="auto"/>
        </w:rPr>
        <w:t xml:space="preserve">Wykres </w:t>
      </w:r>
      <w:r w:rsidR="00844CE4" w:rsidRPr="00003B53">
        <w:rPr>
          <w:color w:val="auto"/>
        </w:rPr>
        <w:fldChar w:fldCharType="begin"/>
      </w:r>
      <w:r w:rsidR="00E964D8" w:rsidRPr="00003B53">
        <w:rPr>
          <w:color w:val="auto"/>
        </w:rPr>
        <w:instrText xml:space="preserve"> SEQ Wykres \* ARABIC </w:instrText>
      </w:r>
      <w:r w:rsidR="00844CE4" w:rsidRPr="00003B53">
        <w:rPr>
          <w:color w:val="auto"/>
        </w:rPr>
        <w:fldChar w:fldCharType="separate"/>
      </w:r>
      <w:r w:rsidR="005C42FD">
        <w:rPr>
          <w:noProof/>
          <w:color w:val="auto"/>
        </w:rPr>
        <w:t>20</w:t>
      </w:r>
      <w:r w:rsidR="00844CE4" w:rsidRPr="00003B53">
        <w:rPr>
          <w:noProof/>
          <w:color w:val="auto"/>
        </w:rPr>
        <w:fldChar w:fldCharType="end"/>
      </w:r>
      <w:r w:rsidRPr="00003B53">
        <w:rPr>
          <w:color w:val="auto"/>
        </w:rPr>
        <w:t xml:space="preserve"> Procentowy udział zużycia energii na cele ciepłownicze</w:t>
      </w:r>
      <w:bookmarkEnd w:id="76"/>
    </w:p>
    <w:p w:rsidR="00870678" w:rsidRPr="006F2005" w:rsidRDefault="00870678" w:rsidP="00870678">
      <w:pPr>
        <w:jc w:val="left"/>
        <w:rPr>
          <w:sz w:val="20"/>
          <w:szCs w:val="20"/>
        </w:rPr>
      </w:pPr>
      <w:r w:rsidRPr="006F2005">
        <w:rPr>
          <w:sz w:val="20"/>
          <w:szCs w:val="20"/>
        </w:rPr>
        <w:t>Źródło: Opracowanie własne na podstawie przeprowadzonych badań ankietowych</w:t>
      </w:r>
      <w:r w:rsidR="004206EE" w:rsidRPr="006F2005">
        <w:rPr>
          <w:sz w:val="20"/>
          <w:szCs w:val="20"/>
        </w:rPr>
        <w:t xml:space="preserve"> </w:t>
      </w:r>
      <w:r w:rsidRPr="006F2005">
        <w:rPr>
          <w:sz w:val="20"/>
          <w:szCs w:val="20"/>
        </w:rPr>
        <w:t>gospodarstw domowych gminy Herby</w:t>
      </w:r>
    </w:p>
    <w:p w:rsidR="00870678" w:rsidRPr="006F2005" w:rsidRDefault="00870678" w:rsidP="00870678">
      <w:pPr>
        <w:jc w:val="left"/>
        <w:rPr>
          <w:sz w:val="20"/>
          <w:szCs w:val="20"/>
        </w:rPr>
      </w:pPr>
    </w:p>
    <w:p w:rsidR="00870678" w:rsidRPr="00E67A29" w:rsidRDefault="00E67A29" w:rsidP="00870678">
      <w:r w:rsidRPr="006F2005">
        <w:t>Poniżej przedstawiono procentową emisję</w:t>
      </w:r>
      <w:r w:rsidR="004206EE" w:rsidRPr="006F2005">
        <w:t xml:space="preserve"> </w:t>
      </w:r>
      <w:r w:rsidRPr="006F2005">
        <w:rPr>
          <w:szCs w:val="23"/>
        </w:rPr>
        <w:t>CO</w:t>
      </w:r>
      <w:r w:rsidRPr="006F2005">
        <w:rPr>
          <w:szCs w:val="23"/>
          <w:vertAlign w:val="subscript"/>
        </w:rPr>
        <w:t>2</w:t>
      </w:r>
      <w:r w:rsidR="004206EE" w:rsidRPr="006F2005">
        <w:rPr>
          <w:szCs w:val="23"/>
          <w:vertAlign w:val="subscript"/>
        </w:rPr>
        <w:t xml:space="preserve"> </w:t>
      </w:r>
      <w:r w:rsidRPr="006F2005">
        <w:rPr>
          <w:szCs w:val="23"/>
        </w:rPr>
        <w:t xml:space="preserve">związaną z wykorzystaniem nośników energii w sektorze domów jednorodzinnych. Sumaryczna, oszacowana procentowa wielkość emisji w sektorze budownictwa jedno- i wielorodzinnego wynosi </w:t>
      </w:r>
      <w:r w:rsidR="00A15838" w:rsidRPr="006F2005">
        <w:rPr>
          <w:szCs w:val="23"/>
        </w:rPr>
        <w:t>73,78</w:t>
      </w:r>
      <w:r w:rsidRPr="006F2005">
        <w:rPr>
          <w:szCs w:val="23"/>
        </w:rPr>
        <w:t>% dla węgla kamiennego (w tym:</w:t>
      </w:r>
      <w:r>
        <w:rPr>
          <w:szCs w:val="23"/>
        </w:rPr>
        <w:t xml:space="preserve"> koks, miał węglowy i </w:t>
      </w:r>
      <w:proofErr w:type="spellStart"/>
      <w:r>
        <w:rPr>
          <w:szCs w:val="23"/>
        </w:rPr>
        <w:t>ekogroszek</w:t>
      </w:r>
      <w:proofErr w:type="spellEnd"/>
      <w:r>
        <w:rPr>
          <w:szCs w:val="23"/>
        </w:rPr>
        <w:t xml:space="preserve">) oraz </w:t>
      </w:r>
      <w:r w:rsidR="00A15838">
        <w:rPr>
          <w:szCs w:val="23"/>
        </w:rPr>
        <w:t>26,22</w:t>
      </w:r>
      <w:r>
        <w:rPr>
          <w:szCs w:val="23"/>
        </w:rPr>
        <w:t xml:space="preserve">% stanowi energia elektryczna. </w:t>
      </w:r>
    </w:p>
    <w:p w:rsidR="00870678" w:rsidRDefault="00A15838" w:rsidP="00620363">
      <w:r>
        <w:rPr>
          <w:noProof/>
          <w:lang w:eastAsia="pl-PL"/>
        </w:rPr>
        <w:lastRenderedPageBreak/>
        <w:drawing>
          <wp:inline distT="0" distB="0" distL="0" distR="0">
            <wp:extent cx="5486400" cy="3200400"/>
            <wp:effectExtent l="0" t="0" r="19050" b="19050"/>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1A50" w:rsidRPr="00003B53" w:rsidRDefault="00E67A29" w:rsidP="00E67A29">
      <w:pPr>
        <w:pStyle w:val="Legenda"/>
        <w:ind w:firstLine="0"/>
        <w:rPr>
          <w:color w:val="auto"/>
        </w:rPr>
      </w:pPr>
      <w:bookmarkStart w:id="77" w:name="_Toc429726522"/>
      <w:r w:rsidRPr="00003B53">
        <w:rPr>
          <w:color w:val="auto"/>
        </w:rPr>
        <w:t xml:space="preserve">Wykres </w:t>
      </w:r>
      <w:r w:rsidR="00844CE4" w:rsidRPr="00003B53">
        <w:rPr>
          <w:color w:val="auto"/>
        </w:rPr>
        <w:fldChar w:fldCharType="begin"/>
      </w:r>
      <w:r w:rsidR="00E964D8" w:rsidRPr="00003B53">
        <w:rPr>
          <w:color w:val="auto"/>
        </w:rPr>
        <w:instrText xml:space="preserve"> SEQ Wykres \* ARABIC </w:instrText>
      </w:r>
      <w:r w:rsidR="00844CE4" w:rsidRPr="00003B53">
        <w:rPr>
          <w:color w:val="auto"/>
        </w:rPr>
        <w:fldChar w:fldCharType="separate"/>
      </w:r>
      <w:r w:rsidR="005C42FD">
        <w:rPr>
          <w:noProof/>
          <w:color w:val="auto"/>
        </w:rPr>
        <w:t>21</w:t>
      </w:r>
      <w:r w:rsidR="00844CE4" w:rsidRPr="00003B53">
        <w:rPr>
          <w:noProof/>
          <w:color w:val="auto"/>
        </w:rPr>
        <w:fldChar w:fldCharType="end"/>
      </w:r>
      <w:r w:rsidRPr="00003B53">
        <w:rPr>
          <w:color w:val="auto"/>
        </w:rPr>
        <w:t xml:space="preserve"> Procentowy udział wielkości emisji CO2 z nośników energii wykorzystywany w sektorze budownictwa jednorodzinnego/mieszkalnictwa</w:t>
      </w:r>
      <w:bookmarkEnd w:id="77"/>
    </w:p>
    <w:p w:rsidR="00E67A29" w:rsidRDefault="00E67A29" w:rsidP="00E67A29">
      <w:pPr>
        <w:jc w:val="left"/>
        <w:rPr>
          <w:sz w:val="20"/>
          <w:szCs w:val="20"/>
        </w:rPr>
      </w:pPr>
      <w:r w:rsidRPr="00072EF8">
        <w:rPr>
          <w:sz w:val="20"/>
          <w:szCs w:val="20"/>
        </w:rPr>
        <w:t xml:space="preserve">Źródło: Opracowanie własne na podstawie </w:t>
      </w:r>
      <w:r>
        <w:rPr>
          <w:sz w:val="20"/>
          <w:szCs w:val="20"/>
        </w:rPr>
        <w:t>przeprowadzonych badań ankietowych</w:t>
      </w:r>
      <w:r w:rsidR="001B313E">
        <w:rPr>
          <w:sz w:val="20"/>
          <w:szCs w:val="20"/>
        </w:rPr>
        <w:t xml:space="preserve"> </w:t>
      </w:r>
      <w:r>
        <w:rPr>
          <w:sz w:val="20"/>
          <w:szCs w:val="20"/>
        </w:rPr>
        <w:t>gospodarstw domowych gminy Herby</w:t>
      </w:r>
    </w:p>
    <w:p w:rsidR="00D91944" w:rsidRPr="00FD1181" w:rsidRDefault="00D91944" w:rsidP="00FD1181">
      <w:pPr>
        <w:spacing w:line="240" w:lineRule="auto"/>
        <w:rPr>
          <w:sz w:val="16"/>
          <w:szCs w:val="16"/>
        </w:rPr>
      </w:pPr>
    </w:p>
    <w:p w:rsidR="00FD1181" w:rsidRDefault="00F726BC" w:rsidP="001D1E3D">
      <w:r>
        <w:t xml:space="preserve">Standardowe wskaźniki emisji obejmują całość emisji </w:t>
      </w:r>
      <w:r w:rsidRPr="00C47FF9">
        <w:rPr>
          <w:szCs w:val="23"/>
        </w:rPr>
        <w:t>CO</w:t>
      </w:r>
      <w:r w:rsidRPr="00B54618">
        <w:rPr>
          <w:szCs w:val="23"/>
          <w:vertAlign w:val="subscript"/>
        </w:rPr>
        <w:t>2</w:t>
      </w:r>
      <w:r>
        <w:t xml:space="preserve">  wynikającej z końcowego zużycia energii na terenie gminy. Bazują one na zawartości węgla w poszczególnych paliwach. W przypadku drewna, które jest jednym z dominujących nośników energii w gminie Herby, wskaźnik emisji wynosi od 0 -0,0403</w:t>
      </w:r>
      <w:r>
        <w:rPr>
          <w:rStyle w:val="Odwoanieprzypisudolnego"/>
        </w:rPr>
        <w:footnoteReference w:id="16"/>
      </w:r>
      <w:r>
        <w:t xml:space="preserve">. Na potrzeby niniejszego opracowania przyjmuje się, że wskaźnik emisji dla biomasy równoważny jest stosowaniu zerowego wskaźnika, co oznacza, że emisji CO2 ze spalania biomasy (drewna opałowego i odpadów pochodzenia drzewnego, odpadów komunalnych biogenicznych i biogazu) nie wlicza się do sumy emisji ze spalania paliw, zgodnie z zasadami Wspólnotowego systemu handlu uprawnieniami do emisji oraz IPCC. </w:t>
      </w:r>
    </w:p>
    <w:p w:rsidR="00D91944" w:rsidRDefault="00D91944" w:rsidP="001D1E3D">
      <w:r>
        <w:br w:type="page"/>
      </w:r>
    </w:p>
    <w:p w:rsidR="00F726BC" w:rsidRDefault="00217A92" w:rsidP="00A10D06">
      <w:pPr>
        <w:pStyle w:val="Nagwek3"/>
        <w:numPr>
          <w:ilvl w:val="2"/>
          <w:numId w:val="1"/>
        </w:numPr>
      </w:pPr>
      <w:bookmarkStart w:id="78" w:name="_Toc438118391"/>
      <w:r>
        <w:lastRenderedPageBreak/>
        <w:t>Obiekty użyteczności publicznej</w:t>
      </w:r>
      <w:bookmarkEnd w:id="78"/>
    </w:p>
    <w:p w:rsidR="00F726BC" w:rsidRDefault="00F726BC" w:rsidP="00F726BC"/>
    <w:p w:rsidR="00787F56" w:rsidRDefault="00761BB0" w:rsidP="007B6154">
      <w:r>
        <w:t>W niniejszym podrozdziale przedstawiono emisję CO2 wynikającą z funkcjonowania obiektów użyteczności publicznej zlokalizowanych na terenie gminy Herby. W związku z powyższym w inwentaryzacji uwzględniono następujące budynki:</w:t>
      </w:r>
    </w:p>
    <w:p w:rsidR="007B6154" w:rsidRDefault="007B6154" w:rsidP="00E7342B">
      <w:pPr>
        <w:pStyle w:val="Akapitzlist"/>
        <w:numPr>
          <w:ilvl w:val="0"/>
          <w:numId w:val="35"/>
        </w:numPr>
        <w:spacing w:before="120" w:after="120"/>
      </w:pPr>
      <w:r>
        <w:t>budynki administracyjne gminy takie jak Urząd,</w:t>
      </w:r>
    </w:p>
    <w:p w:rsidR="007B6154" w:rsidRDefault="00761BB0" w:rsidP="00E7342B">
      <w:pPr>
        <w:pStyle w:val="Akapitzlist"/>
        <w:numPr>
          <w:ilvl w:val="0"/>
          <w:numId w:val="35"/>
        </w:numPr>
        <w:spacing w:before="120" w:after="120"/>
      </w:pPr>
      <w:r>
        <w:t>kaplice cmentarne,</w:t>
      </w:r>
    </w:p>
    <w:p w:rsidR="00761BB0" w:rsidRDefault="00A604DD" w:rsidP="00E7342B">
      <w:pPr>
        <w:pStyle w:val="Akapitzlist"/>
        <w:numPr>
          <w:ilvl w:val="0"/>
          <w:numId w:val="35"/>
        </w:numPr>
        <w:spacing w:before="120" w:after="120"/>
      </w:pPr>
      <w:r>
        <w:t>stację</w:t>
      </w:r>
      <w:r w:rsidR="00761BB0">
        <w:t xml:space="preserve"> uzdatniania wody,</w:t>
      </w:r>
    </w:p>
    <w:p w:rsidR="00761BB0" w:rsidRDefault="00A604DD" w:rsidP="00E7342B">
      <w:pPr>
        <w:pStyle w:val="Akapitzlist"/>
        <w:numPr>
          <w:ilvl w:val="0"/>
          <w:numId w:val="35"/>
        </w:numPr>
        <w:spacing w:before="120" w:after="120"/>
      </w:pPr>
      <w:r>
        <w:t>kotłownię osiedlową</w:t>
      </w:r>
      <w:r w:rsidR="00761BB0">
        <w:t>,</w:t>
      </w:r>
    </w:p>
    <w:p w:rsidR="00761BB0" w:rsidRDefault="00761BB0" w:rsidP="00E7342B">
      <w:pPr>
        <w:pStyle w:val="Akapitzlist"/>
        <w:numPr>
          <w:ilvl w:val="0"/>
          <w:numId w:val="35"/>
        </w:numPr>
        <w:spacing w:before="120" w:after="120"/>
      </w:pPr>
      <w:r>
        <w:t>oczyszczalnie ścieków,</w:t>
      </w:r>
    </w:p>
    <w:p w:rsidR="007B6154" w:rsidRDefault="007B6154" w:rsidP="00E7342B">
      <w:pPr>
        <w:pStyle w:val="Akapitzlist"/>
        <w:numPr>
          <w:ilvl w:val="0"/>
          <w:numId w:val="35"/>
        </w:numPr>
        <w:spacing w:before="120" w:after="120"/>
      </w:pPr>
      <w:r>
        <w:t>szkoły, przedszkola, gimnazja,</w:t>
      </w:r>
    </w:p>
    <w:p w:rsidR="007B6154" w:rsidRDefault="007B6154" w:rsidP="00E7342B">
      <w:pPr>
        <w:pStyle w:val="Akapitzlist"/>
        <w:numPr>
          <w:ilvl w:val="0"/>
          <w:numId w:val="35"/>
        </w:numPr>
        <w:spacing w:before="120" w:after="120"/>
      </w:pPr>
      <w:r>
        <w:t>ośrodki zdrowia,</w:t>
      </w:r>
    </w:p>
    <w:p w:rsidR="007B6154" w:rsidRDefault="007B6154" w:rsidP="00E7342B">
      <w:pPr>
        <w:pStyle w:val="Akapitzlist"/>
        <w:numPr>
          <w:ilvl w:val="0"/>
          <w:numId w:val="35"/>
        </w:numPr>
        <w:spacing w:before="120" w:after="120"/>
      </w:pPr>
      <w:r>
        <w:t>obiekty sportowo-rekreacyjne,</w:t>
      </w:r>
    </w:p>
    <w:p w:rsidR="007B6154" w:rsidRDefault="007B6154" w:rsidP="00E7342B">
      <w:pPr>
        <w:pStyle w:val="Akapitzlist"/>
        <w:numPr>
          <w:ilvl w:val="0"/>
          <w:numId w:val="35"/>
        </w:numPr>
        <w:spacing w:before="120" w:after="120"/>
      </w:pPr>
      <w:r>
        <w:t>strażnice OSP,</w:t>
      </w:r>
    </w:p>
    <w:p w:rsidR="007B6154" w:rsidRDefault="007B6154" w:rsidP="00E7342B">
      <w:pPr>
        <w:pStyle w:val="Akapitzlist"/>
        <w:numPr>
          <w:ilvl w:val="0"/>
          <w:numId w:val="35"/>
        </w:numPr>
        <w:spacing w:before="120" w:after="120"/>
      </w:pPr>
      <w:r>
        <w:t>inne.</w:t>
      </w:r>
    </w:p>
    <w:p w:rsidR="00761BB0" w:rsidRPr="002A313D" w:rsidRDefault="00761BB0" w:rsidP="002A313D">
      <w:pPr>
        <w:spacing w:before="120" w:after="120" w:line="240" w:lineRule="auto"/>
        <w:rPr>
          <w:sz w:val="16"/>
          <w:szCs w:val="16"/>
        </w:rPr>
      </w:pPr>
    </w:p>
    <w:p w:rsidR="006978F9" w:rsidRDefault="00761BB0" w:rsidP="006978F9">
      <w:pPr>
        <w:spacing w:before="120" w:after="120"/>
      </w:pPr>
      <w:r>
        <w:t>W oparciu o dane uzyskane z badania ankietowego została określona struktura zużycia paliw i energii w budynkach użyteczności publicznej dla całego obszaru objętego analizą, uwzględniając powierzchnię użytkową</w:t>
      </w:r>
      <w:r w:rsidR="001F1AD7">
        <w:t xml:space="preserve"> budynków</w:t>
      </w:r>
      <w:r>
        <w:t xml:space="preserve">. Większość budynków funkcjonuje w systemie indywidualnych źródeł ciepła zlokalizowanych bezpośrednio w budynkach. Głównie są to piece węglowe i elektryczne. </w:t>
      </w:r>
      <w:r w:rsidR="005D77A2">
        <w:t xml:space="preserve">Szczegółowe informacje dotyczące zużycia energii w rozbiciu na poszczególne nośniki energii oraz ich roczną emisję przedstawia tabela </w:t>
      </w:r>
      <w:r w:rsidR="00F67F63">
        <w:t>9</w:t>
      </w:r>
      <w:r w:rsidR="005D77A2">
        <w:t>.</w:t>
      </w:r>
    </w:p>
    <w:p w:rsidR="005D77A2" w:rsidRDefault="001F1AD7" w:rsidP="006978F9">
      <w:pPr>
        <w:spacing w:before="120" w:after="120"/>
      </w:pPr>
      <w:r>
        <w:t xml:space="preserve">Obiekty funkcjonujące w sferze użyteczności publicznej zużywały w roku bazowym – 2009 – </w:t>
      </w:r>
      <w:r w:rsidR="00F67F63">
        <w:t xml:space="preserve">2 382,71 </w:t>
      </w:r>
      <w:proofErr w:type="spellStart"/>
      <w:r>
        <w:t>MWh</w:t>
      </w:r>
      <w:proofErr w:type="spellEnd"/>
      <w:r>
        <w:t xml:space="preserve">, czyli o </w:t>
      </w:r>
      <w:r w:rsidR="00F67F63">
        <w:t xml:space="preserve">770,81 </w:t>
      </w:r>
      <w:proofErr w:type="spellStart"/>
      <w:r w:rsidR="003D28F6">
        <w:t>MWh</w:t>
      </w:r>
      <w:proofErr w:type="spellEnd"/>
      <w:r w:rsidR="00F67F63">
        <w:t xml:space="preserve"> mniej</w:t>
      </w:r>
      <w:r>
        <w:t xml:space="preserve"> niż w roku kontrolnym – 2014. </w:t>
      </w:r>
    </w:p>
    <w:p w:rsidR="008433EA" w:rsidRPr="003E5E56" w:rsidRDefault="008433EA" w:rsidP="008433EA">
      <w:pPr>
        <w:spacing w:before="120" w:after="120"/>
      </w:pPr>
      <w:r w:rsidRPr="003E5E56">
        <w:t xml:space="preserve">Należy nadmienić, iż w roku 2014 funkcjonowała już kryta pływalnia (w 2009 r. rozpoczęto jej budowę). Rocznie pływalnia zużywa przeciętnie 156 </w:t>
      </w:r>
      <w:proofErr w:type="spellStart"/>
      <w:r w:rsidRPr="003E5E56">
        <w:t>MWh</w:t>
      </w:r>
      <w:proofErr w:type="spellEnd"/>
      <w:r w:rsidRPr="003E5E56">
        <w:t xml:space="preserve"> energii elektrycznej i ok. 100 Mg węgla.</w:t>
      </w:r>
    </w:p>
    <w:p w:rsidR="001F1AD7" w:rsidRDefault="001F1AD7" w:rsidP="006978F9">
      <w:pPr>
        <w:spacing w:before="120" w:after="120"/>
      </w:pPr>
    </w:p>
    <w:p w:rsidR="005D77A2" w:rsidRDefault="005D77A2" w:rsidP="006978F9">
      <w:pPr>
        <w:spacing w:before="120" w:after="120"/>
      </w:pPr>
    </w:p>
    <w:p w:rsidR="00E67A29" w:rsidRPr="001B1F03" w:rsidRDefault="00E67A29" w:rsidP="001B1F03">
      <w:pPr>
        <w:spacing w:line="240" w:lineRule="auto"/>
        <w:jc w:val="left"/>
        <w:rPr>
          <w:sz w:val="16"/>
          <w:szCs w:val="16"/>
        </w:rPr>
      </w:pPr>
    </w:p>
    <w:p w:rsidR="00861F21" w:rsidRPr="00AB3BC0" w:rsidRDefault="00861F21" w:rsidP="00861F21">
      <w:pPr>
        <w:pStyle w:val="Legenda"/>
        <w:keepNext/>
        <w:ind w:firstLine="0"/>
        <w:rPr>
          <w:color w:val="auto"/>
        </w:rPr>
      </w:pPr>
      <w:bookmarkStart w:id="79" w:name="_Toc436586230"/>
      <w:r w:rsidRPr="00AB3BC0">
        <w:rPr>
          <w:color w:val="auto"/>
        </w:rPr>
        <w:lastRenderedPageBreak/>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9</w:t>
      </w:r>
      <w:r w:rsidR="00844CE4">
        <w:rPr>
          <w:color w:val="auto"/>
        </w:rPr>
        <w:fldChar w:fldCharType="end"/>
      </w:r>
      <w:r w:rsidRPr="00AB3BC0">
        <w:rPr>
          <w:color w:val="auto"/>
        </w:rPr>
        <w:t xml:space="preserve"> Zużycie energii na poszczególne nośniki energii i roczna emisja CO</w:t>
      </w:r>
      <w:r w:rsidRPr="00AB3BC0">
        <w:rPr>
          <w:color w:val="auto"/>
          <w:vertAlign w:val="subscript"/>
        </w:rPr>
        <w:t>2</w:t>
      </w:r>
      <w:r w:rsidRPr="00AB3BC0">
        <w:rPr>
          <w:color w:val="auto"/>
        </w:rPr>
        <w:t xml:space="preserve"> w sektorze użyteczności publicznej</w:t>
      </w:r>
      <w:bookmarkEnd w:id="79"/>
    </w:p>
    <w:tbl>
      <w:tblPr>
        <w:tblStyle w:val="rednialista2akcent1"/>
        <w:tblW w:w="4306" w:type="pct"/>
        <w:tblLook w:val="04A0"/>
      </w:tblPr>
      <w:tblGrid>
        <w:gridCol w:w="2303"/>
        <w:gridCol w:w="1360"/>
        <w:gridCol w:w="1605"/>
        <w:gridCol w:w="1365"/>
        <w:gridCol w:w="1366"/>
      </w:tblGrid>
      <w:tr w:rsidR="00861F21" w:rsidTr="008D6EC9">
        <w:trPr>
          <w:cnfStyle w:val="100000000000"/>
        </w:trPr>
        <w:tc>
          <w:tcPr>
            <w:cnfStyle w:val="001000000100"/>
            <w:tcW w:w="1440" w:type="pct"/>
            <w:tcBorders>
              <w:top w:val="none" w:sz="0" w:space="0" w:color="auto"/>
              <w:left w:val="none" w:sz="0" w:space="0" w:color="auto"/>
              <w:bottom w:val="none" w:sz="0" w:space="0" w:color="auto"/>
              <w:right w:val="none" w:sz="0" w:space="0" w:color="auto"/>
            </w:tcBorders>
            <w:noWrap/>
            <w:vAlign w:val="center"/>
          </w:tcPr>
          <w:p w:rsidR="00861F21" w:rsidRDefault="00861F21" w:rsidP="008D6EC9">
            <w:pPr>
              <w:spacing w:line="240" w:lineRule="auto"/>
              <w:jc w:val="lef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Źródło emisji</w:t>
            </w:r>
          </w:p>
        </w:tc>
        <w:tc>
          <w:tcPr>
            <w:tcW w:w="850" w:type="pct"/>
            <w:tcBorders>
              <w:top w:val="none" w:sz="0" w:space="0" w:color="auto"/>
              <w:left w:val="none" w:sz="0" w:space="0" w:color="auto"/>
              <w:bottom w:val="none" w:sz="0" w:space="0" w:color="auto"/>
              <w:right w:val="none" w:sz="0" w:space="0" w:color="auto"/>
            </w:tcBorders>
            <w:vAlign w:val="center"/>
          </w:tcPr>
          <w:p w:rsidR="00861F21" w:rsidRDefault="00861F21" w:rsidP="008D6EC9">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 xml:space="preserve">Całkowita energia </w:t>
            </w:r>
            <w:proofErr w:type="spellStart"/>
            <w:r w:rsidRPr="00774974">
              <w:rPr>
                <w:rFonts w:asciiTheme="minorHAnsi" w:eastAsiaTheme="minorEastAsia" w:hAnsiTheme="minorHAnsi" w:cstheme="minorBidi"/>
                <w:color w:val="auto"/>
                <w:sz w:val="22"/>
                <w:szCs w:val="22"/>
              </w:rPr>
              <w:t>MWh</w:t>
            </w:r>
            <w:proofErr w:type="spellEnd"/>
            <w:r w:rsidRPr="00774974">
              <w:rPr>
                <w:rFonts w:asciiTheme="minorHAnsi" w:eastAsiaTheme="minorEastAsia" w:hAnsiTheme="minorHAnsi" w:cstheme="minorBidi"/>
                <w:color w:val="auto"/>
                <w:sz w:val="22"/>
                <w:szCs w:val="22"/>
              </w:rPr>
              <w:t>/rok</w:t>
            </w:r>
          </w:p>
        </w:tc>
        <w:tc>
          <w:tcPr>
            <w:tcW w:w="1003" w:type="pct"/>
            <w:tcBorders>
              <w:top w:val="none" w:sz="0" w:space="0" w:color="auto"/>
              <w:left w:val="none" w:sz="0" w:space="0" w:color="auto"/>
              <w:bottom w:val="none" w:sz="0" w:space="0" w:color="auto"/>
              <w:right w:val="none" w:sz="0" w:space="0" w:color="auto"/>
            </w:tcBorders>
            <w:vAlign w:val="center"/>
          </w:tcPr>
          <w:p w:rsidR="00861F21" w:rsidRDefault="00861F21" w:rsidP="008D6EC9">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poszczególnych nośników energii</w:t>
            </w:r>
          </w:p>
        </w:tc>
        <w:tc>
          <w:tcPr>
            <w:tcW w:w="853" w:type="pct"/>
            <w:tcBorders>
              <w:top w:val="none" w:sz="0" w:space="0" w:color="auto"/>
              <w:left w:val="none" w:sz="0" w:space="0" w:color="auto"/>
              <w:bottom w:val="none" w:sz="0" w:space="0" w:color="auto"/>
              <w:right w:val="none" w:sz="0" w:space="0" w:color="auto"/>
            </w:tcBorders>
            <w:vAlign w:val="center"/>
          </w:tcPr>
          <w:p w:rsidR="00861F21" w:rsidRDefault="00861F21" w:rsidP="008D6EC9">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Całkowita emisja MgCO2/rok</w:t>
            </w:r>
          </w:p>
        </w:tc>
        <w:tc>
          <w:tcPr>
            <w:tcW w:w="854" w:type="pct"/>
            <w:tcBorders>
              <w:top w:val="none" w:sz="0" w:space="0" w:color="auto"/>
              <w:left w:val="none" w:sz="0" w:space="0" w:color="auto"/>
              <w:bottom w:val="none" w:sz="0" w:space="0" w:color="auto"/>
              <w:right w:val="none" w:sz="0" w:space="0" w:color="auto"/>
            </w:tcBorders>
            <w:vAlign w:val="center"/>
          </w:tcPr>
          <w:p w:rsidR="00861F21" w:rsidRDefault="00861F21" w:rsidP="008D6EC9">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wielkości emisji CO2</w:t>
            </w:r>
          </w:p>
        </w:tc>
      </w:tr>
      <w:tr w:rsidR="00861F21" w:rsidTr="008D6EC9">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861F21" w:rsidRPr="008B09D2" w:rsidRDefault="00861F21" w:rsidP="008D6EC9">
            <w:pPr>
              <w:jc w:val="center"/>
              <w:rPr>
                <w:rFonts w:asciiTheme="minorHAnsi" w:eastAsiaTheme="minorEastAsia" w:hAnsiTheme="minorHAnsi" w:cstheme="minorBidi"/>
                <w:color w:val="auto"/>
                <w:sz w:val="20"/>
                <w:szCs w:val="20"/>
              </w:rPr>
            </w:pPr>
            <w:r w:rsidRPr="008B09D2">
              <w:rPr>
                <w:rFonts w:asciiTheme="minorHAnsi" w:eastAsiaTheme="minorEastAsia" w:hAnsiTheme="minorHAnsi" w:cstheme="minorBidi"/>
                <w:color w:val="auto"/>
                <w:sz w:val="20"/>
                <w:szCs w:val="20"/>
              </w:rPr>
              <w:t>2009</w:t>
            </w:r>
          </w:p>
        </w:tc>
      </w:tr>
      <w:tr w:rsidR="00861F21" w:rsidRPr="00774974" w:rsidTr="008D6EC9">
        <w:tc>
          <w:tcPr>
            <w:cnfStyle w:val="001000000000"/>
            <w:tcW w:w="1440" w:type="pct"/>
            <w:tcBorders>
              <w:left w:val="none" w:sz="0" w:space="0" w:color="auto"/>
              <w:bottom w:val="none" w:sz="0" w:space="0" w:color="auto"/>
              <w:right w:val="none" w:sz="0" w:space="0" w:color="auto"/>
            </w:tcBorders>
            <w:noWrap/>
          </w:tcPr>
          <w:p w:rsidR="00861F21" w:rsidRPr="00774974" w:rsidRDefault="00861F21" w:rsidP="008D6EC9">
            <w:pPr>
              <w:pStyle w:val="DecimalAligned"/>
              <w:spacing w:line="240" w:lineRule="auto"/>
              <w:rPr>
                <w:rFonts w:asciiTheme="minorHAnsi" w:hAnsiTheme="minorHAnsi"/>
                <w:sz w:val="20"/>
                <w:szCs w:val="20"/>
              </w:rPr>
            </w:pPr>
            <w:r w:rsidRPr="00774974">
              <w:rPr>
                <w:rFonts w:asciiTheme="minorHAnsi" w:hAnsiTheme="minorHAnsi"/>
                <w:sz w:val="20"/>
                <w:szCs w:val="20"/>
              </w:rPr>
              <w:t>Energia elektryczna</w:t>
            </w:r>
          </w:p>
        </w:tc>
        <w:tc>
          <w:tcPr>
            <w:tcW w:w="850" w:type="pct"/>
          </w:tcPr>
          <w:p w:rsidR="00861F21" w:rsidRPr="00F62396" w:rsidRDefault="003D28F6" w:rsidP="008B09D2">
            <w:pPr>
              <w:pStyle w:val="DecimalAligned"/>
              <w:tabs>
                <w:tab w:val="clear" w:pos="360"/>
              </w:tabs>
              <w:jc w:val="right"/>
              <w:cnfStyle w:val="000000000000"/>
              <w:rPr>
                <w:rFonts w:asciiTheme="minorHAnsi" w:hAnsiTheme="minorHAnsi"/>
                <w:sz w:val="20"/>
                <w:szCs w:val="20"/>
              </w:rPr>
            </w:pPr>
            <w:r w:rsidRPr="00F62396">
              <w:rPr>
                <w:rFonts w:asciiTheme="minorHAnsi" w:hAnsiTheme="minorHAnsi"/>
                <w:sz w:val="20"/>
                <w:szCs w:val="20"/>
              </w:rPr>
              <w:t>748,72</w:t>
            </w:r>
          </w:p>
        </w:tc>
        <w:tc>
          <w:tcPr>
            <w:tcW w:w="1003" w:type="pct"/>
          </w:tcPr>
          <w:p w:rsidR="00861F21" w:rsidRPr="00F62396" w:rsidRDefault="00FA5D8A" w:rsidP="008B09D2">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31,42</w:t>
            </w:r>
            <w:r w:rsidR="00F62396">
              <w:rPr>
                <w:rFonts w:asciiTheme="minorHAnsi" w:hAnsiTheme="minorHAnsi"/>
                <w:sz w:val="20"/>
                <w:szCs w:val="20"/>
              </w:rPr>
              <w:t xml:space="preserve"> %</w:t>
            </w:r>
          </w:p>
        </w:tc>
        <w:tc>
          <w:tcPr>
            <w:tcW w:w="853" w:type="pct"/>
          </w:tcPr>
          <w:p w:rsidR="00861F21" w:rsidRPr="00F62396" w:rsidRDefault="00F62396" w:rsidP="008B09D2">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607,96</w:t>
            </w:r>
          </w:p>
        </w:tc>
        <w:tc>
          <w:tcPr>
            <w:tcW w:w="854" w:type="pct"/>
          </w:tcPr>
          <w:p w:rsidR="00861F21" w:rsidRPr="00F62396" w:rsidRDefault="00FA5D8A" w:rsidP="008B09D2">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80,23</w:t>
            </w:r>
            <w:r w:rsidR="00F62396">
              <w:rPr>
                <w:rFonts w:asciiTheme="minorHAnsi" w:hAnsiTheme="minorHAnsi"/>
                <w:sz w:val="20"/>
                <w:szCs w:val="20"/>
              </w:rPr>
              <w:t xml:space="preserve"> %</w:t>
            </w:r>
          </w:p>
        </w:tc>
      </w:tr>
      <w:tr w:rsidR="00861F21" w:rsidRPr="00774974" w:rsidTr="008D6EC9">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861F21" w:rsidRPr="00774974" w:rsidRDefault="00861F21" w:rsidP="008D6EC9">
            <w:pPr>
              <w:pStyle w:val="DecimalAligned"/>
              <w:spacing w:line="240" w:lineRule="auto"/>
              <w:rPr>
                <w:rFonts w:asciiTheme="minorHAnsi" w:hAnsiTheme="minorHAnsi"/>
                <w:sz w:val="20"/>
                <w:szCs w:val="20"/>
              </w:rPr>
            </w:pPr>
            <w:r w:rsidRPr="00774974">
              <w:rPr>
                <w:rFonts w:asciiTheme="minorHAnsi" w:hAnsiTheme="minorHAnsi"/>
                <w:sz w:val="20"/>
                <w:szCs w:val="20"/>
              </w:rPr>
              <w:t>Węgiel kamienny</w:t>
            </w:r>
          </w:p>
        </w:tc>
        <w:tc>
          <w:tcPr>
            <w:tcW w:w="850" w:type="pct"/>
            <w:tcBorders>
              <w:top w:val="none" w:sz="0" w:space="0" w:color="auto"/>
              <w:left w:val="none" w:sz="0" w:space="0" w:color="auto"/>
              <w:bottom w:val="none" w:sz="0" w:space="0" w:color="auto"/>
              <w:right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1 409,93</w:t>
            </w:r>
          </w:p>
        </w:tc>
        <w:tc>
          <w:tcPr>
            <w:tcW w:w="1003" w:type="pct"/>
            <w:tcBorders>
              <w:top w:val="none" w:sz="0" w:space="0" w:color="auto"/>
              <w:left w:val="none" w:sz="0" w:space="0" w:color="auto"/>
              <w:bottom w:val="none" w:sz="0" w:space="0" w:color="auto"/>
              <w:right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59,17</w:t>
            </w:r>
            <w:r w:rsidR="00F62396">
              <w:rPr>
                <w:rFonts w:asciiTheme="minorHAnsi" w:hAnsiTheme="minorHAnsi"/>
                <w:sz w:val="20"/>
                <w:szCs w:val="20"/>
              </w:rPr>
              <w:t xml:space="preserve"> %</w:t>
            </w:r>
          </w:p>
        </w:tc>
        <w:tc>
          <w:tcPr>
            <w:tcW w:w="853" w:type="pct"/>
            <w:tcBorders>
              <w:top w:val="none" w:sz="0" w:space="0" w:color="auto"/>
              <w:left w:val="none" w:sz="0" w:space="0" w:color="auto"/>
              <w:bottom w:val="none" w:sz="0" w:space="0" w:color="auto"/>
              <w:right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133,41</w:t>
            </w:r>
          </w:p>
        </w:tc>
        <w:tc>
          <w:tcPr>
            <w:tcW w:w="854" w:type="pct"/>
            <w:tcBorders>
              <w:top w:val="none" w:sz="0" w:space="0" w:color="auto"/>
              <w:left w:val="none" w:sz="0" w:space="0" w:color="auto"/>
              <w:bottom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17,60</w:t>
            </w:r>
            <w:r w:rsidR="00F62396">
              <w:rPr>
                <w:rFonts w:asciiTheme="minorHAnsi" w:hAnsiTheme="minorHAnsi"/>
                <w:sz w:val="20"/>
                <w:szCs w:val="20"/>
              </w:rPr>
              <w:t xml:space="preserve"> %</w:t>
            </w:r>
          </w:p>
        </w:tc>
      </w:tr>
      <w:tr w:rsidR="003D28F6" w:rsidRPr="00774974" w:rsidTr="003D28F6">
        <w:tc>
          <w:tcPr>
            <w:cnfStyle w:val="001000000000"/>
            <w:tcW w:w="1440" w:type="pct"/>
            <w:tcBorders>
              <w:left w:val="none" w:sz="0" w:space="0" w:color="auto"/>
              <w:bottom w:val="none" w:sz="0" w:space="0" w:color="auto"/>
              <w:right w:val="none" w:sz="0" w:space="0" w:color="auto"/>
            </w:tcBorders>
            <w:noWrap/>
          </w:tcPr>
          <w:p w:rsidR="003D28F6" w:rsidRPr="003D28F6" w:rsidRDefault="003D28F6" w:rsidP="008D6EC9">
            <w:pPr>
              <w:jc w:val="left"/>
              <w:rPr>
                <w:rStyle w:val="Wyrnieniedelikatne"/>
                <w:rFonts w:asciiTheme="minorHAnsi" w:hAnsiTheme="minorHAnsi"/>
                <w:i w:val="0"/>
                <w:color w:val="auto"/>
                <w:sz w:val="20"/>
                <w:szCs w:val="20"/>
              </w:rPr>
            </w:pPr>
            <w:r w:rsidRPr="003D28F6">
              <w:rPr>
                <w:rStyle w:val="Wyrnieniedelikatne"/>
                <w:rFonts w:asciiTheme="minorHAnsi" w:hAnsiTheme="minorHAnsi"/>
                <w:i w:val="0"/>
                <w:color w:val="auto"/>
                <w:sz w:val="20"/>
                <w:szCs w:val="20"/>
              </w:rPr>
              <w:t>Olej opałowy</w:t>
            </w:r>
          </w:p>
        </w:tc>
        <w:tc>
          <w:tcPr>
            <w:tcW w:w="850" w:type="pct"/>
          </w:tcPr>
          <w:p w:rsidR="003D28F6" w:rsidRPr="00F62396" w:rsidRDefault="00F62396" w:rsidP="008B09D2">
            <w:pPr>
              <w:jc w:val="right"/>
              <w:cnfStyle w:val="000000000000"/>
              <w:rPr>
                <w:rStyle w:val="Wyrnieniedelikatne"/>
                <w:rFonts w:asciiTheme="minorHAnsi" w:hAnsiTheme="minorHAnsi"/>
                <w:i w:val="0"/>
                <w:color w:val="auto"/>
                <w:sz w:val="20"/>
                <w:szCs w:val="20"/>
              </w:rPr>
            </w:pPr>
            <w:r w:rsidRPr="00F62396">
              <w:rPr>
                <w:rStyle w:val="Wyrnieniedelikatne"/>
                <w:rFonts w:asciiTheme="minorHAnsi" w:hAnsiTheme="minorHAnsi"/>
                <w:i w:val="0"/>
                <w:color w:val="auto"/>
                <w:sz w:val="20"/>
                <w:szCs w:val="20"/>
              </w:rPr>
              <w:t>224</w:t>
            </w:r>
            <w:r>
              <w:rPr>
                <w:rStyle w:val="Wyrnieniedelikatne"/>
                <w:rFonts w:asciiTheme="minorHAnsi" w:hAnsiTheme="minorHAnsi"/>
                <w:i w:val="0"/>
                <w:color w:val="auto"/>
                <w:sz w:val="20"/>
                <w:szCs w:val="20"/>
              </w:rPr>
              <w:t>,06</w:t>
            </w:r>
          </w:p>
        </w:tc>
        <w:tc>
          <w:tcPr>
            <w:tcW w:w="1003" w:type="pct"/>
          </w:tcPr>
          <w:p w:rsidR="003D28F6" w:rsidRPr="00F62396" w:rsidRDefault="00FA5D8A" w:rsidP="008B09D2">
            <w:pPr>
              <w:jc w:val="right"/>
              <w:cnfStyle w:val="0000000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9,40</w:t>
            </w:r>
            <w:r w:rsidR="00F62396">
              <w:rPr>
                <w:rStyle w:val="Wyrnieniedelikatne"/>
                <w:rFonts w:asciiTheme="minorHAnsi" w:hAnsiTheme="minorHAnsi"/>
                <w:i w:val="0"/>
                <w:color w:val="auto"/>
                <w:sz w:val="20"/>
                <w:szCs w:val="20"/>
              </w:rPr>
              <w:t xml:space="preserve"> %</w:t>
            </w:r>
          </w:p>
        </w:tc>
        <w:tc>
          <w:tcPr>
            <w:tcW w:w="853" w:type="pct"/>
          </w:tcPr>
          <w:p w:rsidR="003D28F6" w:rsidRPr="00F62396" w:rsidRDefault="00F62396" w:rsidP="008B09D2">
            <w:pPr>
              <w:jc w:val="right"/>
              <w:cnfStyle w:val="000000000000"/>
              <w:rPr>
                <w:rFonts w:asciiTheme="minorHAnsi" w:hAnsiTheme="minorHAnsi"/>
                <w:sz w:val="20"/>
                <w:szCs w:val="20"/>
              </w:rPr>
            </w:pPr>
            <w:r>
              <w:rPr>
                <w:rFonts w:asciiTheme="minorHAnsi" w:hAnsiTheme="minorHAnsi"/>
                <w:sz w:val="20"/>
                <w:szCs w:val="20"/>
              </w:rPr>
              <w:t>16,43</w:t>
            </w:r>
          </w:p>
        </w:tc>
        <w:tc>
          <w:tcPr>
            <w:tcW w:w="854" w:type="pct"/>
          </w:tcPr>
          <w:p w:rsidR="003D28F6" w:rsidRPr="00F62396" w:rsidRDefault="00FA5D8A" w:rsidP="008B09D2">
            <w:pPr>
              <w:jc w:val="right"/>
              <w:cnfStyle w:val="000000000000"/>
              <w:rPr>
                <w:rFonts w:asciiTheme="minorHAnsi" w:hAnsiTheme="minorHAnsi"/>
                <w:sz w:val="20"/>
                <w:szCs w:val="20"/>
              </w:rPr>
            </w:pPr>
            <w:r>
              <w:rPr>
                <w:rFonts w:asciiTheme="minorHAnsi" w:hAnsiTheme="minorHAnsi"/>
                <w:sz w:val="20"/>
                <w:szCs w:val="20"/>
              </w:rPr>
              <w:t>2,17</w:t>
            </w:r>
            <w:r w:rsidR="00F62396">
              <w:rPr>
                <w:rFonts w:asciiTheme="minorHAnsi" w:hAnsiTheme="minorHAnsi"/>
                <w:sz w:val="20"/>
                <w:szCs w:val="20"/>
              </w:rPr>
              <w:t xml:space="preserve"> %</w:t>
            </w:r>
          </w:p>
        </w:tc>
      </w:tr>
      <w:tr w:rsidR="00861F21" w:rsidRPr="00774974" w:rsidTr="003D28F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861F21" w:rsidRPr="00774974" w:rsidRDefault="00861F21" w:rsidP="008D6EC9">
            <w:pPr>
              <w:jc w:val="left"/>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SUMA</w:t>
            </w:r>
          </w:p>
        </w:tc>
        <w:tc>
          <w:tcPr>
            <w:tcW w:w="850" w:type="pct"/>
            <w:tcBorders>
              <w:top w:val="none" w:sz="0" w:space="0" w:color="auto"/>
              <w:left w:val="none" w:sz="0" w:space="0" w:color="auto"/>
              <w:bottom w:val="none" w:sz="0" w:space="0" w:color="auto"/>
              <w:right w:val="none" w:sz="0" w:space="0" w:color="auto"/>
            </w:tcBorders>
          </w:tcPr>
          <w:p w:rsidR="00861F21" w:rsidRPr="00F62396" w:rsidRDefault="00FA5D8A" w:rsidP="008B09D2">
            <w:pPr>
              <w:jc w:val="right"/>
              <w:cnfStyle w:val="0000001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2 382,71</w:t>
            </w:r>
          </w:p>
        </w:tc>
        <w:tc>
          <w:tcPr>
            <w:tcW w:w="1003" w:type="pct"/>
            <w:tcBorders>
              <w:top w:val="none" w:sz="0" w:space="0" w:color="auto"/>
              <w:left w:val="none" w:sz="0" w:space="0" w:color="auto"/>
              <w:bottom w:val="none" w:sz="0" w:space="0" w:color="auto"/>
              <w:right w:val="none" w:sz="0" w:space="0" w:color="auto"/>
            </w:tcBorders>
          </w:tcPr>
          <w:p w:rsidR="00861F21" w:rsidRPr="00F62396" w:rsidRDefault="00F62396" w:rsidP="008B09D2">
            <w:pPr>
              <w:jc w:val="right"/>
              <w:cnfStyle w:val="000000100000"/>
              <w:rPr>
                <w:rStyle w:val="Wyrnieniedelikatne"/>
                <w:rFonts w:asciiTheme="minorHAnsi" w:hAnsiTheme="minorHAnsi"/>
                <w:b/>
                <w:i w:val="0"/>
                <w:color w:val="auto"/>
                <w:sz w:val="20"/>
                <w:szCs w:val="20"/>
              </w:rPr>
            </w:pPr>
            <w:r w:rsidRPr="00F62396">
              <w:rPr>
                <w:rStyle w:val="Wyrnieniedelikatne"/>
                <w:rFonts w:asciiTheme="minorHAnsi" w:hAnsiTheme="minorHAnsi"/>
                <w:b/>
                <w:i w:val="0"/>
                <w:color w:val="auto"/>
                <w:sz w:val="20"/>
                <w:szCs w:val="20"/>
              </w:rPr>
              <w:t>100,00 %</w:t>
            </w:r>
          </w:p>
        </w:tc>
        <w:tc>
          <w:tcPr>
            <w:tcW w:w="853" w:type="pct"/>
            <w:tcBorders>
              <w:top w:val="none" w:sz="0" w:space="0" w:color="auto"/>
              <w:left w:val="none" w:sz="0" w:space="0" w:color="auto"/>
              <w:bottom w:val="none" w:sz="0" w:space="0" w:color="auto"/>
              <w:right w:val="none" w:sz="0" w:space="0" w:color="auto"/>
            </w:tcBorders>
          </w:tcPr>
          <w:p w:rsidR="00861F21" w:rsidRPr="00F62396" w:rsidRDefault="00FA5D8A" w:rsidP="008B09D2">
            <w:pPr>
              <w:jc w:val="right"/>
              <w:cnfStyle w:val="000000100000"/>
              <w:rPr>
                <w:rFonts w:asciiTheme="minorHAnsi" w:hAnsiTheme="minorHAnsi"/>
                <w:b/>
                <w:color w:val="auto"/>
                <w:sz w:val="20"/>
                <w:szCs w:val="20"/>
              </w:rPr>
            </w:pPr>
            <w:r>
              <w:rPr>
                <w:rFonts w:asciiTheme="minorHAnsi" w:hAnsiTheme="minorHAnsi"/>
                <w:b/>
                <w:color w:val="auto"/>
                <w:sz w:val="20"/>
                <w:szCs w:val="20"/>
              </w:rPr>
              <w:t>757,80</w:t>
            </w:r>
          </w:p>
        </w:tc>
        <w:tc>
          <w:tcPr>
            <w:tcW w:w="854" w:type="pct"/>
            <w:tcBorders>
              <w:top w:val="none" w:sz="0" w:space="0" w:color="auto"/>
              <w:left w:val="none" w:sz="0" w:space="0" w:color="auto"/>
              <w:bottom w:val="none" w:sz="0" w:space="0" w:color="auto"/>
            </w:tcBorders>
          </w:tcPr>
          <w:p w:rsidR="00861F21" w:rsidRPr="00F62396" w:rsidRDefault="00F62396" w:rsidP="008B09D2">
            <w:pPr>
              <w:jc w:val="right"/>
              <w:cnfStyle w:val="000000100000"/>
              <w:rPr>
                <w:rFonts w:asciiTheme="minorHAnsi" w:hAnsiTheme="minorHAnsi"/>
                <w:b/>
                <w:color w:val="auto"/>
                <w:sz w:val="20"/>
                <w:szCs w:val="20"/>
              </w:rPr>
            </w:pPr>
            <w:r w:rsidRPr="00F62396">
              <w:rPr>
                <w:rFonts w:asciiTheme="minorHAnsi" w:hAnsiTheme="minorHAnsi"/>
                <w:b/>
                <w:color w:val="auto"/>
                <w:sz w:val="20"/>
                <w:szCs w:val="20"/>
              </w:rPr>
              <w:t>100,00 %</w:t>
            </w:r>
          </w:p>
        </w:tc>
      </w:tr>
      <w:tr w:rsidR="00861F21" w:rsidRPr="00774974" w:rsidTr="008D6EC9">
        <w:tc>
          <w:tcPr>
            <w:cnfStyle w:val="001000000000"/>
            <w:tcW w:w="5000" w:type="pct"/>
            <w:gridSpan w:val="5"/>
            <w:tcBorders>
              <w:left w:val="none" w:sz="0" w:space="0" w:color="auto"/>
              <w:bottom w:val="none" w:sz="0" w:space="0" w:color="auto"/>
              <w:right w:val="none" w:sz="0" w:space="0" w:color="auto"/>
            </w:tcBorders>
            <w:shd w:val="clear" w:color="auto" w:fill="BFBFBF" w:themeFill="background1" w:themeFillShade="BF"/>
            <w:noWrap/>
          </w:tcPr>
          <w:p w:rsidR="00861F21" w:rsidRPr="00F62396" w:rsidRDefault="00861F21" w:rsidP="008B09D2">
            <w:pPr>
              <w:jc w:val="center"/>
              <w:rPr>
                <w:rFonts w:asciiTheme="minorHAnsi" w:eastAsiaTheme="minorEastAsia" w:hAnsiTheme="minorHAnsi"/>
                <w:sz w:val="20"/>
                <w:szCs w:val="20"/>
              </w:rPr>
            </w:pPr>
            <w:r w:rsidRPr="00F62396">
              <w:rPr>
                <w:rFonts w:asciiTheme="minorHAnsi" w:eastAsiaTheme="minorEastAsia" w:hAnsiTheme="minorHAnsi"/>
                <w:sz w:val="20"/>
                <w:szCs w:val="20"/>
              </w:rPr>
              <w:t>2014</w:t>
            </w:r>
          </w:p>
        </w:tc>
      </w:tr>
      <w:tr w:rsidR="00861F21" w:rsidTr="003D28F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861F21" w:rsidRPr="00774974" w:rsidRDefault="00861F21" w:rsidP="008D6EC9">
            <w:pPr>
              <w:pStyle w:val="DecimalAligned"/>
              <w:spacing w:line="240" w:lineRule="auto"/>
              <w:rPr>
                <w:rFonts w:asciiTheme="minorHAnsi" w:hAnsiTheme="minorHAnsi"/>
                <w:color w:val="auto"/>
              </w:rPr>
            </w:pPr>
            <w:r w:rsidRPr="00774974">
              <w:rPr>
                <w:rFonts w:asciiTheme="minorHAnsi" w:hAnsiTheme="minorHAnsi"/>
                <w:color w:val="auto"/>
              </w:rPr>
              <w:t>Energia elektryczna</w:t>
            </w:r>
          </w:p>
        </w:tc>
        <w:tc>
          <w:tcPr>
            <w:tcW w:w="850" w:type="pct"/>
            <w:tcBorders>
              <w:top w:val="none" w:sz="0" w:space="0" w:color="auto"/>
              <w:left w:val="none" w:sz="0" w:space="0" w:color="auto"/>
              <w:bottom w:val="none" w:sz="0" w:space="0" w:color="auto"/>
              <w:right w:val="none" w:sz="0" w:space="0" w:color="auto"/>
            </w:tcBorders>
          </w:tcPr>
          <w:p w:rsidR="00861F21" w:rsidRPr="00F62396" w:rsidRDefault="00F62396" w:rsidP="008B09D2">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806,92</w:t>
            </w:r>
          </w:p>
        </w:tc>
        <w:tc>
          <w:tcPr>
            <w:tcW w:w="1003" w:type="pct"/>
            <w:tcBorders>
              <w:top w:val="none" w:sz="0" w:space="0" w:color="auto"/>
              <w:left w:val="none" w:sz="0" w:space="0" w:color="auto"/>
              <w:bottom w:val="none" w:sz="0" w:space="0" w:color="auto"/>
              <w:right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25,59</w:t>
            </w:r>
          </w:p>
        </w:tc>
        <w:tc>
          <w:tcPr>
            <w:tcW w:w="853" w:type="pct"/>
            <w:tcBorders>
              <w:top w:val="none" w:sz="0" w:space="0" w:color="auto"/>
              <w:left w:val="none" w:sz="0" w:space="0" w:color="auto"/>
              <w:bottom w:val="none" w:sz="0" w:space="0" w:color="auto"/>
              <w:right w:val="none" w:sz="0" w:space="0" w:color="auto"/>
            </w:tcBorders>
          </w:tcPr>
          <w:p w:rsidR="00861F21" w:rsidRPr="00F62396" w:rsidRDefault="00F62396" w:rsidP="008B09D2">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655,22</w:t>
            </w:r>
          </w:p>
        </w:tc>
        <w:tc>
          <w:tcPr>
            <w:tcW w:w="854" w:type="pct"/>
            <w:tcBorders>
              <w:top w:val="none" w:sz="0" w:space="0" w:color="auto"/>
              <w:left w:val="none" w:sz="0" w:space="0" w:color="auto"/>
              <w:bottom w:val="none" w:sz="0" w:space="0" w:color="auto"/>
            </w:tcBorders>
          </w:tcPr>
          <w:p w:rsidR="00861F21" w:rsidRPr="00F62396" w:rsidRDefault="00FA5D8A" w:rsidP="008B09D2">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75,07</w:t>
            </w:r>
            <w:r w:rsidR="00F62396">
              <w:rPr>
                <w:rFonts w:asciiTheme="minorHAnsi" w:hAnsiTheme="minorHAnsi"/>
                <w:color w:val="auto"/>
                <w:sz w:val="20"/>
                <w:szCs w:val="20"/>
              </w:rPr>
              <w:t xml:space="preserve"> %</w:t>
            </w:r>
          </w:p>
        </w:tc>
      </w:tr>
      <w:tr w:rsidR="00861F21" w:rsidTr="008D6EC9">
        <w:tc>
          <w:tcPr>
            <w:cnfStyle w:val="001000000000"/>
            <w:tcW w:w="1440" w:type="pct"/>
            <w:tcBorders>
              <w:left w:val="none" w:sz="0" w:space="0" w:color="auto"/>
              <w:bottom w:val="none" w:sz="0" w:space="0" w:color="auto"/>
              <w:right w:val="none" w:sz="0" w:space="0" w:color="auto"/>
            </w:tcBorders>
            <w:noWrap/>
          </w:tcPr>
          <w:p w:rsidR="00861F21" w:rsidRPr="00774974" w:rsidRDefault="00861F21" w:rsidP="008D6EC9">
            <w:pPr>
              <w:pStyle w:val="DecimalAligned"/>
              <w:spacing w:line="240" w:lineRule="auto"/>
              <w:rPr>
                <w:rFonts w:asciiTheme="minorHAnsi" w:hAnsiTheme="minorHAnsi"/>
                <w:color w:val="auto"/>
              </w:rPr>
            </w:pPr>
            <w:r w:rsidRPr="00774974">
              <w:rPr>
                <w:rFonts w:asciiTheme="minorHAnsi" w:hAnsiTheme="minorHAnsi"/>
                <w:color w:val="auto"/>
              </w:rPr>
              <w:t>Węgiel kamienny</w:t>
            </w:r>
          </w:p>
        </w:tc>
        <w:tc>
          <w:tcPr>
            <w:tcW w:w="850" w:type="pct"/>
          </w:tcPr>
          <w:p w:rsidR="00861F21" w:rsidRPr="00F62396" w:rsidRDefault="00F62396" w:rsidP="008B09D2">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2 136,96</w:t>
            </w:r>
          </w:p>
        </w:tc>
        <w:tc>
          <w:tcPr>
            <w:tcW w:w="1003" w:type="pct"/>
          </w:tcPr>
          <w:p w:rsidR="00861F21" w:rsidRPr="00F62396" w:rsidRDefault="00FA5D8A" w:rsidP="008B09D2">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67,76</w:t>
            </w:r>
          </w:p>
        </w:tc>
        <w:tc>
          <w:tcPr>
            <w:tcW w:w="853" w:type="pct"/>
          </w:tcPr>
          <w:p w:rsidR="00861F21" w:rsidRPr="00F62396" w:rsidRDefault="00F62396" w:rsidP="008B09D2">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202,20</w:t>
            </w:r>
          </w:p>
        </w:tc>
        <w:tc>
          <w:tcPr>
            <w:tcW w:w="854" w:type="pct"/>
          </w:tcPr>
          <w:p w:rsidR="00861F21" w:rsidRPr="00F62396" w:rsidRDefault="00F62396" w:rsidP="00FA5D8A">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23,</w:t>
            </w:r>
            <w:r w:rsidR="00FA5D8A">
              <w:rPr>
                <w:rFonts w:asciiTheme="minorHAnsi" w:hAnsiTheme="minorHAnsi"/>
                <w:color w:val="auto"/>
                <w:sz w:val="20"/>
                <w:szCs w:val="20"/>
              </w:rPr>
              <w:t>17</w:t>
            </w:r>
            <w:r>
              <w:rPr>
                <w:rFonts w:asciiTheme="minorHAnsi" w:hAnsiTheme="minorHAnsi"/>
                <w:color w:val="auto"/>
                <w:sz w:val="20"/>
                <w:szCs w:val="20"/>
              </w:rPr>
              <w:t xml:space="preserve"> %</w:t>
            </w:r>
          </w:p>
        </w:tc>
      </w:tr>
      <w:tr w:rsidR="003D28F6" w:rsidRPr="00934C80" w:rsidTr="003D28F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3D28F6" w:rsidRPr="00934C80" w:rsidRDefault="00F62396" w:rsidP="008D6EC9">
            <w:pPr>
              <w:jc w:val="left"/>
              <w:rPr>
                <w:rStyle w:val="Wyrnieniedelikatne"/>
                <w:b/>
                <w:i w:val="0"/>
                <w:color w:val="auto"/>
                <w:sz w:val="20"/>
                <w:szCs w:val="20"/>
              </w:rPr>
            </w:pPr>
            <w:r w:rsidRPr="003D28F6">
              <w:rPr>
                <w:rStyle w:val="Wyrnieniedelikatne"/>
                <w:rFonts w:asciiTheme="minorHAnsi" w:hAnsiTheme="minorHAnsi"/>
                <w:i w:val="0"/>
                <w:color w:val="auto"/>
                <w:sz w:val="20"/>
                <w:szCs w:val="20"/>
              </w:rPr>
              <w:t>Olej opałowy</w:t>
            </w:r>
          </w:p>
        </w:tc>
        <w:tc>
          <w:tcPr>
            <w:tcW w:w="850" w:type="pct"/>
            <w:tcBorders>
              <w:top w:val="none" w:sz="0" w:space="0" w:color="auto"/>
              <w:left w:val="none" w:sz="0" w:space="0" w:color="auto"/>
              <w:bottom w:val="none" w:sz="0" w:space="0" w:color="auto"/>
              <w:right w:val="none" w:sz="0" w:space="0" w:color="auto"/>
            </w:tcBorders>
          </w:tcPr>
          <w:p w:rsidR="003D28F6" w:rsidRPr="00F62396" w:rsidRDefault="00FA5D8A" w:rsidP="008B09D2">
            <w:pPr>
              <w:jc w:val="right"/>
              <w:cnfStyle w:val="0000001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209,64</w:t>
            </w:r>
          </w:p>
        </w:tc>
        <w:tc>
          <w:tcPr>
            <w:tcW w:w="1003" w:type="pct"/>
            <w:tcBorders>
              <w:top w:val="none" w:sz="0" w:space="0" w:color="auto"/>
              <w:left w:val="none" w:sz="0" w:space="0" w:color="auto"/>
              <w:bottom w:val="none" w:sz="0" w:space="0" w:color="auto"/>
              <w:right w:val="none" w:sz="0" w:space="0" w:color="auto"/>
            </w:tcBorders>
          </w:tcPr>
          <w:p w:rsidR="003D28F6" w:rsidRPr="00F62396" w:rsidRDefault="00FA5D8A" w:rsidP="008B09D2">
            <w:pPr>
              <w:jc w:val="right"/>
              <w:cnfStyle w:val="0000001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6,65</w:t>
            </w:r>
          </w:p>
        </w:tc>
        <w:tc>
          <w:tcPr>
            <w:tcW w:w="853" w:type="pct"/>
            <w:tcBorders>
              <w:top w:val="none" w:sz="0" w:space="0" w:color="auto"/>
              <w:left w:val="none" w:sz="0" w:space="0" w:color="auto"/>
              <w:bottom w:val="none" w:sz="0" w:space="0" w:color="auto"/>
              <w:right w:val="none" w:sz="0" w:space="0" w:color="auto"/>
            </w:tcBorders>
          </w:tcPr>
          <w:p w:rsidR="003D28F6" w:rsidRPr="00F62396" w:rsidRDefault="00FA5D8A" w:rsidP="008B09D2">
            <w:pPr>
              <w:jc w:val="right"/>
              <w:cnfStyle w:val="000000100000"/>
              <w:rPr>
                <w:rFonts w:asciiTheme="minorHAnsi" w:hAnsiTheme="minorHAnsi"/>
                <w:sz w:val="20"/>
                <w:szCs w:val="20"/>
              </w:rPr>
            </w:pPr>
            <w:r>
              <w:rPr>
                <w:rFonts w:asciiTheme="minorHAnsi" w:hAnsiTheme="minorHAnsi"/>
                <w:sz w:val="20"/>
                <w:szCs w:val="20"/>
              </w:rPr>
              <w:t>15,37</w:t>
            </w:r>
          </w:p>
        </w:tc>
        <w:tc>
          <w:tcPr>
            <w:tcW w:w="854" w:type="pct"/>
            <w:tcBorders>
              <w:top w:val="none" w:sz="0" w:space="0" w:color="auto"/>
              <w:left w:val="none" w:sz="0" w:space="0" w:color="auto"/>
              <w:bottom w:val="none" w:sz="0" w:space="0" w:color="auto"/>
            </w:tcBorders>
          </w:tcPr>
          <w:p w:rsidR="003D28F6" w:rsidRPr="00F62396" w:rsidRDefault="00FA5D8A" w:rsidP="008B09D2">
            <w:pPr>
              <w:jc w:val="right"/>
              <w:cnfStyle w:val="000000100000"/>
              <w:rPr>
                <w:rFonts w:asciiTheme="minorHAnsi" w:hAnsiTheme="minorHAnsi"/>
                <w:sz w:val="20"/>
                <w:szCs w:val="20"/>
              </w:rPr>
            </w:pPr>
            <w:r>
              <w:rPr>
                <w:rFonts w:asciiTheme="minorHAnsi" w:hAnsiTheme="minorHAnsi"/>
                <w:sz w:val="20"/>
                <w:szCs w:val="20"/>
              </w:rPr>
              <w:t>1,76</w:t>
            </w:r>
            <w:r w:rsidR="00F62396">
              <w:rPr>
                <w:rFonts w:asciiTheme="minorHAnsi" w:hAnsiTheme="minorHAnsi"/>
                <w:sz w:val="20"/>
                <w:szCs w:val="20"/>
              </w:rPr>
              <w:t xml:space="preserve"> %</w:t>
            </w:r>
          </w:p>
        </w:tc>
      </w:tr>
      <w:tr w:rsidR="00861F21" w:rsidRPr="00934C80" w:rsidTr="008D6EC9">
        <w:tc>
          <w:tcPr>
            <w:cnfStyle w:val="001000000000"/>
            <w:tcW w:w="1440" w:type="pct"/>
            <w:tcBorders>
              <w:left w:val="none" w:sz="0" w:space="0" w:color="auto"/>
              <w:bottom w:val="none" w:sz="0" w:space="0" w:color="auto"/>
              <w:right w:val="none" w:sz="0" w:space="0" w:color="auto"/>
            </w:tcBorders>
            <w:noWrap/>
          </w:tcPr>
          <w:p w:rsidR="00861F21" w:rsidRPr="00934C80" w:rsidRDefault="00861F21" w:rsidP="008D6EC9">
            <w:pPr>
              <w:jc w:val="left"/>
              <w:rPr>
                <w:rStyle w:val="Wyrnieniedelikatne"/>
                <w:rFonts w:asciiTheme="minorHAnsi" w:hAnsiTheme="minorHAnsi"/>
                <w:b/>
                <w:i w:val="0"/>
                <w:color w:val="auto"/>
                <w:sz w:val="20"/>
                <w:szCs w:val="20"/>
              </w:rPr>
            </w:pPr>
            <w:r w:rsidRPr="00934C80">
              <w:rPr>
                <w:rStyle w:val="Wyrnieniedelikatne"/>
                <w:rFonts w:asciiTheme="minorHAnsi" w:hAnsiTheme="minorHAnsi"/>
                <w:b/>
                <w:i w:val="0"/>
                <w:color w:val="auto"/>
                <w:sz w:val="20"/>
                <w:szCs w:val="20"/>
              </w:rPr>
              <w:t>SUMA</w:t>
            </w:r>
          </w:p>
        </w:tc>
        <w:tc>
          <w:tcPr>
            <w:tcW w:w="850" w:type="pct"/>
          </w:tcPr>
          <w:p w:rsidR="00861F21" w:rsidRPr="00F62396" w:rsidRDefault="00FA5D8A" w:rsidP="008B09D2">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3 153,52</w:t>
            </w:r>
          </w:p>
        </w:tc>
        <w:tc>
          <w:tcPr>
            <w:tcW w:w="1003" w:type="pct"/>
          </w:tcPr>
          <w:p w:rsidR="00861F21" w:rsidRPr="00F62396" w:rsidRDefault="00F62396" w:rsidP="008B09D2">
            <w:pPr>
              <w:jc w:val="right"/>
              <w:cnfStyle w:val="000000000000"/>
              <w:rPr>
                <w:rStyle w:val="Wyrnieniedelikatne"/>
                <w:rFonts w:asciiTheme="minorHAnsi" w:hAnsiTheme="minorHAnsi"/>
                <w:b/>
                <w:i w:val="0"/>
                <w:color w:val="auto"/>
                <w:sz w:val="20"/>
                <w:szCs w:val="20"/>
              </w:rPr>
            </w:pPr>
            <w:r w:rsidRPr="00F62396">
              <w:rPr>
                <w:rStyle w:val="Wyrnieniedelikatne"/>
                <w:rFonts w:asciiTheme="minorHAnsi" w:hAnsiTheme="minorHAnsi"/>
                <w:b/>
                <w:i w:val="0"/>
                <w:color w:val="auto"/>
                <w:sz w:val="20"/>
                <w:szCs w:val="20"/>
              </w:rPr>
              <w:t>100 %</w:t>
            </w:r>
          </w:p>
        </w:tc>
        <w:tc>
          <w:tcPr>
            <w:tcW w:w="853" w:type="pct"/>
          </w:tcPr>
          <w:p w:rsidR="00861F21" w:rsidRPr="00F62396" w:rsidRDefault="00FA5D8A" w:rsidP="008B09D2">
            <w:pPr>
              <w:jc w:val="right"/>
              <w:cnfStyle w:val="000000000000"/>
              <w:rPr>
                <w:rFonts w:asciiTheme="minorHAnsi" w:hAnsiTheme="minorHAnsi"/>
                <w:b/>
                <w:color w:val="auto"/>
                <w:sz w:val="20"/>
                <w:szCs w:val="20"/>
              </w:rPr>
            </w:pPr>
            <w:r>
              <w:rPr>
                <w:rFonts w:asciiTheme="minorHAnsi" w:hAnsiTheme="minorHAnsi"/>
                <w:b/>
                <w:color w:val="auto"/>
                <w:sz w:val="20"/>
                <w:szCs w:val="20"/>
              </w:rPr>
              <w:t>872,79</w:t>
            </w:r>
          </w:p>
        </w:tc>
        <w:tc>
          <w:tcPr>
            <w:tcW w:w="854" w:type="pct"/>
          </w:tcPr>
          <w:p w:rsidR="00861F21" w:rsidRPr="00F62396" w:rsidRDefault="00F62396" w:rsidP="008B09D2">
            <w:pPr>
              <w:jc w:val="right"/>
              <w:cnfStyle w:val="000000000000"/>
              <w:rPr>
                <w:rFonts w:asciiTheme="minorHAnsi" w:hAnsiTheme="minorHAnsi"/>
                <w:b/>
                <w:color w:val="auto"/>
                <w:sz w:val="20"/>
                <w:szCs w:val="20"/>
              </w:rPr>
            </w:pPr>
            <w:r w:rsidRPr="00F62396">
              <w:rPr>
                <w:rFonts w:asciiTheme="minorHAnsi" w:hAnsiTheme="minorHAnsi"/>
                <w:b/>
                <w:color w:val="auto"/>
                <w:sz w:val="20"/>
                <w:szCs w:val="20"/>
              </w:rPr>
              <w:t>100 %</w:t>
            </w:r>
          </w:p>
        </w:tc>
      </w:tr>
    </w:tbl>
    <w:p w:rsidR="00787F56" w:rsidRPr="007606D5" w:rsidRDefault="00861F21" w:rsidP="007606D5">
      <w:pPr>
        <w:rPr>
          <w:sz w:val="20"/>
          <w:szCs w:val="20"/>
        </w:rPr>
      </w:pPr>
      <w:r w:rsidRPr="00861F21">
        <w:rPr>
          <w:sz w:val="20"/>
          <w:szCs w:val="20"/>
        </w:rPr>
        <w:t>Źródło: Opracowanie własne na podstawie badań ankietowych</w:t>
      </w:r>
    </w:p>
    <w:p w:rsidR="00787F56" w:rsidRDefault="00787F56" w:rsidP="00787F56">
      <w:r w:rsidRPr="00787F56">
        <w:t xml:space="preserve">Głównym nośnikiem energii wykorzystywanym w gminnych obiektach użyteczności publicznej i budynkach będących własnością jest </w:t>
      </w:r>
      <w:r>
        <w:t xml:space="preserve">węgiel kamienny i </w:t>
      </w:r>
      <w:r w:rsidRPr="00787F56">
        <w:t>energia elektryczna. Tak duży wynik tego rodzaju źródła ciepła spowodowany jest ujęciem w ogólnym udziale wszystkich nośników</w:t>
      </w:r>
      <w:r w:rsidR="0061242A">
        <w:t>,</w:t>
      </w:r>
      <w:r w:rsidRPr="00787F56">
        <w:t xml:space="preserve"> energii z oczyszczalni ścieków </w:t>
      </w:r>
      <w:r w:rsidR="00A604DD">
        <w:t xml:space="preserve">w Herbach </w:t>
      </w:r>
      <w:r>
        <w:t>i Lisowie</w:t>
      </w:r>
      <w:r w:rsidRPr="00787F56">
        <w:t xml:space="preserve">, </w:t>
      </w:r>
      <w:r w:rsidR="00A604DD">
        <w:t>Stacji Uzdatniania W</w:t>
      </w:r>
      <w:r w:rsidR="00A604DD" w:rsidRPr="00787F56">
        <w:t xml:space="preserve">ody </w:t>
      </w:r>
      <w:r w:rsidR="0061242A">
        <w:t xml:space="preserve">oraz Krytej Pływalni </w:t>
      </w:r>
      <w:r w:rsidR="0061242A" w:rsidRPr="00787F56">
        <w:t xml:space="preserve">w </w:t>
      </w:r>
      <w:r w:rsidR="0061242A">
        <w:t xml:space="preserve">Herbach, </w:t>
      </w:r>
      <w:r w:rsidRPr="00787F56">
        <w:t xml:space="preserve">które zużywają znaczne ilości energii </w:t>
      </w:r>
      <w:r>
        <w:t xml:space="preserve">w skali gminy. </w:t>
      </w:r>
    </w:p>
    <w:p w:rsidR="00787F56" w:rsidRDefault="00FA5D8A" w:rsidP="00FA5D8A">
      <w:r>
        <w:rPr>
          <w:noProof/>
          <w:lang w:eastAsia="pl-PL"/>
        </w:rPr>
        <w:drawing>
          <wp:inline distT="0" distB="0" distL="0" distR="0">
            <wp:extent cx="5560828" cy="3104707"/>
            <wp:effectExtent l="0" t="0" r="20955" b="19685"/>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87F56" w:rsidRPr="00FA5D8A" w:rsidRDefault="00787F56" w:rsidP="00787F56">
      <w:pPr>
        <w:pStyle w:val="Legenda"/>
        <w:ind w:firstLine="0"/>
        <w:rPr>
          <w:color w:val="auto"/>
        </w:rPr>
      </w:pPr>
      <w:bookmarkStart w:id="80" w:name="_Toc429726523"/>
      <w:r w:rsidRPr="00FA5D8A">
        <w:rPr>
          <w:color w:val="auto"/>
        </w:rPr>
        <w:t xml:space="preserve">Wykres </w:t>
      </w:r>
      <w:r w:rsidR="00844CE4" w:rsidRPr="00FA5D8A">
        <w:rPr>
          <w:color w:val="auto"/>
        </w:rPr>
        <w:fldChar w:fldCharType="begin"/>
      </w:r>
      <w:r w:rsidR="00E964D8" w:rsidRPr="00FA5D8A">
        <w:rPr>
          <w:color w:val="auto"/>
        </w:rPr>
        <w:instrText xml:space="preserve"> SEQ Wykres \* ARABIC </w:instrText>
      </w:r>
      <w:r w:rsidR="00844CE4" w:rsidRPr="00FA5D8A">
        <w:rPr>
          <w:color w:val="auto"/>
        </w:rPr>
        <w:fldChar w:fldCharType="separate"/>
      </w:r>
      <w:r w:rsidR="005C42FD">
        <w:rPr>
          <w:noProof/>
          <w:color w:val="auto"/>
        </w:rPr>
        <w:t>22</w:t>
      </w:r>
      <w:r w:rsidR="00844CE4" w:rsidRPr="00FA5D8A">
        <w:rPr>
          <w:noProof/>
          <w:color w:val="auto"/>
        </w:rPr>
        <w:fldChar w:fldCharType="end"/>
      </w:r>
      <w:r w:rsidRPr="00FA5D8A">
        <w:rPr>
          <w:color w:val="auto"/>
        </w:rPr>
        <w:t xml:space="preserve"> procentowy udział poszczególnych nośników energii w 2009 r.</w:t>
      </w:r>
      <w:bookmarkEnd w:id="80"/>
    </w:p>
    <w:p w:rsidR="00787F56" w:rsidRPr="00787F56" w:rsidRDefault="00787F56" w:rsidP="00787F56">
      <w:pPr>
        <w:rPr>
          <w:sz w:val="20"/>
          <w:szCs w:val="20"/>
        </w:rPr>
      </w:pPr>
      <w:r w:rsidRPr="00787F56">
        <w:rPr>
          <w:sz w:val="20"/>
          <w:szCs w:val="20"/>
        </w:rPr>
        <w:t>Źródło: Opracowanie własne na podstawie badań ankietowych</w:t>
      </w:r>
    </w:p>
    <w:p w:rsidR="00457AF8" w:rsidRDefault="00FA5D8A" w:rsidP="00457AF8">
      <w:pPr>
        <w:keepNext/>
      </w:pPr>
      <w:r>
        <w:rPr>
          <w:noProof/>
          <w:lang w:eastAsia="pl-PL"/>
        </w:rPr>
        <w:lastRenderedPageBreak/>
        <w:drawing>
          <wp:inline distT="0" distB="0" distL="0" distR="0">
            <wp:extent cx="5560828" cy="3104707"/>
            <wp:effectExtent l="0" t="0" r="20955" b="19685"/>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57AF8" w:rsidRPr="00DE1C6B" w:rsidRDefault="00457AF8" w:rsidP="00457AF8">
      <w:pPr>
        <w:pStyle w:val="Legenda"/>
        <w:ind w:firstLine="0"/>
        <w:rPr>
          <w:color w:val="auto"/>
        </w:rPr>
      </w:pPr>
      <w:bookmarkStart w:id="81" w:name="_Toc429726524"/>
      <w:r w:rsidRPr="00DE1C6B">
        <w:rPr>
          <w:color w:val="auto"/>
        </w:rPr>
        <w:t xml:space="preserve">Wykres </w:t>
      </w:r>
      <w:r w:rsidR="00844CE4" w:rsidRPr="00DE1C6B">
        <w:rPr>
          <w:color w:val="auto"/>
        </w:rPr>
        <w:fldChar w:fldCharType="begin"/>
      </w:r>
      <w:r w:rsidR="00E964D8" w:rsidRPr="00DE1C6B">
        <w:rPr>
          <w:color w:val="auto"/>
        </w:rPr>
        <w:instrText xml:space="preserve"> SEQ Wykres \* ARABIC </w:instrText>
      </w:r>
      <w:r w:rsidR="00844CE4" w:rsidRPr="00DE1C6B">
        <w:rPr>
          <w:color w:val="auto"/>
        </w:rPr>
        <w:fldChar w:fldCharType="separate"/>
      </w:r>
      <w:r w:rsidR="005C42FD">
        <w:rPr>
          <w:noProof/>
          <w:color w:val="auto"/>
        </w:rPr>
        <w:t>23</w:t>
      </w:r>
      <w:r w:rsidR="00844CE4" w:rsidRPr="00DE1C6B">
        <w:rPr>
          <w:noProof/>
          <w:color w:val="auto"/>
        </w:rPr>
        <w:fldChar w:fldCharType="end"/>
      </w:r>
      <w:r w:rsidRPr="00DE1C6B">
        <w:rPr>
          <w:color w:val="auto"/>
        </w:rPr>
        <w:t xml:space="preserve"> Procentowy udział poszczególnych nośników energii w 2014 r.</w:t>
      </w:r>
      <w:bookmarkEnd w:id="81"/>
    </w:p>
    <w:p w:rsidR="00457AF8" w:rsidRPr="00457AF8" w:rsidRDefault="00457AF8" w:rsidP="00457AF8">
      <w:pPr>
        <w:rPr>
          <w:sz w:val="20"/>
          <w:szCs w:val="20"/>
        </w:rPr>
      </w:pPr>
      <w:r w:rsidRPr="00457AF8">
        <w:rPr>
          <w:sz w:val="20"/>
          <w:szCs w:val="20"/>
        </w:rPr>
        <w:t>Źródło: Opracowanie własne na podstawie badań ankietowych</w:t>
      </w:r>
    </w:p>
    <w:p w:rsidR="00457AF8" w:rsidRPr="00457AF8" w:rsidRDefault="00373DF3" w:rsidP="00457AF8">
      <w:r>
        <w:t xml:space="preserve">W 2014 roku procentowy udział energii elektrycznej wśród ogólnej liczby nośników </w:t>
      </w:r>
      <w:r w:rsidR="00F67F63">
        <w:t>zmalał</w:t>
      </w:r>
      <w:r>
        <w:t xml:space="preserve"> z </w:t>
      </w:r>
      <w:r w:rsidR="00F67F63">
        <w:t>32</w:t>
      </w:r>
      <w:r>
        <w:t xml:space="preserve">% do </w:t>
      </w:r>
      <w:r w:rsidR="00F67F63">
        <w:t>25</w:t>
      </w:r>
      <w:r>
        <w:t xml:space="preserve">%. </w:t>
      </w:r>
    </w:p>
    <w:p w:rsidR="00787F56" w:rsidRDefault="00276F62" w:rsidP="00787F56">
      <w:r>
        <w:t>Największa</w:t>
      </w:r>
      <w:r w:rsidR="00787F56" w:rsidRPr="00787F56">
        <w:t xml:space="preserve"> emisja CO</w:t>
      </w:r>
      <w:r w:rsidR="00787F56" w:rsidRPr="001B40D3">
        <w:rPr>
          <w:vertAlign w:val="subscript"/>
        </w:rPr>
        <w:t>2</w:t>
      </w:r>
      <w:r w:rsidR="00787F56" w:rsidRPr="00787F56">
        <w:t xml:space="preserve"> w gminnych obiektach użyteczności publicznej</w:t>
      </w:r>
      <w:r w:rsidRPr="00787F56">
        <w:t xml:space="preserve"> budynkach będących własnością gm</w:t>
      </w:r>
      <w:r>
        <w:t xml:space="preserve">iny – wynosząca </w:t>
      </w:r>
      <w:r w:rsidR="00F67F63">
        <w:t>80,23</w:t>
      </w:r>
      <w:r>
        <w:t>% ogólnego udziału</w:t>
      </w:r>
      <w:r w:rsidR="00AD4662">
        <w:t xml:space="preserve"> </w:t>
      </w:r>
      <w:r>
        <w:t xml:space="preserve">w emisji – pochodzi  z energii elektrycznej wykorzystywanej do ogrzania budynków. </w:t>
      </w:r>
    </w:p>
    <w:p w:rsidR="001B40D3" w:rsidRPr="001B40D3" w:rsidRDefault="001B40D3" w:rsidP="00787F56">
      <w:r>
        <w:t>Poniżej, na  wykresie 2</w:t>
      </w:r>
      <w:r w:rsidR="00F67F63">
        <w:t>4</w:t>
      </w:r>
      <w:r>
        <w:t>, przedstawiono procentowy udział wielkości źródła w emisji CO</w:t>
      </w:r>
      <w:r w:rsidRPr="001B40D3">
        <w:rPr>
          <w:vertAlign w:val="subscript"/>
        </w:rPr>
        <w:t>2</w:t>
      </w:r>
      <w:r w:rsidR="00AD4662">
        <w:rPr>
          <w:vertAlign w:val="subscript"/>
        </w:rPr>
        <w:t xml:space="preserve"> </w:t>
      </w:r>
      <w:r>
        <w:t xml:space="preserve">w 2009 roku. </w:t>
      </w:r>
    </w:p>
    <w:p w:rsidR="00276F62" w:rsidRPr="00787F56" w:rsidRDefault="00F67F63" w:rsidP="00787F56">
      <w:r>
        <w:rPr>
          <w:noProof/>
          <w:lang w:eastAsia="pl-PL"/>
        </w:rPr>
        <w:lastRenderedPageBreak/>
        <w:drawing>
          <wp:inline distT="0" distB="0" distL="0" distR="0">
            <wp:extent cx="5560828" cy="3104707"/>
            <wp:effectExtent l="0" t="0" r="20955" b="19685"/>
            <wp:docPr id="56"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61F21" w:rsidRPr="00F67F63" w:rsidRDefault="000E6C78" w:rsidP="000E6C78">
      <w:pPr>
        <w:pStyle w:val="Legenda"/>
        <w:ind w:firstLine="0"/>
        <w:rPr>
          <w:color w:val="auto"/>
        </w:rPr>
      </w:pPr>
      <w:bookmarkStart w:id="82" w:name="_Toc429726525"/>
      <w:r w:rsidRPr="00F67F63">
        <w:rPr>
          <w:color w:val="auto"/>
        </w:rPr>
        <w:t xml:space="preserve">Wykres </w:t>
      </w:r>
      <w:r w:rsidR="00844CE4" w:rsidRPr="00F67F63">
        <w:rPr>
          <w:color w:val="auto"/>
        </w:rPr>
        <w:fldChar w:fldCharType="begin"/>
      </w:r>
      <w:r w:rsidR="00E964D8" w:rsidRPr="00F67F63">
        <w:rPr>
          <w:color w:val="auto"/>
        </w:rPr>
        <w:instrText xml:space="preserve"> SEQ Wykres \* ARABIC </w:instrText>
      </w:r>
      <w:r w:rsidR="00844CE4" w:rsidRPr="00F67F63">
        <w:rPr>
          <w:color w:val="auto"/>
        </w:rPr>
        <w:fldChar w:fldCharType="separate"/>
      </w:r>
      <w:r w:rsidR="005C42FD">
        <w:rPr>
          <w:noProof/>
          <w:color w:val="auto"/>
        </w:rPr>
        <w:t>24</w:t>
      </w:r>
      <w:r w:rsidR="00844CE4" w:rsidRPr="00F67F63">
        <w:rPr>
          <w:noProof/>
          <w:color w:val="auto"/>
        </w:rPr>
        <w:fldChar w:fldCharType="end"/>
      </w:r>
      <w:r w:rsidRPr="00F67F63">
        <w:rPr>
          <w:color w:val="auto"/>
        </w:rPr>
        <w:t xml:space="preserve"> Procentowy udział wielkości źródła w emisji CO</w:t>
      </w:r>
      <w:r w:rsidRPr="00F67F63">
        <w:rPr>
          <w:color w:val="auto"/>
          <w:vertAlign w:val="subscript"/>
        </w:rPr>
        <w:t>2</w:t>
      </w:r>
      <w:r w:rsidRPr="00F67F63">
        <w:rPr>
          <w:color w:val="auto"/>
        </w:rPr>
        <w:t xml:space="preserve"> w 2009 roku</w:t>
      </w:r>
      <w:bookmarkEnd w:id="82"/>
    </w:p>
    <w:p w:rsidR="000E6C78" w:rsidRDefault="000E6C78" w:rsidP="000E6C78">
      <w:pPr>
        <w:rPr>
          <w:sz w:val="20"/>
          <w:szCs w:val="20"/>
        </w:rPr>
      </w:pPr>
      <w:r w:rsidRPr="00457AF8">
        <w:rPr>
          <w:sz w:val="20"/>
          <w:szCs w:val="20"/>
        </w:rPr>
        <w:t>Źródło: Opracowanie własne na podstawie badań ankietowych</w:t>
      </w:r>
    </w:p>
    <w:p w:rsidR="0036096A" w:rsidRPr="00457AF8" w:rsidRDefault="0036096A" w:rsidP="000E6C78">
      <w:pPr>
        <w:rPr>
          <w:sz w:val="20"/>
          <w:szCs w:val="20"/>
        </w:rPr>
      </w:pPr>
    </w:p>
    <w:p w:rsidR="000E6C78" w:rsidRDefault="008D6F34" w:rsidP="00A10D06">
      <w:pPr>
        <w:pStyle w:val="Nagwek3"/>
        <w:numPr>
          <w:ilvl w:val="2"/>
          <w:numId w:val="1"/>
        </w:numPr>
      </w:pPr>
      <w:bookmarkStart w:id="83" w:name="_Toc438118392"/>
      <w:r>
        <w:t>Oświetlenie uliczne</w:t>
      </w:r>
      <w:bookmarkEnd w:id="83"/>
    </w:p>
    <w:p w:rsidR="008D6F34" w:rsidRDefault="008D6F34" w:rsidP="008D6F34"/>
    <w:p w:rsidR="0036096A" w:rsidRDefault="00ED18CD" w:rsidP="008D6F34">
      <w:r>
        <w:t>Emisja CO</w:t>
      </w:r>
      <w:r w:rsidRPr="0087092C">
        <w:rPr>
          <w:vertAlign w:val="subscript"/>
        </w:rPr>
        <w:t>2</w:t>
      </w:r>
      <w:r>
        <w:t xml:space="preserve"> związana z funkcjonującym na terenie gminy Herby oświetleniem publicznym została wyliczona na podstawie informacji przekazanych przez Urząd Gminy Herby. W kalkulacji uwzględniono łączną moc wszystkich zainstalowanych w gminie opraw oświetleniowych. </w:t>
      </w:r>
    </w:p>
    <w:p w:rsidR="00ED18CD" w:rsidRDefault="00ED18CD" w:rsidP="008D6F34">
      <w:r>
        <w:t xml:space="preserve">Wyniki obliczeń zużycia energii elektrycznej oraz emisji </w:t>
      </w:r>
      <w:r w:rsidR="0087092C">
        <w:t>CO</w:t>
      </w:r>
      <w:r w:rsidR="0087092C" w:rsidRPr="0087092C">
        <w:rPr>
          <w:vertAlign w:val="subscript"/>
        </w:rPr>
        <w:t>2</w:t>
      </w:r>
      <w:r>
        <w:t xml:space="preserve">zostały przedstawione w tabeli </w:t>
      </w:r>
      <w:r w:rsidR="00BA529F">
        <w:t>10</w:t>
      </w:r>
      <w:r>
        <w:t xml:space="preserve">. </w:t>
      </w:r>
    </w:p>
    <w:p w:rsidR="00ED18CD" w:rsidRPr="00BA529F" w:rsidRDefault="00ED18CD" w:rsidP="00ED18CD">
      <w:pPr>
        <w:pStyle w:val="Legenda"/>
        <w:keepNext/>
        <w:ind w:firstLine="0"/>
        <w:rPr>
          <w:color w:val="auto"/>
        </w:rPr>
      </w:pPr>
      <w:bookmarkStart w:id="84" w:name="_Toc436586231"/>
      <w:r w:rsidRPr="00BA529F">
        <w:rPr>
          <w:color w:val="auto"/>
        </w:rPr>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10</w:t>
      </w:r>
      <w:r w:rsidR="00844CE4">
        <w:rPr>
          <w:color w:val="auto"/>
        </w:rPr>
        <w:fldChar w:fldCharType="end"/>
      </w:r>
      <w:r w:rsidRPr="00BA529F">
        <w:rPr>
          <w:color w:val="auto"/>
        </w:rPr>
        <w:t xml:space="preserve"> Zestawienie informacji o oświetleniu ulicznym w gminie Herby</w:t>
      </w:r>
      <w:bookmarkEnd w:id="84"/>
    </w:p>
    <w:p w:rsidR="00ED18CD" w:rsidRPr="00ED18CD" w:rsidRDefault="00ED18CD" w:rsidP="00ED18CD">
      <w:pPr>
        <w:spacing w:line="240" w:lineRule="auto"/>
        <w:rPr>
          <w:sz w:val="16"/>
          <w:szCs w:val="16"/>
        </w:rPr>
      </w:pPr>
    </w:p>
    <w:tbl>
      <w:tblPr>
        <w:tblStyle w:val="rednialista2akcent1"/>
        <w:tblW w:w="4500" w:type="pct"/>
        <w:tblLook w:val="04A0"/>
      </w:tblPr>
      <w:tblGrid>
        <w:gridCol w:w="2354"/>
        <w:gridCol w:w="2573"/>
        <w:gridCol w:w="3432"/>
      </w:tblGrid>
      <w:tr w:rsidR="00ED18CD" w:rsidTr="00ED18CD">
        <w:trPr>
          <w:cnfStyle w:val="100000000000"/>
        </w:trPr>
        <w:tc>
          <w:tcPr>
            <w:cnfStyle w:val="001000000100"/>
            <w:tcW w:w="1408" w:type="pct"/>
            <w:noWrap/>
          </w:tcPr>
          <w:p w:rsidR="00ED18CD" w:rsidRPr="00EF791C" w:rsidRDefault="00ED18CD" w:rsidP="00ED18CD">
            <w:pPr>
              <w:spacing w:line="240" w:lineRule="auto"/>
              <w:rPr>
                <w:rFonts w:asciiTheme="minorHAnsi" w:eastAsiaTheme="minorEastAsia" w:hAnsiTheme="minorHAnsi" w:cstheme="minorBidi"/>
                <w:color w:val="auto"/>
                <w:sz w:val="20"/>
                <w:szCs w:val="20"/>
              </w:rPr>
            </w:pPr>
            <w:r w:rsidRPr="00EF791C">
              <w:rPr>
                <w:rFonts w:asciiTheme="minorHAnsi" w:eastAsiaTheme="minorEastAsia" w:hAnsiTheme="minorHAnsi" w:cstheme="minorBidi"/>
                <w:color w:val="auto"/>
                <w:sz w:val="20"/>
                <w:szCs w:val="20"/>
              </w:rPr>
              <w:t>ROK</w:t>
            </w:r>
          </w:p>
        </w:tc>
        <w:tc>
          <w:tcPr>
            <w:tcW w:w="1539" w:type="pct"/>
          </w:tcPr>
          <w:p w:rsidR="00ED18CD" w:rsidRPr="00EF791C" w:rsidRDefault="00ED18CD" w:rsidP="00ED18CD">
            <w:pPr>
              <w:spacing w:line="240" w:lineRule="auto"/>
              <w:jc w:val="center"/>
              <w:cnfStyle w:val="100000000000"/>
              <w:rPr>
                <w:rFonts w:asciiTheme="minorHAnsi" w:eastAsiaTheme="minorEastAsia" w:hAnsiTheme="minorHAnsi" w:cstheme="minorBidi"/>
                <w:color w:val="auto"/>
                <w:sz w:val="20"/>
                <w:szCs w:val="20"/>
              </w:rPr>
            </w:pPr>
            <w:r w:rsidRPr="00EF791C">
              <w:rPr>
                <w:rFonts w:asciiTheme="minorHAnsi" w:eastAsiaTheme="minorEastAsia" w:hAnsiTheme="minorHAnsi" w:cstheme="minorBidi"/>
                <w:color w:val="auto"/>
                <w:sz w:val="20"/>
                <w:szCs w:val="20"/>
              </w:rPr>
              <w:t>Zużycie energii elektrycznej (</w:t>
            </w:r>
            <w:proofErr w:type="spellStart"/>
            <w:r w:rsidRPr="00EF791C">
              <w:rPr>
                <w:rFonts w:asciiTheme="minorHAnsi" w:eastAsiaTheme="minorEastAsia" w:hAnsiTheme="minorHAnsi" w:cstheme="minorBidi"/>
                <w:color w:val="auto"/>
                <w:sz w:val="20"/>
                <w:szCs w:val="20"/>
              </w:rPr>
              <w:t>MWh</w:t>
            </w:r>
            <w:proofErr w:type="spellEnd"/>
            <w:r w:rsidRPr="00EF791C">
              <w:rPr>
                <w:rFonts w:asciiTheme="minorHAnsi" w:eastAsiaTheme="minorEastAsia" w:hAnsiTheme="minorHAnsi" w:cstheme="minorBidi"/>
                <w:color w:val="auto"/>
                <w:sz w:val="20"/>
                <w:szCs w:val="20"/>
              </w:rPr>
              <w:t>/miesiąc)</w:t>
            </w:r>
          </w:p>
        </w:tc>
        <w:tc>
          <w:tcPr>
            <w:tcW w:w="2053" w:type="pct"/>
          </w:tcPr>
          <w:p w:rsidR="00ED18CD" w:rsidRPr="00EF791C" w:rsidRDefault="00ED18CD" w:rsidP="00ED18CD">
            <w:pPr>
              <w:spacing w:line="240" w:lineRule="auto"/>
              <w:jc w:val="center"/>
              <w:cnfStyle w:val="100000000000"/>
              <w:rPr>
                <w:rFonts w:asciiTheme="minorHAnsi" w:eastAsiaTheme="minorEastAsia" w:hAnsiTheme="minorHAnsi" w:cstheme="minorBidi"/>
                <w:color w:val="auto"/>
                <w:sz w:val="20"/>
                <w:szCs w:val="20"/>
              </w:rPr>
            </w:pPr>
            <w:r w:rsidRPr="00EF791C">
              <w:rPr>
                <w:rFonts w:asciiTheme="minorHAnsi" w:eastAsiaTheme="minorEastAsia" w:hAnsiTheme="minorHAnsi" w:cstheme="minorBidi"/>
                <w:color w:val="auto"/>
                <w:sz w:val="20"/>
                <w:szCs w:val="20"/>
              </w:rPr>
              <w:t xml:space="preserve">Emisja CO2/rok </w:t>
            </w:r>
          </w:p>
          <w:p w:rsidR="00ED18CD" w:rsidRPr="00EF791C" w:rsidRDefault="00ED18CD" w:rsidP="00ED18CD">
            <w:pPr>
              <w:spacing w:line="240" w:lineRule="auto"/>
              <w:jc w:val="center"/>
              <w:cnfStyle w:val="100000000000"/>
              <w:rPr>
                <w:rFonts w:asciiTheme="minorHAnsi" w:eastAsiaTheme="minorEastAsia" w:hAnsiTheme="minorHAnsi" w:cstheme="minorBidi"/>
                <w:color w:val="auto"/>
                <w:sz w:val="20"/>
                <w:szCs w:val="20"/>
              </w:rPr>
            </w:pPr>
            <w:r w:rsidRPr="00EF791C">
              <w:rPr>
                <w:rFonts w:asciiTheme="minorHAnsi" w:eastAsiaTheme="minorEastAsia" w:hAnsiTheme="minorHAnsi" w:cstheme="minorBidi"/>
                <w:color w:val="auto"/>
                <w:sz w:val="20"/>
                <w:szCs w:val="20"/>
              </w:rPr>
              <w:t>(MGCO2/rok)</w:t>
            </w:r>
          </w:p>
        </w:tc>
      </w:tr>
      <w:tr w:rsidR="00ED18CD" w:rsidTr="00ED18CD">
        <w:trPr>
          <w:cnfStyle w:val="000000100000"/>
        </w:trPr>
        <w:tc>
          <w:tcPr>
            <w:cnfStyle w:val="001000000000"/>
            <w:tcW w:w="1408" w:type="pct"/>
            <w:noWrap/>
          </w:tcPr>
          <w:p w:rsidR="00ED18CD" w:rsidRDefault="00ED18CD">
            <w:pPr>
              <w:rPr>
                <w:rFonts w:asciiTheme="minorHAnsi" w:eastAsiaTheme="minorEastAsia" w:hAnsiTheme="minorHAnsi" w:cstheme="minorBidi"/>
                <w:color w:val="auto"/>
              </w:rPr>
            </w:pPr>
            <w:r>
              <w:rPr>
                <w:rFonts w:asciiTheme="minorHAnsi" w:eastAsiaTheme="minorEastAsia" w:hAnsiTheme="minorHAnsi" w:cstheme="minorBidi"/>
                <w:color w:val="auto"/>
              </w:rPr>
              <w:t>2009</w:t>
            </w:r>
          </w:p>
        </w:tc>
        <w:tc>
          <w:tcPr>
            <w:tcW w:w="1539" w:type="pct"/>
          </w:tcPr>
          <w:p w:rsidR="00ED18CD" w:rsidRDefault="00ED18CD">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281,48</w:t>
            </w:r>
          </w:p>
        </w:tc>
        <w:tc>
          <w:tcPr>
            <w:tcW w:w="2053" w:type="pct"/>
          </w:tcPr>
          <w:p w:rsidR="00ED18CD" w:rsidRDefault="00ED18CD">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228,56</w:t>
            </w:r>
          </w:p>
        </w:tc>
      </w:tr>
      <w:tr w:rsidR="00ED18CD" w:rsidTr="00ED18CD">
        <w:tc>
          <w:tcPr>
            <w:cnfStyle w:val="001000000000"/>
            <w:tcW w:w="1408" w:type="pct"/>
            <w:tcBorders>
              <w:top w:val="nil"/>
              <w:bottom w:val="single" w:sz="8" w:space="0" w:color="4F81BD"/>
            </w:tcBorders>
            <w:noWrap/>
          </w:tcPr>
          <w:p w:rsidR="00ED18CD" w:rsidRDefault="00ED18CD">
            <w:pPr>
              <w:rPr>
                <w:rFonts w:asciiTheme="minorHAnsi" w:eastAsiaTheme="minorEastAsia" w:hAnsiTheme="minorHAnsi" w:cstheme="minorBidi"/>
                <w:color w:val="auto"/>
              </w:rPr>
            </w:pPr>
            <w:r>
              <w:rPr>
                <w:rFonts w:asciiTheme="minorHAnsi" w:eastAsiaTheme="minorEastAsia" w:hAnsiTheme="minorHAnsi" w:cstheme="minorBidi"/>
                <w:color w:val="auto"/>
              </w:rPr>
              <w:t>2014</w:t>
            </w:r>
          </w:p>
        </w:tc>
        <w:tc>
          <w:tcPr>
            <w:tcW w:w="1539" w:type="pct"/>
            <w:tcBorders>
              <w:top w:val="nil"/>
              <w:bottom w:val="single" w:sz="8" w:space="0" w:color="4F81BD"/>
            </w:tcBorders>
          </w:tcPr>
          <w:p w:rsidR="00ED18CD" w:rsidRDefault="00ED18CD">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189,96</w:t>
            </w:r>
          </w:p>
        </w:tc>
        <w:tc>
          <w:tcPr>
            <w:tcW w:w="2053" w:type="pct"/>
            <w:tcBorders>
              <w:top w:val="nil"/>
              <w:bottom w:val="single" w:sz="8" w:space="0" w:color="4F81BD"/>
            </w:tcBorders>
          </w:tcPr>
          <w:p w:rsidR="00ED18CD" w:rsidRDefault="00ED18CD">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154,25</w:t>
            </w:r>
          </w:p>
        </w:tc>
      </w:tr>
    </w:tbl>
    <w:p w:rsidR="00ED18CD" w:rsidRDefault="00ED18CD" w:rsidP="008D6F34">
      <w:pPr>
        <w:rPr>
          <w:sz w:val="20"/>
          <w:szCs w:val="20"/>
        </w:rPr>
      </w:pPr>
      <w:r w:rsidRPr="00ED18CD">
        <w:rPr>
          <w:sz w:val="20"/>
          <w:szCs w:val="20"/>
        </w:rPr>
        <w:t>Źródło: Opracowanie własne na podstawie badań ankietowych</w:t>
      </w:r>
    </w:p>
    <w:p w:rsidR="00ED18CD" w:rsidRDefault="00ED18CD" w:rsidP="008D6F34">
      <w:pPr>
        <w:rPr>
          <w:sz w:val="20"/>
          <w:szCs w:val="20"/>
        </w:rPr>
      </w:pPr>
    </w:p>
    <w:p w:rsidR="0050555A" w:rsidRDefault="0050555A" w:rsidP="008D6F34">
      <w:pPr>
        <w:rPr>
          <w:sz w:val="20"/>
          <w:szCs w:val="20"/>
        </w:rPr>
      </w:pPr>
    </w:p>
    <w:p w:rsidR="008D6EC9" w:rsidRPr="00555729" w:rsidRDefault="0061242A" w:rsidP="00A003E6">
      <w:pPr>
        <w:rPr>
          <w:color w:val="FF0000"/>
        </w:rPr>
      </w:pPr>
      <w:r w:rsidRPr="006F2005">
        <w:lastRenderedPageBreak/>
        <w:t>Ak</w:t>
      </w:r>
      <w:r w:rsidR="00582635" w:rsidRPr="006F2005">
        <w:t>tualnie do końca listopada 2015</w:t>
      </w:r>
      <w:r w:rsidRPr="006F2005">
        <w:t>r. n</w:t>
      </w:r>
      <w:r w:rsidR="00A003E6" w:rsidRPr="006F2005">
        <w:t xml:space="preserve">a terenie gminy znajduje się </w:t>
      </w:r>
      <w:r w:rsidRPr="006F2005">
        <w:t>1137</w:t>
      </w:r>
      <w:r w:rsidR="00A003E6" w:rsidRPr="006F2005">
        <w:t xml:space="preserve"> punktów oświetleniowych. Obszar gminy Herby należy do dostawcy energii elektrycznej na obszarze powiatu lublinieckiego firmy </w:t>
      </w:r>
      <w:proofErr w:type="spellStart"/>
      <w:r w:rsidR="00A003E6" w:rsidRPr="006F2005">
        <w:t>Tauron</w:t>
      </w:r>
      <w:proofErr w:type="spellEnd"/>
      <w:r w:rsidR="00A003E6" w:rsidRPr="006F2005">
        <w:t xml:space="preserve"> Lubliniec. Do firmy </w:t>
      </w:r>
      <w:proofErr w:type="spellStart"/>
      <w:r w:rsidR="00A003E6" w:rsidRPr="006F2005">
        <w:t>Tauron</w:t>
      </w:r>
      <w:proofErr w:type="spellEnd"/>
      <w:r w:rsidR="00A003E6" w:rsidRPr="006F2005">
        <w:t xml:space="preserve"> należy 1</w:t>
      </w:r>
      <w:r w:rsidRPr="006F2005">
        <w:t>18</w:t>
      </w:r>
      <w:r w:rsidR="00A003E6" w:rsidRPr="006F2005">
        <w:t xml:space="preserve"> la</w:t>
      </w:r>
      <w:r w:rsidRPr="006F2005">
        <w:t>m</w:t>
      </w:r>
      <w:r w:rsidR="00A003E6" w:rsidRPr="006F2005">
        <w:t>p oświetleniowych</w:t>
      </w:r>
      <w:r w:rsidR="004206EE" w:rsidRPr="006F2005">
        <w:t xml:space="preserve"> </w:t>
      </w:r>
      <w:r w:rsidR="00555729" w:rsidRPr="006F2005">
        <w:t>w Herbach, Olszynie i Lisowie</w:t>
      </w:r>
      <w:r w:rsidR="00A003E6" w:rsidRPr="006F2005">
        <w:t xml:space="preserve">, pozostałe są własnością gminy i od 2010 roku są systematycznie modernizowane. W </w:t>
      </w:r>
      <w:r w:rsidRPr="006F2005">
        <w:t>1019</w:t>
      </w:r>
      <w:r w:rsidR="004206EE" w:rsidRPr="006F2005">
        <w:t xml:space="preserve"> </w:t>
      </w:r>
      <w:r w:rsidR="00A003E6" w:rsidRPr="006F2005">
        <w:t>lampach ulicznych</w:t>
      </w:r>
      <w:r w:rsidR="004206EE" w:rsidRPr="006F2005">
        <w:t xml:space="preserve"> </w:t>
      </w:r>
      <w:r w:rsidR="00555729" w:rsidRPr="006F2005">
        <w:t>należących do Gminy Herby</w:t>
      </w:r>
      <w:r w:rsidR="004206EE" w:rsidRPr="006F2005">
        <w:t xml:space="preserve"> </w:t>
      </w:r>
      <w:r w:rsidR="00A003E6" w:rsidRPr="006F2005">
        <w:t>zostały wymienione oprawy na LED. Dodatkowo zainstalowano 13 lamp solarnych zasil</w:t>
      </w:r>
      <w:r w:rsidR="008D6EC9" w:rsidRPr="006F2005">
        <w:t>anych energią słoneczną.</w:t>
      </w:r>
      <w:r w:rsidR="008D6EC9">
        <w:t xml:space="preserve"> </w:t>
      </w:r>
      <w:r w:rsidR="00555729" w:rsidRPr="00B563DD">
        <w:t>Większość obiektów komunalnych oraz szkół jest wyposażonych w LED-owe źródła światła</w:t>
      </w:r>
      <w:r w:rsidR="00B563DD">
        <w:t>.</w:t>
      </w:r>
    </w:p>
    <w:p w:rsidR="008D6EC9" w:rsidRDefault="008D6EC9" w:rsidP="00A003E6">
      <w:r>
        <w:t xml:space="preserve">Inwestycje w tym zakresie pozwoliły na wprowadzenie dużych oszczędności. W roku bazowym, przed pracami modernizacyjnymi, łączne roczne zużycie energii elektrycznej w gminie wynosiło 281,48 </w:t>
      </w:r>
      <w:proofErr w:type="spellStart"/>
      <w:r>
        <w:t>MWh</w:t>
      </w:r>
      <w:proofErr w:type="spellEnd"/>
      <w:r w:rsidR="00EF3EDF">
        <w:t xml:space="preserve">, natomiast w 2014 roku wyniosło mniej o 91,52 </w:t>
      </w:r>
      <w:proofErr w:type="spellStart"/>
      <w:r w:rsidR="00EF3EDF">
        <w:t>MWh</w:t>
      </w:r>
      <w:proofErr w:type="spellEnd"/>
      <w:r w:rsidR="00EF3EDF">
        <w:t xml:space="preserve">. Dzięki inwestycji gmina zaoszczędziła 74 874,00 zł. W kolejnych latach następować będzie dalsza wymiana jakości stosowanego oświetlenia związana z zastosowaniem technologii energooszczędnych LED. </w:t>
      </w:r>
    </w:p>
    <w:p w:rsidR="00EF3EDF" w:rsidRDefault="00EF3EDF" w:rsidP="00EF3EDF">
      <w:pPr>
        <w:keepNext/>
      </w:pPr>
      <w:r w:rsidRPr="00EF3EDF">
        <w:rPr>
          <w:noProof/>
          <w:lang w:eastAsia="pl-PL"/>
        </w:rPr>
        <w:drawing>
          <wp:inline distT="0" distB="0" distL="0" distR="0">
            <wp:extent cx="4572000" cy="2743200"/>
            <wp:effectExtent l="19050" t="0" r="19050" b="0"/>
            <wp:docPr id="1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F3EDF" w:rsidRPr="00BA529F" w:rsidRDefault="00EF3EDF" w:rsidP="00EF3EDF">
      <w:pPr>
        <w:pStyle w:val="Legenda"/>
        <w:ind w:firstLine="0"/>
        <w:rPr>
          <w:color w:val="auto"/>
        </w:rPr>
      </w:pPr>
      <w:bookmarkStart w:id="85" w:name="_Toc429726526"/>
      <w:r w:rsidRPr="00BA529F">
        <w:rPr>
          <w:color w:val="auto"/>
        </w:rPr>
        <w:t xml:space="preserve">Wykres </w:t>
      </w:r>
      <w:r w:rsidR="00844CE4" w:rsidRPr="00BA529F">
        <w:rPr>
          <w:color w:val="auto"/>
        </w:rPr>
        <w:fldChar w:fldCharType="begin"/>
      </w:r>
      <w:r w:rsidR="00E964D8" w:rsidRPr="00BA529F">
        <w:rPr>
          <w:color w:val="auto"/>
        </w:rPr>
        <w:instrText xml:space="preserve"> SEQ Wykres \* ARABIC </w:instrText>
      </w:r>
      <w:r w:rsidR="00844CE4" w:rsidRPr="00BA529F">
        <w:rPr>
          <w:color w:val="auto"/>
        </w:rPr>
        <w:fldChar w:fldCharType="separate"/>
      </w:r>
      <w:r w:rsidR="005C42FD">
        <w:rPr>
          <w:noProof/>
          <w:color w:val="auto"/>
        </w:rPr>
        <w:t>25</w:t>
      </w:r>
      <w:r w:rsidR="00844CE4" w:rsidRPr="00BA529F">
        <w:rPr>
          <w:noProof/>
          <w:color w:val="auto"/>
        </w:rPr>
        <w:fldChar w:fldCharType="end"/>
      </w:r>
      <w:r w:rsidRPr="00BA529F">
        <w:rPr>
          <w:color w:val="auto"/>
        </w:rPr>
        <w:t xml:space="preserve"> Emisja MgCO2/rok</w:t>
      </w:r>
      <w:bookmarkEnd w:id="85"/>
    </w:p>
    <w:p w:rsidR="00EF3EDF" w:rsidRDefault="00EF3EDF" w:rsidP="00EF3EDF">
      <w:pPr>
        <w:rPr>
          <w:sz w:val="20"/>
          <w:szCs w:val="20"/>
        </w:rPr>
      </w:pPr>
      <w:r w:rsidRPr="00EF3EDF">
        <w:rPr>
          <w:sz w:val="20"/>
          <w:szCs w:val="20"/>
        </w:rPr>
        <w:t>Źródło: Opracowanie własne na podstawie danych z Urzędu Gminy Herby</w:t>
      </w:r>
    </w:p>
    <w:p w:rsidR="00582635" w:rsidRDefault="00582635" w:rsidP="00EF3EDF">
      <w:pPr>
        <w:rPr>
          <w:sz w:val="20"/>
          <w:szCs w:val="20"/>
        </w:rPr>
      </w:pPr>
    </w:p>
    <w:p w:rsidR="00EF3EDF" w:rsidRDefault="00D628C0" w:rsidP="00D628C0">
      <w:r>
        <w:t>Łączną emisję CO</w:t>
      </w:r>
      <w:r w:rsidRPr="00D628C0">
        <w:rPr>
          <w:vertAlign w:val="subscript"/>
        </w:rPr>
        <w:t>2</w:t>
      </w:r>
      <w:r>
        <w:t xml:space="preserve"> w latach </w:t>
      </w:r>
      <w:r w:rsidR="00D06245">
        <w:t>2009 i 2014 przedstawia wykres 25</w:t>
      </w:r>
      <w:r>
        <w:t>. Z przedstawionych danych wynika, że dzięki modernizacji oświetlenia emisja CO</w:t>
      </w:r>
      <w:r w:rsidRPr="00D628C0">
        <w:rPr>
          <w:vertAlign w:val="subscript"/>
        </w:rPr>
        <w:t>2</w:t>
      </w:r>
      <w:r>
        <w:t>zmniejszyła się z 228,56 MgCO</w:t>
      </w:r>
      <w:r w:rsidRPr="00D628C0">
        <w:rPr>
          <w:vertAlign w:val="subscript"/>
        </w:rPr>
        <w:t>2</w:t>
      </w:r>
      <w:r>
        <w:t>/rok do 154,25 MgCo</w:t>
      </w:r>
      <w:r w:rsidRPr="00D628C0">
        <w:rPr>
          <w:vertAlign w:val="subscript"/>
        </w:rPr>
        <w:t>2</w:t>
      </w:r>
      <w:r>
        <w:t xml:space="preserve">/rok. </w:t>
      </w:r>
    </w:p>
    <w:p w:rsidR="00582635" w:rsidRDefault="00582635" w:rsidP="00D628C0"/>
    <w:p w:rsidR="00492E17" w:rsidRDefault="00EB775B" w:rsidP="00A10D06">
      <w:pPr>
        <w:pStyle w:val="Nagwek3"/>
        <w:numPr>
          <w:ilvl w:val="2"/>
          <w:numId w:val="1"/>
        </w:numPr>
      </w:pPr>
      <w:bookmarkStart w:id="86" w:name="_Toc438118393"/>
      <w:r>
        <w:lastRenderedPageBreak/>
        <w:t>Transport</w:t>
      </w:r>
      <w:bookmarkEnd w:id="86"/>
    </w:p>
    <w:p w:rsidR="00EB775B" w:rsidRDefault="00EB775B" w:rsidP="00EB775B"/>
    <w:p w:rsidR="004020D1" w:rsidRDefault="00341EEC" w:rsidP="00EB775B">
      <w:r>
        <w:t>Na podstawie informacji ze Starostwa Powiatowego w Lublińcu oszacowano, że liczba zarejestrowanych</w:t>
      </w:r>
      <w:r w:rsidR="002C1EB6">
        <w:t xml:space="preserve"> pojazdów</w:t>
      </w:r>
      <w:r>
        <w:t xml:space="preserve"> na terenie gminy Herby wynosi </w:t>
      </w:r>
      <w:r w:rsidR="00646258">
        <w:t xml:space="preserve">6163, jednak analizą objęto 4798 pojazdy zaliczane do kategorii: ciągniki rolnicze i samochodowe, samochody ciężarowe i osobowo-ciężarowe, samochody </w:t>
      </w:r>
      <w:r w:rsidR="002E691E">
        <w:t>osobowe</w:t>
      </w:r>
      <w:r w:rsidR="00646258">
        <w:t>.</w:t>
      </w:r>
      <w:r w:rsidR="002E691E">
        <w:t xml:space="preserve"> Pozostałe zarejestrowane na obszarze gminy pojazdy, to autobusy, motocykle i motorowery, naczepy i przyczepy, samochody specjalne i sanitarne. </w:t>
      </w:r>
    </w:p>
    <w:p w:rsidR="00246F6F" w:rsidRPr="00246F6F" w:rsidRDefault="00246F6F" w:rsidP="00246F6F">
      <w:r w:rsidRPr="00246F6F">
        <w:t>Ś</w:t>
      </w:r>
      <w:r w:rsidR="002C1EB6">
        <w:t>rednio na jednego mieszkańca g</w:t>
      </w:r>
      <w:r w:rsidRPr="00246F6F">
        <w:t>miny przypad</w:t>
      </w:r>
      <w:r w:rsidR="002E691E">
        <w:t xml:space="preserve">ają zatem dwa </w:t>
      </w:r>
      <w:r w:rsidRPr="00246F6F">
        <w:t>pojazd</w:t>
      </w:r>
      <w:r w:rsidR="002E691E">
        <w:t>y</w:t>
      </w:r>
      <w:r w:rsidRPr="00246F6F">
        <w:t xml:space="preserve">. </w:t>
      </w:r>
    </w:p>
    <w:p w:rsidR="00246F6F" w:rsidRDefault="00246F6F" w:rsidP="00246F6F">
      <w:r>
        <w:t>W sektorze transportu uwzględniono dane o emisji wynikające ze zużycia paliw silnikowych (benzyny, oleju napędowego, gazu LPG) przez pojazdy użytkowników prywatnych</w:t>
      </w:r>
      <w:r w:rsidR="00AD55FE">
        <w:t>, przedsiębiorstw</w:t>
      </w:r>
      <w:r>
        <w:t xml:space="preserve">  oraz związane z obsługą sektora publicznego. </w:t>
      </w:r>
      <w:r w:rsidRPr="00246F6F">
        <w:t>Sektor transportu charakteryzuje się stopniowym rozwoj</w:t>
      </w:r>
      <w:r>
        <w:t>em. Liczba pojazdów na terenie g</w:t>
      </w:r>
      <w:r w:rsidRPr="00246F6F">
        <w:t>miny ulega ciągłemu wzr</w:t>
      </w:r>
      <w:r>
        <w:t>ostowi. Jednocześnie na ternie g</w:t>
      </w:r>
      <w:r w:rsidRPr="00246F6F">
        <w:t xml:space="preserve">miny </w:t>
      </w:r>
      <w:r>
        <w:t>Herby</w:t>
      </w:r>
      <w:r w:rsidRPr="00246F6F">
        <w:t xml:space="preserve"> poprawia się stan istniejącej infrastruktury drogowej poprzez stopniową modernizację dróg gminnych. </w:t>
      </w:r>
    </w:p>
    <w:p w:rsidR="002C1EB6" w:rsidRPr="00246F6F" w:rsidRDefault="002C1EB6" w:rsidP="00246F6F">
      <w:r>
        <w:t>Wyniki zużycia energii na poszczególne nośniki energii oraz roczną emisję CO</w:t>
      </w:r>
      <w:r w:rsidRPr="002C1EB6">
        <w:rPr>
          <w:vertAlign w:val="subscript"/>
        </w:rPr>
        <w:t>2</w:t>
      </w:r>
      <w:r>
        <w:t xml:space="preserve"> w sektorze transportu przedstawia tabela </w:t>
      </w:r>
      <w:r w:rsidR="002E691E">
        <w:t>11</w:t>
      </w:r>
      <w:r>
        <w:t xml:space="preserve">. </w:t>
      </w:r>
    </w:p>
    <w:p w:rsidR="003878C8" w:rsidRPr="00DE1C6B" w:rsidRDefault="003878C8" w:rsidP="003878C8">
      <w:pPr>
        <w:pStyle w:val="Legenda"/>
        <w:keepNext/>
        <w:ind w:firstLine="0"/>
        <w:rPr>
          <w:color w:val="auto"/>
        </w:rPr>
      </w:pPr>
      <w:bookmarkStart w:id="87" w:name="_Toc436586232"/>
      <w:r w:rsidRPr="00DE1C6B">
        <w:rPr>
          <w:color w:val="auto"/>
        </w:rPr>
        <w:t xml:space="preserve">Tabela </w:t>
      </w:r>
      <w:r w:rsidR="00844CE4" w:rsidRPr="00DE1C6B">
        <w:rPr>
          <w:color w:val="auto"/>
        </w:rPr>
        <w:fldChar w:fldCharType="begin"/>
      </w:r>
      <w:r w:rsidR="00387EC7" w:rsidRPr="00DE1C6B">
        <w:rPr>
          <w:color w:val="auto"/>
        </w:rPr>
        <w:instrText xml:space="preserve"> SEQ Tabela \* ARABIC </w:instrText>
      </w:r>
      <w:r w:rsidR="00844CE4" w:rsidRPr="00DE1C6B">
        <w:rPr>
          <w:color w:val="auto"/>
        </w:rPr>
        <w:fldChar w:fldCharType="separate"/>
      </w:r>
      <w:r w:rsidR="005C42FD">
        <w:rPr>
          <w:noProof/>
          <w:color w:val="auto"/>
        </w:rPr>
        <w:t>11</w:t>
      </w:r>
      <w:r w:rsidR="00844CE4" w:rsidRPr="00DE1C6B">
        <w:rPr>
          <w:color w:val="auto"/>
        </w:rPr>
        <w:fldChar w:fldCharType="end"/>
      </w:r>
      <w:r w:rsidRPr="00DE1C6B">
        <w:rPr>
          <w:color w:val="auto"/>
        </w:rPr>
        <w:t xml:space="preserve"> Zużycie energii na poszczególne nośniki energii i roczna emisja CO2 w sektorze transportu</w:t>
      </w:r>
      <w:bookmarkEnd w:id="87"/>
    </w:p>
    <w:tbl>
      <w:tblPr>
        <w:tblStyle w:val="rednialista2akcent1"/>
        <w:tblW w:w="4306" w:type="pct"/>
        <w:tblLook w:val="04A0"/>
      </w:tblPr>
      <w:tblGrid>
        <w:gridCol w:w="2303"/>
        <w:gridCol w:w="1360"/>
        <w:gridCol w:w="1605"/>
        <w:gridCol w:w="1365"/>
        <w:gridCol w:w="1366"/>
      </w:tblGrid>
      <w:tr w:rsidR="002C1EB6" w:rsidTr="005E62FB">
        <w:trPr>
          <w:cnfStyle w:val="100000000000"/>
        </w:trPr>
        <w:tc>
          <w:tcPr>
            <w:cnfStyle w:val="001000000100"/>
            <w:tcW w:w="1440" w:type="pct"/>
            <w:tcBorders>
              <w:top w:val="none" w:sz="0" w:space="0" w:color="auto"/>
              <w:left w:val="none" w:sz="0" w:space="0" w:color="auto"/>
              <w:bottom w:val="none" w:sz="0" w:space="0" w:color="auto"/>
              <w:right w:val="none" w:sz="0" w:space="0" w:color="auto"/>
            </w:tcBorders>
            <w:noWrap/>
            <w:vAlign w:val="center"/>
          </w:tcPr>
          <w:p w:rsidR="002C1EB6" w:rsidRDefault="002C1EB6" w:rsidP="005E62FB">
            <w:pPr>
              <w:spacing w:line="240" w:lineRule="auto"/>
              <w:jc w:val="lef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Źródło emisji</w:t>
            </w:r>
          </w:p>
        </w:tc>
        <w:tc>
          <w:tcPr>
            <w:tcW w:w="850" w:type="pct"/>
            <w:tcBorders>
              <w:top w:val="none" w:sz="0" w:space="0" w:color="auto"/>
              <w:left w:val="none" w:sz="0" w:space="0" w:color="auto"/>
              <w:bottom w:val="none" w:sz="0" w:space="0" w:color="auto"/>
              <w:right w:val="none" w:sz="0" w:space="0" w:color="auto"/>
            </w:tcBorders>
            <w:vAlign w:val="center"/>
          </w:tcPr>
          <w:p w:rsidR="002C1EB6" w:rsidRDefault="002C1EB6" w:rsidP="005E62F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 xml:space="preserve">Całkowita energia </w:t>
            </w:r>
            <w:proofErr w:type="spellStart"/>
            <w:r w:rsidRPr="00774974">
              <w:rPr>
                <w:rFonts w:asciiTheme="minorHAnsi" w:eastAsiaTheme="minorEastAsia" w:hAnsiTheme="minorHAnsi" w:cstheme="minorBidi"/>
                <w:color w:val="auto"/>
                <w:sz w:val="22"/>
                <w:szCs w:val="22"/>
              </w:rPr>
              <w:t>MWh</w:t>
            </w:r>
            <w:proofErr w:type="spellEnd"/>
            <w:r w:rsidRPr="00774974">
              <w:rPr>
                <w:rFonts w:asciiTheme="minorHAnsi" w:eastAsiaTheme="minorEastAsia" w:hAnsiTheme="minorHAnsi" w:cstheme="minorBidi"/>
                <w:color w:val="auto"/>
                <w:sz w:val="22"/>
                <w:szCs w:val="22"/>
              </w:rPr>
              <w:t>/rok</w:t>
            </w:r>
          </w:p>
        </w:tc>
        <w:tc>
          <w:tcPr>
            <w:tcW w:w="1003" w:type="pct"/>
            <w:tcBorders>
              <w:top w:val="none" w:sz="0" w:space="0" w:color="auto"/>
              <w:left w:val="none" w:sz="0" w:space="0" w:color="auto"/>
              <w:bottom w:val="none" w:sz="0" w:space="0" w:color="auto"/>
              <w:right w:val="none" w:sz="0" w:space="0" w:color="auto"/>
            </w:tcBorders>
            <w:vAlign w:val="center"/>
          </w:tcPr>
          <w:p w:rsidR="002C1EB6" w:rsidRDefault="002C1EB6" w:rsidP="005E62F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poszczególnych nośników energii</w:t>
            </w:r>
          </w:p>
        </w:tc>
        <w:tc>
          <w:tcPr>
            <w:tcW w:w="853" w:type="pct"/>
            <w:tcBorders>
              <w:top w:val="none" w:sz="0" w:space="0" w:color="auto"/>
              <w:left w:val="none" w:sz="0" w:space="0" w:color="auto"/>
              <w:bottom w:val="none" w:sz="0" w:space="0" w:color="auto"/>
              <w:right w:val="none" w:sz="0" w:space="0" w:color="auto"/>
            </w:tcBorders>
            <w:vAlign w:val="center"/>
          </w:tcPr>
          <w:p w:rsidR="002C1EB6" w:rsidRDefault="002C1EB6" w:rsidP="005E62F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Całkowita emisja MgCO2/rok</w:t>
            </w:r>
          </w:p>
        </w:tc>
        <w:tc>
          <w:tcPr>
            <w:tcW w:w="854" w:type="pct"/>
            <w:tcBorders>
              <w:top w:val="none" w:sz="0" w:space="0" w:color="auto"/>
              <w:left w:val="none" w:sz="0" w:space="0" w:color="auto"/>
              <w:bottom w:val="none" w:sz="0" w:space="0" w:color="auto"/>
              <w:right w:val="none" w:sz="0" w:space="0" w:color="auto"/>
            </w:tcBorders>
            <w:vAlign w:val="center"/>
          </w:tcPr>
          <w:p w:rsidR="002C1EB6" w:rsidRDefault="002C1EB6" w:rsidP="005E62F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wielkości emisji CO2</w:t>
            </w:r>
          </w:p>
        </w:tc>
      </w:tr>
      <w:tr w:rsidR="002C1EB6" w:rsidTr="005E62FB">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2C1EB6" w:rsidRDefault="002C1EB6" w:rsidP="005E62FB">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2009</w:t>
            </w:r>
          </w:p>
        </w:tc>
      </w:tr>
      <w:tr w:rsidR="002C1EB6" w:rsidRPr="00774974" w:rsidTr="002C1EB6">
        <w:tc>
          <w:tcPr>
            <w:cnfStyle w:val="001000000000"/>
            <w:tcW w:w="1440" w:type="pct"/>
            <w:tcBorders>
              <w:left w:val="none" w:sz="0" w:space="0" w:color="auto"/>
              <w:bottom w:val="none" w:sz="0" w:space="0" w:color="auto"/>
              <w:right w:val="none" w:sz="0" w:space="0" w:color="auto"/>
            </w:tcBorders>
            <w:noWrap/>
          </w:tcPr>
          <w:p w:rsidR="002C1EB6" w:rsidRPr="00774974" w:rsidRDefault="002C1EB6" w:rsidP="005E62FB">
            <w:pPr>
              <w:pStyle w:val="DecimalAligned"/>
              <w:spacing w:line="240" w:lineRule="auto"/>
              <w:rPr>
                <w:rFonts w:asciiTheme="minorHAnsi" w:hAnsiTheme="minorHAnsi"/>
                <w:sz w:val="20"/>
                <w:szCs w:val="20"/>
              </w:rPr>
            </w:pPr>
            <w:r>
              <w:rPr>
                <w:rFonts w:asciiTheme="minorHAnsi" w:hAnsiTheme="minorHAnsi"/>
                <w:sz w:val="20"/>
                <w:szCs w:val="20"/>
              </w:rPr>
              <w:t>Benzyna</w:t>
            </w:r>
          </w:p>
        </w:tc>
        <w:tc>
          <w:tcPr>
            <w:tcW w:w="850" w:type="pct"/>
          </w:tcPr>
          <w:p w:rsidR="002C1EB6" w:rsidRPr="00FF561D" w:rsidRDefault="00C24330" w:rsidP="005E62FB">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6 216,43</w:t>
            </w:r>
          </w:p>
        </w:tc>
        <w:tc>
          <w:tcPr>
            <w:tcW w:w="1003" w:type="pct"/>
          </w:tcPr>
          <w:p w:rsidR="002C1EB6" w:rsidRPr="00FF561D" w:rsidRDefault="002E691E" w:rsidP="005E62FB">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32,12%</w:t>
            </w:r>
          </w:p>
        </w:tc>
        <w:tc>
          <w:tcPr>
            <w:tcW w:w="853" w:type="pct"/>
          </w:tcPr>
          <w:p w:rsidR="002C1EB6" w:rsidRPr="00FF561D" w:rsidRDefault="00C24330" w:rsidP="005E62FB">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1 535,46</w:t>
            </w:r>
          </w:p>
        </w:tc>
        <w:tc>
          <w:tcPr>
            <w:tcW w:w="854" w:type="pct"/>
          </w:tcPr>
          <w:p w:rsidR="002C1EB6" w:rsidRPr="00FF561D" w:rsidRDefault="002E691E" w:rsidP="005E62FB">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31,53%</w:t>
            </w:r>
          </w:p>
        </w:tc>
      </w:tr>
      <w:tr w:rsidR="002C1EB6" w:rsidRPr="00774974" w:rsidTr="002C1EB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2C1EB6" w:rsidRDefault="002C1EB6" w:rsidP="005E62FB">
            <w:pPr>
              <w:pStyle w:val="DecimalAligned"/>
              <w:spacing w:line="240" w:lineRule="auto"/>
              <w:rPr>
                <w:sz w:val="20"/>
                <w:szCs w:val="20"/>
              </w:rPr>
            </w:pPr>
            <w:r>
              <w:rPr>
                <w:rFonts w:asciiTheme="minorHAnsi" w:hAnsiTheme="minorHAnsi"/>
                <w:sz w:val="20"/>
                <w:szCs w:val="20"/>
              </w:rPr>
              <w:t>Olej napędowy</w:t>
            </w:r>
          </w:p>
        </w:tc>
        <w:tc>
          <w:tcPr>
            <w:tcW w:w="850" w:type="pct"/>
            <w:tcBorders>
              <w:top w:val="none" w:sz="0" w:space="0" w:color="auto"/>
              <w:left w:val="none" w:sz="0" w:space="0" w:color="auto"/>
              <w:bottom w:val="none" w:sz="0" w:space="0" w:color="auto"/>
              <w:right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11 012,99</w:t>
            </w:r>
          </w:p>
        </w:tc>
        <w:tc>
          <w:tcPr>
            <w:tcW w:w="1003" w:type="pct"/>
            <w:tcBorders>
              <w:top w:val="none" w:sz="0" w:space="0" w:color="auto"/>
              <w:left w:val="none" w:sz="0" w:space="0" w:color="auto"/>
              <w:bottom w:val="none" w:sz="0" w:space="0" w:color="auto"/>
              <w:right w:val="none" w:sz="0" w:space="0" w:color="auto"/>
            </w:tcBorders>
          </w:tcPr>
          <w:p w:rsidR="002C1EB6" w:rsidRPr="00FF561D" w:rsidRDefault="002E691E" w:rsidP="005E62FB">
            <w:pPr>
              <w:pStyle w:val="DecimalAligned"/>
              <w:tabs>
                <w:tab w:val="clear" w:pos="360"/>
              </w:tabs>
              <w:jc w:val="center"/>
              <w:cnfStyle w:val="000000100000"/>
              <w:rPr>
                <w:rFonts w:asciiTheme="minorHAnsi" w:hAnsiTheme="minorHAnsi"/>
                <w:sz w:val="20"/>
                <w:szCs w:val="20"/>
              </w:rPr>
            </w:pPr>
            <w:r w:rsidRPr="00FF561D">
              <w:rPr>
                <w:rFonts w:asciiTheme="minorHAnsi" w:hAnsiTheme="minorHAnsi"/>
                <w:sz w:val="20"/>
                <w:szCs w:val="20"/>
              </w:rPr>
              <w:t>56,90%</w:t>
            </w:r>
          </w:p>
        </w:tc>
        <w:tc>
          <w:tcPr>
            <w:tcW w:w="853" w:type="pct"/>
            <w:tcBorders>
              <w:top w:val="none" w:sz="0" w:space="0" w:color="auto"/>
              <w:left w:val="none" w:sz="0" w:space="0" w:color="auto"/>
              <w:bottom w:val="none" w:sz="0" w:space="0" w:color="auto"/>
              <w:right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2 907,43</w:t>
            </w:r>
          </w:p>
        </w:tc>
        <w:tc>
          <w:tcPr>
            <w:tcW w:w="854" w:type="pct"/>
            <w:tcBorders>
              <w:top w:val="none" w:sz="0" w:space="0" w:color="auto"/>
              <w:left w:val="none" w:sz="0" w:space="0" w:color="auto"/>
              <w:bottom w:val="none" w:sz="0" w:space="0" w:color="auto"/>
            </w:tcBorders>
          </w:tcPr>
          <w:p w:rsidR="002C1EB6" w:rsidRPr="00FF561D" w:rsidRDefault="002E691E" w:rsidP="005E62FB">
            <w:pPr>
              <w:pStyle w:val="DecimalAligned"/>
              <w:tabs>
                <w:tab w:val="clear" w:pos="360"/>
              </w:tabs>
              <w:jc w:val="center"/>
              <w:cnfStyle w:val="000000100000"/>
              <w:rPr>
                <w:rFonts w:asciiTheme="minorHAnsi" w:hAnsiTheme="minorHAnsi"/>
                <w:sz w:val="20"/>
                <w:szCs w:val="20"/>
              </w:rPr>
            </w:pPr>
            <w:r w:rsidRPr="00FF561D">
              <w:rPr>
                <w:rFonts w:asciiTheme="minorHAnsi" w:hAnsiTheme="minorHAnsi"/>
                <w:sz w:val="20"/>
                <w:szCs w:val="20"/>
              </w:rPr>
              <w:t>59,70%</w:t>
            </w:r>
          </w:p>
        </w:tc>
      </w:tr>
      <w:tr w:rsidR="002C1EB6" w:rsidRPr="00774974" w:rsidTr="005E62FB">
        <w:tc>
          <w:tcPr>
            <w:cnfStyle w:val="001000000000"/>
            <w:tcW w:w="1440" w:type="pct"/>
            <w:tcBorders>
              <w:left w:val="none" w:sz="0" w:space="0" w:color="auto"/>
              <w:bottom w:val="none" w:sz="0" w:space="0" w:color="auto"/>
              <w:right w:val="none" w:sz="0" w:space="0" w:color="auto"/>
            </w:tcBorders>
            <w:noWrap/>
          </w:tcPr>
          <w:p w:rsidR="002C1EB6" w:rsidRPr="00774974" w:rsidRDefault="002C1EB6" w:rsidP="005E62FB">
            <w:pPr>
              <w:pStyle w:val="DecimalAligned"/>
              <w:spacing w:line="240" w:lineRule="auto"/>
              <w:rPr>
                <w:rFonts w:asciiTheme="minorHAnsi" w:hAnsiTheme="minorHAnsi"/>
                <w:sz w:val="20"/>
                <w:szCs w:val="20"/>
              </w:rPr>
            </w:pPr>
            <w:r>
              <w:rPr>
                <w:rFonts w:asciiTheme="minorHAnsi" w:hAnsiTheme="minorHAnsi"/>
                <w:sz w:val="20"/>
                <w:szCs w:val="20"/>
              </w:rPr>
              <w:t>Gaz LPG</w:t>
            </w:r>
          </w:p>
        </w:tc>
        <w:tc>
          <w:tcPr>
            <w:tcW w:w="850" w:type="pct"/>
          </w:tcPr>
          <w:p w:rsidR="002C1EB6" w:rsidRPr="00FF561D" w:rsidRDefault="002E691E" w:rsidP="00C24330">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2</w:t>
            </w:r>
            <w:r w:rsidR="00C24330">
              <w:rPr>
                <w:rFonts w:asciiTheme="minorHAnsi" w:hAnsiTheme="minorHAnsi"/>
                <w:sz w:val="20"/>
                <w:szCs w:val="20"/>
              </w:rPr>
              <w:t> 124,35</w:t>
            </w:r>
          </w:p>
        </w:tc>
        <w:tc>
          <w:tcPr>
            <w:tcW w:w="1003" w:type="pct"/>
          </w:tcPr>
          <w:p w:rsidR="002C1EB6" w:rsidRPr="00FF561D" w:rsidRDefault="002E691E" w:rsidP="005E62FB">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10,98%</w:t>
            </w:r>
          </w:p>
        </w:tc>
        <w:tc>
          <w:tcPr>
            <w:tcW w:w="853" w:type="pct"/>
          </w:tcPr>
          <w:p w:rsidR="002C1EB6" w:rsidRPr="00FF561D" w:rsidRDefault="00C24330" w:rsidP="005E62FB">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426,99</w:t>
            </w:r>
          </w:p>
        </w:tc>
        <w:tc>
          <w:tcPr>
            <w:tcW w:w="854" w:type="pct"/>
          </w:tcPr>
          <w:p w:rsidR="002C1EB6" w:rsidRPr="00FF561D" w:rsidRDefault="002E691E" w:rsidP="005E62FB">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8,77%</w:t>
            </w:r>
          </w:p>
        </w:tc>
      </w:tr>
      <w:tr w:rsidR="002C1EB6" w:rsidRPr="00774974" w:rsidTr="002C1EB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2C1EB6" w:rsidRPr="00774974" w:rsidRDefault="002C1EB6" w:rsidP="005E62FB">
            <w:pPr>
              <w:jc w:val="left"/>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SUMA</w:t>
            </w:r>
          </w:p>
        </w:tc>
        <w:tc>
          <w:tcPr>
            <w:tcW w:w="850" w:type="pct"/>
            <w:tcBorders>
              <w:top w:val="none" w:sz="0" w:space="0" w:color="auto"/>
              <w:left w:val="none" w:sz="0" w:space="0" w:color="auto"/>
              <w:bottom w:val="none" w:sz="0" w:space="0" w:color="auto"/>
              <w:right w:val="none" w:sz="0" w:space="0" w:color="auto"/>
            </w:tcBorders>
          </w:tcPr>
          <w:p w:rsidR="002C1EB6" w:rsidRPr="00FF561D" w:rsidRDefault="00C24330" w:rsidP="005E62FB">
            <w:pPr>
              <w:jc w:val="center"/>
              <w:cnfStyle w:val="0000001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19 353,77</w:t>
            </w:r>
          </w:p>
        </w:tc>
        <w:tc>
          <w:tcPr>
            <w:tcW w:w="1003" w:type="pct"/>
            <w:tcBorders>
              <w:top w:val="none" w:sz="0" w:space="0" w:color="auto"/>
              <w:left w:val="none" w:sz="0" w:space="0" w:color="auto"/>
              <w:bottom w:val="none" w:sz="0" w:space="0" w:color="auto"/>
              <w:right w:val="none" w:sz="0" w:space="0" w:color="auto"/>
            </w:tcBorders>
          </w:tcPr>
          <w:p w:rsidR="002C1EB6" w:rsidRPr="00FF561D" w:rsidRDefault="002E691E" w:rsidP="005E62FB">
            <w:pPr>
              <w:jc w:val="center"/>
              <w:cnfStyle w:val="000000100000"/>
              <w:rPr>
                <w:rStyle w:val="Wyrnieniedelikatne"/>
                <w:rFonts w:asciiTheme="minorHAnsi" w:hAnsiTheme="minorHAnsi"/>
                <w:b/>
                <w:i w:val="0"/>
                <w:color w:val="auto"/>
                <w:sz w:val="20"/>
                <w:szCs w:val="20"/>
              </w:rPr>
            </w:pPr>
            <w:r w:rsidRPr="00FF561D">
              <w:rPr>
                <w:rStyle w:val="Wyrnieniedelikatne"/>
                <w:rFonts w:asciiTheme="minorHAnsi" w:hAnsiTheme="minorHAnsi"/>
                <w:b/>
                <w:i w:val="0"/>
                <w:color w:val="auto"/>
                <w:sz w:val="20"/>
                <w:szCs w:val="20"/>
              </w:rPr>
              <w:t>100%</w:t>
            </w:r>
          </w:p>
        </w:tc>
        <w:tc>
          <w:tcPr>
            <w:tcW w:w="853" w:type="pct"/>
            <w:tcBorders>
              <w:top w:val="none" w:sz="0" w:space="0" w:color="auto"/>
              <w:left w:val="none" w:sz="0" w:space="0" w:color="auto"/>
              <w:bottom w:val="none" w:sz="0" w:space="0" w:color="auto"/>
              <w:right w:val="none" w:sz="0" w:space="0" w:color="auto"/>
            </w:tcBorders>
          </w:tcPr>
          <w:p w:rsidR="002C1EB6" w:rsidRPr="00FF561D" w:rsidRDefault="00C24330" w:rsidP="005E62FB">
            <w:pPr>
              <w:jc w:val="center"/>
              <w:cnfStyle w:val="000000100000"/>
              <w:rPr>
                <w:rFonts w:asciiTheme="minorHAnsi" w:hAnsiTheme="minorHAnsi"/>
                <w:b/>
                <w:color w:val="auto"/>
                <w:sz w:val="20"/>
                <w:szCs w:val="20"/>
              </w:rPr>
            </w:pPr>
            <w:r>
              <w:rPr>
                <w:rFonts w:asciiTheme="minorHAnsi" w:hAnsiTheme="minorHAnsi"/>
                <w:b/>
                <w:color w:val="auto"/>
                <w:sz w:val="20"/>
                <w:szCs w:val="20"/>
              </w:rPr>
              <w:t>4 869,88</w:t>
            </w:r>
          </w:p>
        </w:tc>
        <w:tc>
          <w:tcPr>
            <w:tcW w:w="854" w:type="pct"/>
            <w:tcBorders>
              <w:top w:val="none" w:sz="0" w:space="0" w:color="auto"/>
              <w:left w:val="none" w:sz="0" w:space="0" w:color="auto"/>
              <w:bottom w:val="none" w:sz="0" w:space="0" w:color="auto"/>
            </w:tcBorders>
          </w:tcPr>
          <w:p w:rsidR="002C1EB6" w:rsidRPr="00FF561D" w:rsidRDefault="002E691E" w:rsidP="005E62FB">
            <w:pPr>
              <w:jc w:val="center"/>
              <w:cnfStyle w:val="000000100000"/>
              <w:rPr>
                <w:rFonts w:asciiTheme="minorHAnsi" w:hAnsiTheme="minorHAnsi"/>
                <w:b/>
                <w:color w:val="auto"/>
                <w:sz w:val="20"/>
                <w:szCs w:val="20"/>
              </w:rPr>
            </w:pPr>
            <w:r w:rsidRPr="00FF561D">
              <w:rPr>
                <w:rFonts w:asciiTheme="minorHAnsi" w:hAnsiTheme="minorHAnsi"/>
                <w:b/>
                <w:color w:val="auto"/>
                <w:sz w:val="20"/>
                <w:szCs w:val="20"/>
              </w:rPr>
              <w:t>100%</w:t>
            </w:r>
          </w:p>
        </w:tc>
      </w:tr>
      <w:tr w:rsidR="002C1EB6" w:rsidRPr="00774974" w:rsidTr="005E62FB">
        <w:tc>
          <w:tcPr>
            <w:cnfStyle w:val="001000000000"/>
            <w:tcW w:w="5000" w:type="pct"/>
            <w:gridSpan w:val="5"/>
            <w:tcBorders>
              <w:left w:val="none" w:sz="0" w:space="0" w:color="auto"/>
              <w:bottom w:val="none" w:sz="0" w:space="0" w:color="auto"/>
              <w:right w:val="none" w:sz="0" w:space="0" w:color="auto"/>
            </w:tcBorders>
            <w:shd w:val="clear" w:color="auto" w:fill="BFBFBF" w:themeFill="background1" w:themeFillShade="BF"/>
            <w:noWrap/>
          </w:tcPr>
          <w:p w:rsidR="002C1EB6" w:rsidRPr="00774974" w:rsidRDefault="002C1EB6" w:rsidP="005E62FB">
            <w:pPr>
              <w:jc w:val="center"/>
              <w:rPr>
                <w:rFonts w:asciiTheme="minorHAnsi" w:eastAsiaTheme="minorEastAsia" w:hAnsiTheme="minorHAnsi"/>
                <w:szCs w:val="23"/>
              </w:rPr>
            </w:pPr>
            <w:r w:rsidRPr="00774974">
              <w:rPr>
                <w:rFonts w:asciiTheme="minorHAnsi" w:eastAsiaTheme="minorEastAsia" w:hAnsiTheme="minorHAnsi"/>
                <w:szCs w:val="23"/>
              </w:rPr>
              <w:t>2014</w:t>
            </w:r>
          </w:p>
        </w:tc>
      </w:tr>
      <w:tr w:rsidR="002C1EB6" w:rsidTr="002C1EB6">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2C1EB6" w:rsidRPr="00774974" w:rsidRDefault="002C1EB6" w:rsidP="005E62FB">
            <w:pPr>
              <w:pStyle w:val="DecimalAligned"/>
              <w:spacing w:line="240" w:lineRule="auto"/>
              <w:rPr>
                <w:rFonts w:asciiTheme="minorHAnsi" w:hAnsiTheme="minorHAnsi"/>
                <w:sz w:val="20"/>
                <w:szCs w:val="20"/>
              </w:rPr>
            </w:pPr>
            <w:r>
              <w:rPr>
                <w:rFonts w:asciiTheme="minorHAnsi" w:hAnsiTheme="minorHAnsi"/>
                <w:sz w:val="20"/>
                <w:szCs w:val="20"/>
              </w:rPr>
              <w:t>Benzyna</w:t>
            </w:r>
          </w:p>
        </w:tc>
        <w:tc>
          <w:tcPr>
            <w:tcW w:w="850" w:type="pct"/>
            <w:tcBorders>
              <w:top w:val="none" w:sz="0" w:space="0" w:color="auto"/>
              <w:left w:val="none" w:sz="0" w:space="0" w:color="auto"/>
              <w:bottom w:val="none" w:sz="0" w:space="0" w:color="auto"/>
              <w:right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6 974,62</w:t>
            </w:r>
          </w:p>
        </w:tc>
        <w:tc>
          <w:tcPr>
            <w:tcW w:w="1003" w:type="pct"/>
            <w:tcBorders>
              <w:top w:val="none" w:sz="0" w:space="0" w:color="auto"/>
              <w:left w:val="none" w:sz="0" w:space="0" w:color="auto"/>
              <w:bottom w:val="none" w:sz="0" w:space="0" w:color="auto"/>
              <w:right w:val="none" w:sz="0" w:space="0" w:color="auto"/>
            </w:tcBorders>
          </w:tcPr>
          <w:p w:rsidR="002C1EB6" w:rsidRPr="00FF561D" w:rsidRDefault="00FF561D" w:rsidP="005E62FB">
            <w:pPr>
              <w:pStyle w:val="DecimalAligned"/>
              <w:tabs>
                <w:tab w:val="clear" w:pos="360"/>
              </w:tabs>
              <w:jc w:val="center"/>
              <w:cnfStyle w:val="000000100000"/>
              <w:rPr>
                <w:rFonts w:asciiTheme="minorHAnsi" w:hAnsiTheme="minorHAnsi"/>
                <w:color w:val="auto"/>
                <w:sz w:val="20"/>
                <w:szCs w:val="20"/>
              </w:rPr>
            </w:pPr>
            <w:r w:rsidRPr="00FF561D">
              <w:rPr>
                <w:rFonts w:asciiTheme="minorHAnsi" w:hAnsiTheme="minorHAnsi"/>
                <w:color w:val="auto"/>
                <w:sz w:val="20"/>
                <w:szCs w:val="20"/>
              </w:rPr>
              <w:t>31,22</w:t>
            </w:r>
            <w:r>
              <w:rPr>
                <w:rFonts w:asciiTheme="minorHAnsi" w:hAnsiTheme="minorHAnsi"/>
                <w:color w:val="auto"/>
                <w:sz w:val="20"/>
                <w:szCs w:val="20"/>
              </w:rPr>
              <w:t>%</w:t>
            </w:r>
          </w:p>
        </w:tc>
        <w:tc>
          <w:tcPr>
            <w:tcW w:w="853" w:type="pct"/>
            <w:tcBorders>
              <w:top w:val="none" w:sz="0" w:space="0" w:color="auto"/>
              <w:left w:val="none" w:sz="0" w:space="0" w:color="auto"/>
              <w:bottom w:val="none" w:sz="0" w:space="0" w:color="auto"/>
              <w:right w:val="none" w:sz="0" w:space="0" w:color="auto"/>
            </w:tcBorders>
          </w:tcPr>
          <w:p w:rsidR="002C1EB6" w:rsidRPr="00FF561D" w:rsidRDefault="00FF561D" w:rsidP="00C24330">
            <w:pPr>
              <w:pStyle w:val="DecimalAligned"/>
              <w:tabs>
                <w:tab w:val="clear" w:pos="360"/>
              </w:tabs>
              <w:jc w:val="center"/>
              <w:cnfStyle w:val="000000100000"/>
              <w:rPr>
                <w:rFonts w:asciiTheme="minorHAnsi" w:hAnsiTheme="minorHAnsi"/>
                <w:color w:val="auto"/>
                <w:sz w:val="20"/>
                <w:szCs w:val="20"/>
              </w:rPr>
            </w:pPr>
            <w:r w:rsidRPr="00FF561D">
              <w:rPr>
                <w:rFonts w:asciiTheme="minorHAnsi" w:hAnsiTheme="minorHAnsi"/>
                <w:color w:val="auto"/>
                <w:sz w:val="20"/>
                <w:szCs w:val="20"/>
              </w:rPr>
              <w:t>1</w:t>
            </w:r>
            <w:r w:rsidR="00C24330">
              <w:rPr>
                <w:rFonts w:asciiTheme="minorHAnsi" w:hAnsiTheme="minorHAnsi"/>
                <w:color w:val="auto"/>
                <w:sz w:val="20"/>
                <w:szCs w:val="20"/>
              </w:rPr>
              <w:t> 722,73</w:t>
            </w:r>
          </w:p>
        </w:tc>
        <w:tc>
          <w:tcPr>
            <w:tcW w:w="854" w:type="pct"/>
            <w:tcBorders>
              <w:top w:val="none" w:sz="0" w:space="0" w:color="auto"/>
              <w:left w:val="none" w:sz="0" w:space="0" w:color="auto"/>
              <w:bottom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30,61</w:t>
            </w:r>
            <w:r w:rsidR="00FF561D">
              <w:rPr>
                <w:rFonts w:asciiTheme="minorHAnsi" w:hAnsiTheme="minorHAnsi"/>
                <w:color w:val="auto"/>
                <w:sz w:val="20"/>
                <w:szCs w:val="20"/>
              </w:rPr>
              <w:t>%</w:t>
            </w:r>
          </w:p>
        </w:tc>
      </w:tr>
      <w:tr w:rsidR="002C1EB6" w:rsidTr="002C1EB6">
        <w:tc>
          <w:tcPr>
            <w:cnfStyle w:val="001000000000"/>
            <w:tcW w:w="1440" w:type="pct"/>
            <w:tcBorders>
              <w:left w:val="none" w:sz="0" w:space="0" w:color="auto"/>
              <w:bottom w:val="none" w:sz="0" w:space="0" w:color="auto"/>
              <w:right w:val="none" w:sz="0" w:space="0" w:color="auto"/>
            </w:tcBorders>
            <w:noWrap/>
          </w:tcPr>
          <w:p w:rsidR="002C1EB6" w:rsidRDefault="002C1EB6" w:rsidP="005E62FB">
            <w:pPr>
              <w:pStyle w:val="DecimalAligned"/>
              <w:spacing w:line="240" w:lineRule="auto"/>
              <w:rPr>
                <w:sz w:val="20"/>
                <w:szCs w:val="20"/>
              </w:rPr>
            </w:pPr>
            <w:r>
              <w:rPr>
                <w:rFonts w:asciiTheme="minorHAnsi" w:hAnsiTheme="minorHAnsi"/>
                <w:sz w:val="20"/>
                <w:szCs w:val="20"/>
              </w:rPr>
              <w:t>Olej napędowy</w:t>
            </w:r>
          </w:p>
        </w:tc>
        <w:tc>
          <w:tcPr>
            <w:tcW w:w="850" w:type="pct"/>
          </w:tcPr>
          <w:p w:rsidR="002C1EB6" w:rsidRPr="00FF561D" w:rsidRDefault="00C24330" w:rsidP="005E62FB">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12 943,85</w:t>
            </w:r>
          </w:p>
        </w:tc>
        <w:tc>
          <w:tcPr>
            <w:tcW w:w="1003" w:type="pct"/>
          </w:tcPr>
          <w:p w:rsidR="002C1EB6" w:rsidRPr="00FF561D" w:rsidRDefault="00FF561D" w:rsidP="005E62FB">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57,93</w:t>
            </w:r>
            <w:r>
              <w:rPr>
                <w:rFonts w:asciiTheme="minorHAnsi" w:hAnsiTheme="minorHAnsi"/>
                <w:sz w:val="20"/>
                <w:szCs w:val="20"/>
              </w:rPr>
              <w:t>%</w:t>
            </w:r>
          </w:p>
        </w:tc>
        <w:tc>
          <w:tcPr>
            <w:tcW w:w="853" w:type="pct"/>
          </w:tcPr>
          <w:p w:rsidR="002C1EB6" w:rsidRPr="00FF561D" w:rsidRDefault="00FF561D" w:rsidP="00C24330">
            <w:pPr>
              <w:pStyle w:val="DecimalAligned"/>
              <w:tabs>
                <w:tab w:val="clear" w:pos="360"/>
              </w:tabs>
              <w:jc w:val="center"/>
              <w:cnfStyle w:val="000000000000"/>
              <w:rPr>
                <w:rFonts w:asciiTheme="minorHAnsi" w:hAnsiTheme="minorHAnsi"/>
                <w:sz w:val="20"/>
                <w:szCs w:val="20"/>
              </w:rPr>
            </w:pPr>
            <w:r w:rsidRPr="00FF561D">
              <w:rPr>
                <w:rFonts w:asciiTheme="minorHAnsi" w:hAnsiTheme="minorHAnsi"/>
                <w:sz w:val="20"/>
                <w:szCs w:val="20"/>
              </w:rPr>
              <w:t>3</w:t>
            </w:r>
            <w:r w:rsidR="00C24330">
              <w:rPr>
                <w:rFonts w:asciiTheme="minorHAnsi" w:hAnsiTheme="minorHAnsi"/>
                <w:sz w:val="20"/>
                <w:szCs w:val="20"/>
              </w:rPr>
              <w:t> 417,18</w:t>
            </w:r>
          </w:p>
        </w:tc>
        <w:tc>
          <w:tcPr>
            <w:tcW w:w="854" w:type="pct"/>
          </w:tcPr>
          <w:p w:rsidR="002C1EB6" w:rsidRPr="00FF561D" w:rsidRDefault="00C24330" w:rsidP="005E62FB">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60,73</w:t>
            </w:r>
            <w:r w:rsidR="00FF561D">
              <w:rPr>
                <w:rFonts w:asciiTheme="minorHAnsi" w:hAnsiTheme="minorHAnsi"/>
                <w:sz w:val="20"/>
                <w:szCs w:val="20"/>
              </w:rPr>
              <w:t>%</w:t>
            </w:r>
          </w:p>
        </w:tc>
      </w:tr>
      <w:tr w:rsidR="002C1EB6" w:rsidTr="005E62FB">
        <w:trPr>
          <w:cnfStyle w:val="000000100000"/>
        </w:trPr>
        <w:tc>
          <w:tcPr>
            <w:cnfStyle w:val="001000000000"/>
            <w:tcW w:w="1440" w:type="pct"/>
            <w:tcBorders>
              <w:top w:val="none" w:sz="0" w:space="0" w:color="auto"/>
              <w:left w:val="none" w:sz="0" w:space="0" w:color="auto"/>
              <w:bottom w:val="none" w:sz="0" w:space="0" w:color="auto"/>
              <w:right w:val="none" w:sz="0" w:space="0" w:color="auto"/>
            </w:tcBorders>
            <w:noWrap/>
          </w:tcPr>
          <w:p w:rsidR="002C1EB6" w:rsidRPr="00774974" w:rsidRDefault="002C1EB6" w:rsidP="005E62FB">
            <w:pPr>
              <w:pStyle w:val="DecimalAligned"/>
              <w:spacing w:line="240" w:lineRule="auto"/>
              <w:rPr>
                <w:rFonts w:asciiTheme="minorHAnsi" w:hAnsiTheme="minorHAnsi"/>
                <w:sz w:val="20"/>
                <w:szCs w:val="20"/>
              </w:rPr>
            </w:pPr>
            <w:r>
              <w:rPr>
                <w:rFonts w:asciiTheme="minorHAnsi" w:hAnsiTheme="minorHAnsi"/>
                <w:sz w:val="20"/>
                <w:szCs w:val="20"/>
              </w:rPr>
              <w:t>Gaz LPG</w:t>
            </w:r>
          </w:p>
        </w:tc>
        <w:tc>
          <w:tcPr>
            <w:tcW w:w="850" w:type="pct"/>
            <w:tcBorders>
              <w:top w:val="none" w:sz="0" w:space="0" w:color="auto"/>
              <w:left w:val="none" w:sz="0" w:space="0" w:color="auto"/>
              <w:bottom w:val="none" w:sz="0" w:space="0" w:color="auto"/>
              <w:right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2 424,54</w:t>
            </w:r>
          </w:p>
        </w:tc>
        <w:tc>
          <w:tcPr>
            <w:tcW w:w="1003" w:type="pct"/>
            <w:tcBorders>
              <w:top w:val="none" w:sz="0" w:space="0" w:color="auto"/>
              <w:left w:val="none" w:sz="0" w:space="0" w:color="auto"/>
              <w:bottom w:val="none" w:sz="0" w:space="0" w:color="auto"/>
              <w:right w:val="none" w:sz="0" w:space="0" w:color="auto"/>
            </w:tcBorders>
          </w:tcPr>
          <w:p w:rsidR="002C1EB6" w:rsidRPr="00FF561D" w:rsidRDefault="00FF561D" w:rsidP="005E62FB">
            <w:pPr>
              <w:pStyle w:val="DecimalAligned"/>
              <w:tabs>
                <w:tab w:val="clear" w:pos="360"/>
              </w:tabs>
              <w:jc w:val="center"/>
              <w:cnfStyle w:val="000000100000"/>
              <w:rPr>
                <w:rFonts w:asciiTheme="minorHAnsi" w:hAnsiTheme="minorHAnsi"/>
                <w:color w:val="auto"/>
                <w:sz w:val="20"/>
                <w:szCs w:val="20"/>
              </w:rPr>
            </w:pPr>
            <w:r w:rsidRPr="00FF561D">
              <w:rPr>
                <w:rFonts w:asciiTheme="minorHAnsi" w:hAnsiTheme="minorHAnsi"/>
                <w:color w:val="auto"/>
                <w:sz w:val="20"/>
                <w:szCs w:val="20"/>
              </w:rPr>
              <w:t>10,85</w:t>
            </w:r>
            <w:r>
              <w:rPr>
                <w:rFonts w:asciiTheme="minorHAnsi" w:hAnsiTheme="minorHAnsi"/>
                <w:color w:val="auto"/>
                <w:sz w:val="20"/>
                <w:szCs w:val="20"/>
              </w:rPr>
              <w:t>%</w:t>
            </w:r>
          </w:p>
        </w:tc>
        <w:tc>
          <w:tcPr>
            <w:tcW w:w="853" w:type="pct"/>
            <w:tcBorders>
              <w:top w:val="none" w:sz="0" w:space="0" w:color="auto"/>
              <w:left w:val="none" w:sz="0" w:space="0" w:color="auto"/>
              <w:bottom w:val="none" w:sz="0" w:space="0" w:color="auto"/>
              <w:right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487,33</w:t>
            </w:r>
          </w:p>
        </w:tc>
        <w:tc>
          <w:tcPr>
            <w:tcW w:w="854" w:type="pct"/>
            <w:tcBorders>
              <w:top w:val="none" w:sz="0" w:space="0" w:color="auto"/>
              <w:left w:val="none" w:sz="0" w:space="0" w:color="auto"/>
              <w:bottom w:val="none" w:sz="0" w:space="0" w:color="auto"/>
            </w:tcBorders>
          </w:tcPr>
          <w:p w:rsidR="002C1EB6" w:rsidRPr="00FF561D" w:rsidRDefault="00C24330" w:rsidP="005E62FB">
            <w:pPr>
              <w:pStyle w:val="DecimalAligned"/>
              <w:tabs>
                <w:tab w:val="clear" w:pos="360"/>
              </w:tabs>
              <w:jc w:val="center"/>
              <w:cnfStyle w:val="000000100000"/>
              <w:rPr>
                <w:rFonts w:asciiTheme="minorHAnsi" w:hAnsiTheme="minorHAnsi"/>
                <w:color w:val="auto"/>
                <w:sz w:val="20"/>
                <w:szCs w:val="20"/>
              </w:rPr>
            </w:pPr>
            <w:r>
              <w:rPr>
                <w:rFonts w:asciiTheme="minorHAnsi" w:hAnsiTheme="minorHAnsi"/>
                <w:color w:val="auto"/>
                <w:sz w:val="20"/>
                <w:szCs w:val="20"/>
              </w:rPr>
              <w:t>8,66</w:t>
            </w:r>
            <w:r w:rsidR="00FF561D">
              <w:rPr>
                <w:rFonts w:asciiTheme="minorHAnsi" w:hAnsiTheme="minorHAnsi"/>
                <w:color w:val="auto"/>
                <w:sz w:val="20"/>
                <w:szCs w:val="20"/>
              </w:rPr>
              <w:t>%</w:t>
            </w:r>
          </w:p>
        </w:tc>
      </w:tr>
      <w:tr w:rsidR="002C1EB6" w:rsidRPr="00934C80" w:rsidTr="005E62FB">
        <w:tc>
          <w:tcPr>
            <w:cnfStyle w:val="001000000000"/>
            <w:tcW w:w="1440" w:type="pct"/>
            <w:tcBorders>
              <w:left w:val="none" w:sz="0" w:space="0" w:color="auto"/>
              <w:bottom w:val="none" w:sz="0" w:space="0" w:color="auto"/>
              <w:right w:val="none" w:sz="0" w:space="0" w:color="auto"/>
            </w:tcBorders>
            <w:noWrap/>
          </w:tcPr>
          <w:p w:rsidR="002C1EB6" w:rsidRPr="00774974" w:rsidRDefault="002C1EB6" w:rsidP="005E62FB">
            <w:pPr>
              <w:jc w:val="left"/>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SUMA</w:t>
            </w:r>
          </w:p>
        </w:tc>
        <w:tc>
          <w:tcPr>
            <w:tcW w:w="850" w:type="pct"/>
          </w:tcPr>
          <w:p w:rsidR="002C1EB6" w:rsidRPr="00FF561D" w:rsidRDefault="00C24330" w:rsidP="005E62FB">
            <w:pPr>
              <w:jc w:val="center"/>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22 343,00</w:t>
            </w:r>
          </w:p>
        </w:tc>
        <w:tc>
          <w:tcPr>
            <w:tcW w:w="1003" w:type="pct"/>
          </w:tcPr>
          <w:p w:rsidR="002C1EB6" w:rsidRPr="00FF561D" w:rsidRDefault="00FF561D" w:rsidP="005E62FB">
            <w:pPr>
              <w:jc w:val="center"/>
              <w:cnfStyle w:val="000000000000"/>
              <w:rPr>
                <w:rStyle w:val="Wyrnieniedelikatne"/>
                <w:rFonts w:asciiTheme="minorHAnsi" w:hAnsiTheme="minorHAnsi"/>
                <w:b/>
                <w:i w:val="0"/>
                <w:color w:val="auto"/>
                <w:sz w:val="20"/>
                <w:szCs w:val="20"/>
              </w:rPr>
            </w:pPr>
            <w:r w:rsidRPr="00FF561D">
              <w:rPr>
                <w:rStyle w:val="Wyrnieniedelikatne"/>
                <w:rFonts w:asciiTheme="minorHAnsi" w:hAnsiTheme="minorHAnsi"/>
                <w:b/>
                <w:i w:val="0"/>
                <w:color w:val="auto"/>
                <w:sz w:val="20"/>
                <w:szCs w:val="20"/>
              </w:rPr>
              <w:t>100</w:t>
            </w:r>
            <w:r>
              <w:rPr>
                <w:rStyle w:val="Wyrnieniedelikatne"/>
                <w:rFonts w:asciiTheme="minorHAnsi" w:hAnsiTheme="minorHAnsi"/>
                <w:b/>
                <w:i w:val="0"/>
                <w:color w:val="auto"/>
                <w:sz w:val="20"/>
                <w:szCs w:val="20"/>
              </w:rPr>
              <w:t>%</w:t>
            </w:r>
          </w:p>
        </w:tc>
        <w:tc>
          <w:tcPr>
            <w:tcW w:w="853" w:type="pct"/>
          </w:tcPr>
          <w:p w:rsidR="002C1EB6" w:rsidRPr="00FF561D" w:rsidRDefault="00FF561D" w:rsidP="005E62FB">
            <w:pPr>
              <w:jc w:val="center"/>
              <w:cnfStyle w:val="000000000000"/>
              <w:rPr>
                <w:rFonts w:asciiTheme="minorHAnsi" w:hAnsiTheme="minorHAnsi"/>
                <w:b/>
                <w:color w:val="auto"/>
                <w:sz w:val="20"/>
                <w:szCs w:val="20"/>
              </w:rPr>
            </w:pPr>
            <w:r w:rsidRPr="00FF561D">
              <w:rPr>
                <w:rFonts w:asciiTheme="minorHAnsi" w:hAnsiTheme="minorHAnsi"/>
                <w:b/>
                <w:color w:val="auto"/>
                <w:sz w:val="20"/>
                <w:szCs w:val="20"/>
              </w:rPr>
              <w:t>6 348,26</w:t>
            </w:r>
          </w:p>
        </w:tc>
        <w:tc>
          <w:tcPr>
            <w:tcW w:w="854" w:type="pct"/>
          </w:tcPr>
          <w:p w:rsidR="002C1EB6" w:rsidRPr="00FF561D" w:rsidRDefault="00FF561D" w:rsidP="005E62FB">
            <w:pPr>
              <w:jc w:val="center"/>
              <w:cnfStyle w:val="000000000000"/>
              <w:rPr>
                <w:rFonts w:asciiTheme="minorHAnsi" w:hAnsiTheme="minorHAnsi"/>
                <w:b/>
                <w:color w:val="auto"/>
                <w:sz w:val="20"/>
                <w:szCs w:val="20"/>
              </w:rPr>
            </w:pPr>
            <w:r w:rsidRPr="00FF561D">
              <w:rPr>
                <w:rFonts w:asciiTheme="minorHAnsi" w:hAnsiTheme="minorHAnsi"/>
                <w:b/>
                <w:color w:val="auto"/>
                <w:sz w:val="20"/>
                <w:szCs w:val="20"/>
              </w:rPr>
              <w:t>100</w:t>
            </w:r>
            <w:r>
              <w:rPr>
                <w:rFonts w:asciiTheme="minorHAnsi" w:hAnsiTheme="minorHAnsi"/>
                <w:b/>
                <w:color w:val="auto"/>
                <w:sz w:val="20"/>
                <w:szCs w:val="20"/>
              </w:rPr>
              <w:t>%</w:t>
            </w:r>
          </w:p>
        </w:tc>
      </w:tr>
    </w:tbl>
    <w:p w:rsidR="00341EEC" w:rsidRDefault="003878C8" w:rsidP="004020D1">
      <w:pPr>
        <w:rPr>
          <w:sz w:val="20"/>
          <w:szCs w:val="20"/>
        </w:rPr>
      </w:pPr>
      <w:r w:rsidRPr="003878C8">
        <w:rPr>
          <w:sz w:val="20"/>
          <w:szCs w:val="20"/>
        </w:rPr>
        <w:t>Źródło: Opracowanie własne na podstawie danych ankietowych</w:t>
      </w:r>
    </w:p>
    <w:p w:rsidR="003E6447" w:rsidRDefault="009B2E81" w:rsidP="009B2E81">
      <w:r>
        <w:lastRenderedPageBreak/>
        <w:t xml:space="preserve">Głównym nośnikiem energii w transporcie jest olej napędowy, którego procentowy udział </w:t>
      </w:r>
      <w:r w:rsidR="003E6447">
        <w:t>wśród p</w:t>
      </w:r>
      <w:r w:rsidR="003D114A">
        <w:t>ozostałych nośników wynosi 5</w:t>
      </w:r>
      <w:r w:rsidR="00C24330">
        <w:t>6</w:t>
      </w:r>
      <w:r w:rsidR="003D114A">
        <w:t>,</w:t>
      </w:r>
      <w:r w:rsidR="00C24330">
        <w:t>90</w:t>
      </w:r>
      <w:r w:rsidR="003E6447">
        <w:t>%, natomiast benzyna stanowi</w:t>
      </w:r>
      <w:r w:rsidR="00295867">
        <w:t xml:space="preserve"> 32,12%. Procentowy udzia</w:t>
      </w:r>
      <w:r w:rsidR="003D114A">
        <w:t>ł w </w:t>
      </w:r>
      <w:r w:rsidR="00295867">
        <w:t>wielkości emisji oleju napędowego</w:t>
      </w:r>
      <w:r>
        <w:t xml:space="preserve"> wynosi </w:t>
      </w:r>
      <w:r w:rsidR="00F20489">
        <w:t>59,70</w:t>
      </w:r>
      <w:r>
        <w:t>%. Znaczny udział</w:t>
      </w:r>
      <w:r w:rsidR="003D114A">
        <w:t xml:space="preserve"> w e</w:t>
      </w:r>
      <w:r w:rsidR="00E612C6">
        <w:t xml:space="preserve">misji – wynoszący </w:t>
      </w:r>
      <w:r w:rsidR="00F20489">
        <w:t>31,53</w:t>
      </w:r>
      <w:r w:rsidR="00E612C6">
        <w:t xml:space="preserve">% – ma </w:t>
      </w:r>
      <w:r>
        <w:t xml:space="preserve"> również benzyna</w:t>
      </w:r>
      <w:r w:rsidR="00E612C6">
        <w:t xml:space="preserve">. </w:t>
      </w:r>
      <w:r w:rsidR="00295867">
        <w:t>Udział LPG w </w:t>
      </w:r>
      <w:r w:rsidR="003E6447">
        <w:t>bilansie paliw jest stosunkowo niewielki i wynosi</w:t>
      </w:r>
      <w:r w:rsidR="006229AA">
        <w:t xml:space="preserve"> 8,77% udziału w wielkości emisji CO</w:t>
      </w:r>
      <w:r w:rsidR="006229AA" w:rsidRPr="002C1EB6">
        <w:rPr>
          <w:vertAlign w:val="subscript"/>
        </w:rPr>
        <w:t>2</w:t>
      </w:r>
      <w:r w:rsidR="006229AA">
        <w:t>.</w:t>
      </w:r>
    </w:p>
    <w:p w:rsidR="003D114A" w:rsidRDefault="00C24330" w:rsidP="009B2E81">
      <w:r>
        <w:rPr>
          <w:noProof/>
          <w:lang w:eastAsia="pl-PL"/>
        </w:rPr>
        <w:drawing>
          <wp:inline distT="0" distB="0" distL="0" distR="0">
            <wp:extent cx="5486400" cy="3200400"/>
            <wp:effectExtent l="0" t="0" r="19050" b="19050"/>
            <wp:docPr id="5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E6447" w:rsidRPr="00DE1C6B" w:rsidRDefault="004A1BA0" w:rsidP="004A1BA0">
      <w:pPr>
        <w:pStyle w:val="Legenda"/>
        <w:ind w:firstLine="0"/>
        <w:rPr>
          <w:color w:val="auto"/>
        </w:rPr>
      </w:pPr>
      <w:bookmarkStart w:id="88" w:name="_Toc429726527"/>
      <w:r w:rsidRPr="00DE1C6B">
        <w:rPr>
          <w:color w:val="auto"/>
        </w:rPr>
        <w:t xml:space="preserve">Wykres </w:t>
      </w:r>
      <w:r w:rsidR="00844CE4" w:rsidRPr="00DE1C6B">
        <w:rPr>
          <w:color w:val="auto"/>
        </w:rPr>
        <w:fldChar w:fldCharType="begin"/>
      </w:r>
      <w:r w:rsidR="001D1136" w:rsidRPr="00DE1C6B">
        <w:rPr>
          <w:color w:val="auto"/>
        </w:rPr>
        <w:instrText xml:space="preserve"> SEQ Wykres \* ARABIC </w:instrText>
      </w:r>
      <w:r w:rsidR="00844CE4" w:rsidRPr="00DE1C6B">
        <w:rPr>
          <w:color w:val="auto"/>
        </w:rPr>
        <w:fldChar w:fldCharType="separate"/>
      </w:r>
      <w:r w:rsidR="005C42FD">
        <w:rPr>
          <w:noProof/>
          <w:color w:val="auto"/>
        </w:rPr>
        <w:t>26</w:t>
      </w:r>
      <w:r w:rsidR="00844CE4" w:rsidRPr="00DE1C6B">
        <w:rPr>
          <w:color w:val="auto"/>
        </w:rPr>
        <w:fldChar w:fldCharType="end"/>
      </w:r>
      <w:r w:rsidR="008A4DDD" w:rsidRPr="00DE1C6B">
        <w:rPr>
          <w:color w:val="auto"/>
        </w:rPr>
        <w:t xml:space="preserve"> Procentowy udział poszczególnych nośników energii</w:t>
      </w:r>
      <w:bookmarkEnd w:id="88"/>
    </w:p>
    <w:p w:rsidR="00B93D87" w:rsidRDefault="00B93D87" w:rsidP="00B93D87">
      <w:pPr>
        <w:rPr>
          <w:sz w:val="20"/>
          <w:szCs w:val="20"/>
        </w:rPr>
      </w:pPr>
      <w:r w:rsidRPr="00C35AEC">
        <w:rPr>
          <w:sz w:val="20"/>
          <w:szCs w:val="20"/>
        </w:rPr>
        <w:t>Źródło: Opracowanie własne na podstawie badań ankietowych</w:t>
      </w:r>
    </w:p>
    <w:p w:rsidR="003E6447" w:rsidRPr="006229AA" w:rsidRDefault="003E6447" w:rsidP="009B2E81">
      <w:r>
        <w:t>W transporcie drogowym na</w:t>
      </w:r>
      <w:r w:rsidR="00AD4662">
        <w:t xml:space="preserve"> </w:t>
      </w:r>
      <w:r>
        <w:t xml:space="preserve">terenie gminy nie stosuje się energii elektrycznej. </w:t>
      </w:r>
    </w:p>
    <w:p w:rsidR="00B93D87" w:rsidRDefault="006229AA" w:rsidP="00B93D87">
      <w:r>
        <w:t xml:space="preserve">Na wykresie </w:t>
      </w:r>
      <w:r w:rsidR="008A4DDD">
        <w:t>26</w:t>
      </w:r>
      <w:r w:rsidR="00295867">
        <w:t xml:space="preserve"> oraz </w:t>
      </w:r>
      <w:r w:rsidR="008A4DDD">
        <w:t>27</w:t>
      </w:r>
      <w:r>
        <w:t xml:space="preserve"> przedstawiony został procentowy udział wielkości emisji dla poszczególnych </w:t>
      </w:r>
      <w:r w:rsidR="00295867">
        <w:t xml:space="preserve">źródeł oraz udział poszczególnych nośników energii. </w:t>
      </w:r>
    </w:p>
    <w:p w:rsidR="00C24330" w:rsidRDefault="00C24330" w:rsidP="00B93D87">
      <w:r>
        <w:rPr>
          <w:noProof/>
          <w:lang w:eastAsia="pl-PL"/>
        </w:rPr>
        <w:lastRenderedPageBreak/>
        <w:drawing>
          <wp:inline distT="0" distB="0" distL="0" distR="0">
            <wp:extent cx="5486400" cy="3200400"/>
            <wp:effectExtent l="0" t="0" r="19050" b="19050"/>
            <wp:docPr id="58"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E612C6" w:rsidRPr="00DE1C6B" w:rsidRDefault="00C35AEC" w:rsidP="00C35AEC">
      <w:pPr>
        <w:pStyle w:val="Legenda"/>
        <w:ind w:firstLine="0"/>
        <w:rPr>
          <w:rFonts w:asciiTheme="minorHAnsi" w:hAnsiTheme="minorHAnsi"/>
          <w:color w:val="auto"/>
        </w:rPr>
      </w:pPr>
      <w:bookmarkStart w:id="89" w:name="_Toc429726528"/>
      <w:r w:rsidRPr="00DE1C6B">
        <w:rPr>
          <w:rFonts w:asciiTheme="minorHAnsi" w:hAnsiTheme="minorHAnsi"/>
          <w:color w:val="auto"/>
        </w:rPr>
        <w:t xml:space="preserve">Wykres </w:t>
      </w:r>
      <w:r w:rsidR="00844CE4" w:rsidRPr="00DE1C6B">
        <w:rPr>
          <w:rFonts w:asciiTheme="minorHAnsi" w:hAnsiTheme="minorHAnsi"/>
          <w:color w:val="auto"/>
        </w:rPr>
        <w:fldChar w:fldCharType="begin"/>
      </w:r>
      <w:r w:rsidR="001D1136" w:rsidRPr="00DE1C6B">
        <w:rPr>
          <w:rFonts w:asciiTheme="minorHAnsi" w:hAnsiTheme="minorHAnsi"/>
          <w:color w:val="auto"/>
        </w:rPr>
        <w:instrText xml:space="preserve"> SEQ Wykres \* ARABIC </w:instrText>
      </w:r>
      <w:r w:rsidR="00844CE4" w:rsidRPr="00DE1C6B">
        <w:rPr>
          <w:rFonts w:asciiTheme="minorHAnsi" w:hAnsiTheme="minorHAnsi"/>
          <w:color w:val="auto"/>
        </w:rPr>
        <w:fldChar w:fldCharType="separate"/>
      </w:r>
      <w:r w:rsidR="005C42FD">
        <w:rPr>
          <w:rFonts w:asciiTheme="minorHAnsi" w:hAnsiTheme="minorHAnsi"/>
          <w:noProof/>
          <w:color w:val="auto"/>
        </w:rPr>
        <w:t>27</w:t>
      </w:r>
      <w:r w:rsidR="00844CE4" w:rsidRPr="00DE1C6B">
        <w:rPr>
          <w:rFonts w:asciiTheme="minorHAnsi" w:hAnsiTheme="minorHAnsi"/>
          <w:color w:val="auto"/>
        </w:rPr>
        <w:fldChar w:fldCharType="end"/>
      </w:r>
      <w:r w:rsidRPr="00DE1C6B">
        <w:rPr>
          <w:rFonts w:asciiTheme="minorHAnsi" w:hAnsiTheme="minorHAnsi"/>
          <w:color w:val="auto"/>
        </w:rPr>
        <w:t xml:space="preserve"> Procentowy udział wielkości emisji CO2 w sektorze transportu</w:t>
      </w:r>
      <w:bookmarkEnd w:id="89"/>
    </w:p>
    <w:p w:rsidR="00C35AEC" w:rsidRDefault="00C35AEC" w:rsidP="00C35AEC">
      <w:pPr>
        <w:rPr>
          <w:sz w:val="20"/>
          <w:szCs w:val="20"/>
        </w:rPr>
      </w:pPr>
      <w:r w:rsidRPr="00C35AEC">
        <w:rPr>
          <w:sz w:val="20"/>
          <w:szCs w:val="20"/>
        </w:rPr>
        <w:t>Źródło: Opracowanie własne na podstawie badań ankietowych</w:t>
      </w:r>
    </w:p>
    <w:p w:rsidR="008A4DDD" w:rsidRPr="000C1218" w:rsidRDefault="008A4DDD" w:rsidP="000C1218">
      <w:pPr>
        <w:spacing w:line="240" w:lineRule="auto"/>
        <w:rPr>
          <w:sz w:val="16"/>
          <w:szCs w:val="16"/>
        </w:rPr>
      </w:pPr>
    </w:p>
    <w:p w:rsidR="00C35AEC" w:rsidRDefault="000117A8" w:rsidP="00A10D06">
      <w:pPr>
        <w:pStyle w:val="Nagwek2"/>
        <w:numPr>
          <w:ilvl w:val="1"/>
          <w:numId w:val="1"/>
        </w:numPr>
      </w:pPr>
      <w:bookmarkStart w:id="90" w:name="_Toc438118394"/>
      <w:r>
        <w:t xml:space="preserve"> </w:t>
      </w:r>
      <w:r w:rsidR="0063785F">
        <w:t>Bazowa inwentaryzacja emisji CO</w:t>
      </w:r>
      <w:r w:rsidR="0063785F" w:rsidRPr="0063785F">
        <w:rPr>
          <w:vertAlign w:val="subscript"/>
        </w:rPr>
        <w:t>2</w:t>
      </w:r>
      <w:r w:rsidR="0063785F">
        <w:t xml:space="preserve"> – prognoza</w:t>
      </w:r>
      <w:bookmarkEnd w:id="90"/>
    </w:p>
    <w:p w:rsidR="00C35AEC" w:rsidRPr="000C1218" w:rsidRDefault="00C35AEC" w:rsidP="00F20489">
      <w:pPr>
        <w:rPr>
          <w:sz w:val="16"/>
          <w:szCs w:val="16"/>
        </w:rPr>
      </w:pPr>
    </w:p>
    <w:p w:rsidR="005E62FB" w:rsidRPr="005E62FB" w:rsidRDefault="005E62FB" w:rsidP="005E62FB">
      <w:r w:rsidRPr="005E62FB">
        <w:t xml:space="preserve">Bazowa inwentaryzacja obejmuje obszar całej </w:t>
      </w:r>
      <w:r>
        <w:t>gminy Herby</w:t>
      </w:r>
      <w:r w:rsidRPr="005E62FB">
        <w:t>. Sektor przemysłowy został objęty inwentaryzacją, natomiast sama emisja związana ze zużyc</w:t>
      </w:r>
      <w:r>
        <w:t>iem energii została wyłączona z </w:t>
      </w:r>
      <w:r w:rsidRPr="005E62FB">
        <w:t>obliczeń redukcji emisji CO2, co jest zgodne z metodologią SEAP, która mówi</w:t>
      </w:r>
      <w:r>
        <w:t>,</w:t>
      </w:r>
      <w:r w:rsidRPr="005E62FB">
        <w:t xml:space="preserve"> że należy uwzględnić sektor przemysłowy, jeżeli działania w tym sektorze zostaną uwzględnione. </w:t>
      </w:r>
    </w:p>
    <w:p w:rsidR="005E62FB" w:rsidRPr="005E62FB" w:rsidRDefault="005E62FB" w:rsidP="005E62FB">
      <w:r w:rsidRPr="005E62FB">
        <w:t>Obliczenie emisji zostało wykonane przy pomocy wiedzy specjalistycznej oraz arkuszy kalkulacyjnych. W obliczeniach posługiwano się wartością CO</w:t>
      </w:r>
      <w:r w:rsidRPr="005E62FB">
        <w:rPr>
          <w:vertAlign w:val="subscript"/>
        </w:rPr>
        <w:t>2</w:t>
      </w:r>
      <w:r w:rsidRPr="005E62FB">
        <w:t xml:space="preserve"> bez uwzględniania emisji gazów cieplarnianych CH4 oraz N</w:t>
      </w:r>
      <w:r w:rsidRPr="00E218E1">
        <w:rPr>
          <w:vertAlign w:val="subscript"/>
        </w:rPr>
        <w:t>2</w:t>
      </w:r>
      <w:r w:rsidRPr="005E62FB">
        <w:t>O, które w</w:t>
      </w:r>
      <w:r>
        <w:t>edłu</w:t>
      </w:r>
      <w:r w:rsidRPr="005E62FB">
        <w:t xml:space="preserve">g wytycznych zamieszczonych w poradniku SEAP nie są wymagane do obliczeń. </w:t>
      </w:r>
      <w:r>
        <w:t>Gmina Herby</w:t>
      </w:r>
      <w:r w:rsidRPr="005E62FB">
        <w:t xml:space="preserve"> nie posiada składowiska w związku z tym nie występuje emisja z tego sektora. </w:t>
      </w:r>
    </w:p>
    <w:p w:rsidR="005E62FB" w:rsidRDefault="005E62FB" w:rsidP="005E62FB">
      <w:r w:rsidRPr="005E62FB">
        <w:t>Ponadto emisja CO</w:t>
      </w:r>
      <w:r w:rsidRPr="00E218E1">
        <w:rPr>
          <w:vertAlign w:val="subscript"/>
        </w:rPr>
        <w:t>2</w:t>
      </w:r>
      <w:r w:rsidRPr="005E62FB">
        <w:t xml:space="preserve"> ze spalania biomasy czy </w:t>
      </w:r>
      <w:proofErr w:type="spellStart"/>
      <w:r w:rsidRPr="005E62FB">
        <w:t>biopaliw</w:t>
      </w:r>
      <w:proofErr w:type="spellEnd"/>
      <w:r w:rsidRPr="005E62FB">
        <w:t xml:space="preserve"> oraz emisja zużywanej tzw. „zielonej energii elektrycznej” jest przyjmowana jako wartość zerowa. Przyjmuje się</w:t>
      </w:r>
      <w:r>
        <w:t>,</w:t>
      </w:r>
      <w:r w:rsidRPr="005E62FB">
        <w:t xml:space="preserve"> że biomasa spalania na terenie obszaru gminy pochodzi w całości z obszaru gminy</w:t>
      </w:r>
      <w:r>
        <w:t xml:space="preserve"> Herby</w:t>
      </w:r>
      <w:r w:rsidRPr="005E62FB">
        <w:t xml:space="preserve">. </w:t>
      </w:r>
    </w:p>
    <w:p w:rsidR="005E62FB" w:rsidRDefault="005E62FB" w:rsidP="005E62FB">
      <w:r w:rsidRPr="005E62FB">
        <w:lastRenderedPageBreak/>
        <w:t>W niniejszym rozdziale podsumowano informacje o zużyciu en</w:t>
      </w:r>
      <w:r>
        <w:t>ergii i związanej z tym emisji d</w:t>
      </w:r>
      <w:r w:rsidRPr="005E62FB">
        <w:t xml:space="preserve">wutlenku węgla w poszczególnych sektorach, grupach użytkowników energii w roku 2009. </w:t>
      </w:r>
    </w:p>
    <w:p w:rsidR="004759D9" w:rsidRDefault="004759D9" w:rsidP="005E62FB">
      <w:r>
        <w:t xml:space="preserve">Łączne zużycie energii końcowej w gminie Herby w roku 2009 wyniosło </w:t>
      </w:r>
      <w:r w:rsidR="008B09D2">
        <w:t xml:space="preserve">165 896,75 </w:t>
      </w:r>
      <w:proofErr w:type="spellStart"/>
      <w:r w:rsidR="008B09D2">
        <w:t>MWh</w:t>
      </w:r>
      <w:proofErr w:type="spellEnd"/>
      <w:r w:rsidR="008B09D2">
        <w:t>/rok</w:t>
      </w:r>
      <w:r>
        <w:t xml:space="preserve">. Poniżej w tabeli przedstawiono zużycie energii w latach 2009 i 2014 w podziale na poszczególne sektory odbiorców. </w:t>
      </w:r>
    </w:p>
    <w:p w:rsidR="004759D9" w:rsidRDefault="00EB0E26" w:rsidP="005E62FB">
      <w:r>
        <w:t xml:space="preserve">Emisje z terenu gminy w 2014 roku w porównaniu z 2009 rokiem zmalały o </w:t>
      </w:r>
      <w:r w:rsidR="008B09D2">
        <w:t>6 302,81</w:t>
      </w:r>
      <w:r>
        <w:t xml:space="preserve"> MgCO2/rok. W znacznym stopniu emisje zmalały w sektorze budownictwa jedno- i wielorodzinnego</w:t>
      </w:r>
      <w:r w:rsidR="008B09D2">
        <w:t>, budynków użyteczności publicznej</w:t>
      </w:r>
      <w:r>
        <w:t xml:space="preserve"> oraz oświetlenia ulicznego. Zauważalny wzrost emisji można odnotowa</w:t>
      </w:r>
      <w:r w:rsidR="008B09D2">
        <w:t>ć w sektorze transportu.</w:t>
      </w:r>
    </w:p>
    <w:p w:rsidR="004759D9" w:rsidRPr="000316EE" w:rsidRDefault="004759D9" w:rsidP="004759D9">
      <w:pPr>
        <w:pStyle w:val="Legenda"/>
        <w:keepNext/>
        <w:ind w:firstLine="0"/>
        <w:rPr>
          <w:color w:val="auto"/>
        </w:rPr>
      </w:pPr>
      <w:bookmarkStart w:id="91" w:name="_Toc436586233"/>
      <w:r w:rsidRPr="000316EE">
        <w:rPr>
          <w:color w:val="auto"/>
        </w:rPr>
        <w:t xml:space="preserve">Tabela </w:t>
      </w:r>
      <w:r w:rsidR="00844CE4">
        <w:rPr>
          <w:color w:val="auto"/>
        </w:rPr>
        <w:fldChar w:fldCharType="begin"/>
      </w:r>
      <w:r w:rsidR="00387EC7">
        <w:rPr>
          <w:color w:val="auto"/>
        </w:rPr>
        <w:instrText xml:space="preserve"> SEQ Tabela \* ARABIC </w:instrText>
      </w:r>
      <w:r w:rsidR="00844CE4">
        <w:rPr>
          <w:color w:val="auto"/>
        </w:rPr>
        <w:fldChar w:fldCharType="separate"/>
      </w:r>
      <w:r w:rsidR="005C42FD">
        <w:rPr>
          <w:noProof/>
          <w:color w:val="auto"/>
        </w:rPr>
        <w:t>12</w:t>
      </w:r>
      <w:r w:rsidR="00844CE4">
        <w:rPr>
          <w:color w:val="auto"/>
        </w:rPr>
        <w:fldChar w:fldCharType="end"/>
      </w:r>
      <w:r w:rsidRPr="000316EE">
        <w:rPr>
          <w:color w:val="auto"/>
        </w:rPr>
        <w:t xml:space="preserve"> Zużycie energii na poszczególne nośniki energii i roczna emisja CO2 w poszczególnych sektorach odbiorców</w:t>
      </w:r>
      <w:bookmarkEnd w:id="91"/>
    </w:p>
    <w:tbl>
      <w:tblPr>
        <w:tblStyle w:val="rednialista2akcent1"/>
        <w:tblW w:w="5374" w:type="pct"/>
        <w:tblLook w:val="04A0"/>
      </w:tblPr>
      <w:tblGrid>
        <w:gridCol w:w="2805"/>
        <w:gridCol w:w="1795"/>
        <w:gridCol w:w="1795"/>
        <w:gridCol w:w="1795"/>
        <w:gridCol w:w="1793"/>
      </w:tblGrid>
      <w:tr w:rsidR="004759D9" w:rsidRPr="00F57FF8" w:rsidTr="002535CA">
        <w:trPr>
          <w:cnfStyle w:val="100000000000"/>
        </w:trPr>
        <w:tc>
          <w:tcPr>
            <w:cnfStyle w:val="001000000100"/>
            <w:tcW w:w="1405" w:type="pct"/>
            <w:tcBorders>
              <w:top w:val="none" w:sz="0" w:space="0" w:color="auto"/>
              <w:left w:val="none" w:sz="0" w:space="0" w:color="auto"/>
              <w:bottom w:val="none" w:sz="0" w:space="0" w:color="auto"/>
              <w:right w:val="none" w:sz="0" w:space="0" w:color="auto"/>
            </w:tcBorders>
            <w:noWrap/>
            <w:vAlign w:val="center"/>
          </w:tcPr>
          <w:p w:rsidR="004759D9" w:rsidRPr="00F57FF8" w:rsidRDefault="004759D9" w:rsidP="00AE1D3B">
            <w:pPr>
              <w:spacing w:line="240" w:lineRule="auto"/>
              <w:jc w:val="left"/>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Źródło emisji</w:t>
            </w:r>
          </w:p>
        </w:tc>
        <w:tc>
          <w:tcPr>
            <w:tcW w:w="899" w:type="pct"/>
            <w:tcBorders>
              <w:top w:val="none" w:sz="0" w:space="0" w:color="auto"/>
              <w:left w:val="none" w:sz="0" w:space="0" w:color="auto"/>
              <w:bottom w:val="none" w:sz="0" w:space="0" w:color="auto"/>
              <w:right w:val="none" w:sz="0" w:space="0" w:color="auto"/>
            </w:tcBorders>
            <w:vAlign w:val="center"/>
          </w:tcPr>
          <w:p w:rsidR="004759D9" w:rsidRPr="00F57FF8" w:rsidRDefault="004759D9" w:rsidP="00AE1D3B">
            <w:pPr>
              <w:spacing w:line="240" w:lineRule="auto"/>
              <w:jc w:val="left"/>
              <w:cnfStyle w:val="100000000000"/>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 xml:space="preserve">Całkowita energia </w:t>
            </w:r>
            <w:proofErr w:type="spellStart"/>
            <w:r w:rsidRPr="00F57FF8">
              <w:rPr>
                <w:rFonts w:asciiTheme="minorHAnsi" w:eastAsiaTheme="minorEastAsia" w:hAnsiTheme="minorHAnsi" w:cstheme="minorBidi"/>
                <w:color w:val="auto"/>
                <w:sz w:val="20"/>
                <w:szCs w:val="20"/>
              </w:rPr>
              <w:t>MWh</w:t>
            </w:r>
            <w:proofErr w:type="spellEnd"/>
            <w:r w:rsidRPr="00F57FF8">
              <w:rPr>
                <w:rFonts w:asciiTheme="minorHAnsi" w:eastAsiaTheme="minorEastAsia" w:hAnsiTheme="minorHAnsi" w:cstheme="minorBidi"/>
                <w:color w:val="auto"/>
                <w:sz w:val="20"/>
                <w:szCs w:val="20"/>
              </w:rPr>
              <w:t>/rok</w:t>
            </w:r>
          </w:p>
        </w:tc>
        <w:tc>
          <w:tcPr>
            <w:tcW w:w="899" w:type="pct"/>
            <w:tcBorders>
              <w:top w:val="none" w:sz="0" w:space="0" w:color="auto"/>
              <w:left w:val="none" w:sz="0" w:space="0" w:color="auto"/>
              <w:bottom w:val="none" w:sz="0" w:space="0" w:color="auto"/>
              <w:right w:val="none" w:sz="0" w:space="0" w:color="auto"/>
            </w:tcBorders>
            <w:vAlign w:val="center"/>
          </w:tcPr>
          <w:p w:rsidR="004759D9" w:rsidRPr="00F57FF8" w:rsidRDefault="004759D9" w:rsidP="00AE1D3B">
            <w:pPr>
              <w:spacing w:line="240" w:lineRule="auto"/>
              <w:jc w:val="left"/>
              <w:cnfStyle w:val="100000000000"/>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Procentowy udział poszczególnych nośników energii</w:t>
            </w:r>
          </w:p>
        </w:tc>
        <w:tc>
          <w:tcPr>
            <w:tcW w:w="899" w:type="pct"/>
            <w:tcBorders>
              <w:top w:val="none" w:sz="0" w:space="0" w:color="auto"/>
              <w:left w:val="none" w:sz="0" w:space="0" w:color="auto"/>
              <w:bottom w:val="none" w:sz="0" w:space="0" w:color="auto"/>
              <w:right w:val="none" w:sz="0" w:space="0" w:color="auto"/>
            </w:tcBorders>
            <w:vAlign w:val="center"/>
          </w:tcPr>
          <w:p w:rsidR="004759D9" w:rsidRPr="00F57FF8" w:rsidRDefault="004759D9" w:rsidP="00AE1D3B">
            <w:pPr>
              <w:spacing w:line="240" w:lineRule="auto"/>
              <w:jc w:val="left"/>
              <w:cnfStyle w:val="100000000000"/>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Całkowita emisja MgCO2/rok</w:t>
            </w:r>
          </w:p>
        </w:tc>
        <w:tc>
          <w:tcPr>
            <w:tcW w:w="898" w:type="pct"/>
            <w:tcBorders>
              <w:top w:val="none" w:sz="0" w:space="0" w:color="auto"/>
              <w:left w:val="none" w:sz="0" w:space="0" w:color="auto"/>
              <w:bottom w:val="none" w:sz="0" w:space="0" w:color="auto"/>
              <w:right w:val="none" w:sz="0" w:space="0" w:color="auto"/>
            </w:tcBorders>
            <w:vAlign w:val="center"/>
          </w:tcPr>
          <w:p w:rsidR="004759D9" w:rsidRPr="00F57FF8" w:rsidRDefault="004759D9" w:rsidP="00AE1D3B">
            <w:pPr>
              <w:spacing w:line="240" w:lineRule="auto"/>
              <w:jc w:val="left"/>
              <w:cnfStyle w:val="100000000000"/>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Procentowy udział wielkości emisji CO2</w:t>
            </w:r>
          </w:p>
        </w:tc>
      </w:tr>
      <w:tr w:rsidR="004759D9" w:rsidRPr="00F57FF8" w:rsidTr="004759D9">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4759D9" w:rsidRPr="00F57FF8" w:rsidRDefault="004759D9" w:rsidP="00AE1D3B">
            <w:pPr>
              <w:jc w:val="center"/>
              <w:rPr>
                <w:rFonts w:asciiTheme="minorHAnsi" w:eastAsiaTheme="minorEastAsia" w:hAnsiTheme="minorHAnsi" w:cstheme="minorBidi"/>
                <w:color w:val="auto"/>
                <w:sz w:val="20"/>
                <w:szCs w:val="20"/>
              </w:rPr>
            </w:pPr>
            <w:r w:rsidRPr="00F57FF8">
              <w:rPr>
                <w:rFonts w:asciiTheme="minorHAnsi" w:eastAsiaTheme="minorEastAsia" w:hAnsiTheme="minorHAnsi" w:cstheme="minorBidi"/>
                <w:color w:val="auto"/>
                <w:sz w:val="20"/>
                <w:szCs w:val="20"/>
              </w:rPr>
              <w:t>2009</w:t>
            </w:r>
          </w:p>
        </w:tc>
      </w:tr>
      <w:tr w:rsidR="004759D9" w:rsidRPr="00F57FF8" w:rsidTr="002535CA">
        <w:tc>
          <w:tcPr>
            <w:cnfStyle w:val="001000000000"/>
            <w:tcW w:w="1405" w:type="pct"/>
            <w:tcBorders>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Budynki użyteczności publicznej</w:t>
            </w:r>
          </w:p>
        </w:tc>
        <w:tc>
          <w:tcPr>
            <w:tcW w:w="899" w:type="pct"/>
          </w:tcPr>
          <w:p w:rsidR="004759D9" w:rsidRPr="00F57FF8" w:rsidRDefault="00C85B44" w:rsidP="00F57FF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2 382,71</w:t>
            </w:r>
          </w:p>
        </w:tc>
        <w:tc>
          <w:tcPr>
            <w:tcW w:w="899" w:type="pct"/>
          </w:tcPr>
          <w:p w:rsidR="004759D9" w:rsidRPr="00F57FF8" w:rsidRDefault="00C85B44" w:rsidP="00F57FF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3,03</w:t>
            </w:r>
            <w:r w:rsidR="00E218E1" w:rsidRPr="00F57FF8">
              <w:rPr>
                <w:rFonts w:asciiTheme="minorHAnsi" w:hAnsiTheme="minorHAnsi"/>
                <w:sz w:val="20"/>
                <w:szCs w:val="20"/>
              </w:rPr>
              <w:t xml:space="preserve"> %</w:t>
            </w:r>
          </w:p>
        </w:tc>
        <w:tc>
          <w:tcPr>
            <w:tcW w:w="899" w:type="pct"/>
          </w:tcPr>
          <w:p w:rsidR="004759D9" w:rsidRPr="00F57FF8" w:rsidRDefault="00C85B44" w:rsidP="00F57FF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757,80</w:t>
            </w:r>
          </w:p>
        </w:tc>
        <w:tc>
          <w:tcPr>
            <w:tcW w:w="898" w:type="pct"/>
          </w:tcPr>
          <w:p w:rsidR="004759D9" w:rsidRPr="00F57FF8" w:rsidRDefault="00E218E1" w:rsidP="00C85B44">
            <w:pPr>
              <w:pStyle w:val="DecimalAligned"/>
              <w:tabs>
                <w:tab w:val="clear" w:pos="360"/>
              </w:tabs>
              <w:jc w:val="right"/>
              <w:cnfStyle w:val="000000000000"/>
              <w:rPr>
                <w:rFonts w:asciiTheme="minorHAnsi" w:hAnsiTheme="minorHAnsi"/>
                <w:sz w:val="20"/>
                <w:szCs w:val="20"/>
              </w:rPr>
            </w:pPr>
            <w:r w:rsidRPr="00F57FF8">
              <w:rPr>
                <w:rFonts w:asciiTheme="minorHAnsi" w:hAnsiTheme="minorHAnsi"/>
                <w:sz w:val="20"/>
                <w:szCs w:val="20"/>
              </w:rPr>
              <w:t>2,</w:t>
            </w:r>
            <w:r w:rsidR="00C85B44">
              <w:rPr>
                <w:rFonts w:asciiTheme="minorHAnsi" w:hAnsiTheme="minorHAnsi"/>
                <w:sz w:val="20"/>
                <w:szCs w:val="20"/>
              </w:rPr>
              <w:t>64</w:t>
            </w:r>
            <w:r w:rsidRPr="00F57FF8">
              <w:rPr>
                <w:rFonts w:asciiTheme="minorHAnsi" w:hAnsiTheme="minorHAnsi"/>
                <w:sz w:val="20"/>
                <w:szCs w:val="20"/>
              </w:rPr>
              <w:t xml:space="preserve"> %</w:t>
            </w:r>
          </w:p>
        </w:tc>
      </w:tr>
      <w:tr w:rsidR="004759D9" w:rsidRPr="00F57FF8" w:rsidTr="002535CA">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Budynki jednorodzinne</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56 070,27</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71,33</w:t>
            </w:r>
            <w:r w:rsidR="00E218E1" w:rsidRPr="00F57FF8">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22 531,62</w:t>
            </w:r>
          </w:p>
        </w:tc>
        <w:tc>
          <w:tcPr>
            <w:tcW w:w="898" w:type="pct"/>
            <w:tcBorders>
              <w:top w:val="none" w:sz="0" w:space="0" w:color="auto"/>
              <w:left w:val="none" w:sz="0" w:space="0" w:color="auto"/>
              <w:bottom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78,39</w:t>
            </w:r>
            <w:r w:rsidR="00E218E1" w:rsidRPr="00F57FF8">
              <w:rPr>
                <w:rFonts w:asciiTheme="minorHAnsi" w:hAnsiTheme="minorHAnsi"/>
                <w:sz w:val="20"/>
                <w:szCs w:val="20"/>
              </w:rPr>
              <w:t xml:space="preserve"> %</w:t>
            </w:r>
          </w:p>
        </w:tc>
      </w:tr>
      <w:tr w:rsidR="004759D9" w:rsidRPr="00F57FF8" w:rsidTr="002535CA">
        <w:tc>
          <w:tcPr>
            <w:cnfStyle w:val="001000000000"/>
            <w:tcW w:w="1405" w:type="pct"/>
            <w:tcBorders>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Oświetlenie uliczne</w:t>
            </w:r>
          </w:p>
        </w:tc>
        <w:tc>
          <w:tcPr>
            <w:tcW w:w="899" w:type="pct"/>
          </w:tcPr>
          <w:p w:rsidR="004759D9" w:rsidRPr="00F57FF8" w:rsidRDefault="00C85B44" w:rsidP="00F57FF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281,48</w:t>
            </w:r>
          </w:p>
        </w:tc>
        <w:tc>
          <w:tcPr>
            <w:tcW w:w="899" w:type="pct"/>
          </w:tcPr>
          <w:p w:rsidR="004759D9" w:rsidRPr="00F57FF8" w:rsidRDefault="00E218E1" w:rsidP="00C85B44">
            <w:pPr>
              <w:pStyle w:val="DecimalAligned"/>
              <w:tabs>
                <w:tab w:val="clear" w:pos="360"/>
              </w:tabs>
              <w:jc w:val="right"/>
              <w:cnfStyle w:val="000000000000"/>
              <w:rPr>
                <w:rFonts w:asciiTheme="minorHAnsi" w:hAnsiTheme="minorHAnsi"/>
                <w:sz w:val="20"/>
                <w:szCs w:val="20"/>
              </w:rPr>
            </w:pPr>
            <w:r w:rsidRPr="00F57FF8">
              <w:rPr>
                <w:rFonts w:asciiTheme="minorHAnsi" w:hAnsiTheme="minorHAnsi"/>
                <w:sz w:val="20"/>
                <w:szCs w:val="20"/>
              </w:rPr>
              <w:t>0,</w:t>
            </w:r>
            <w:r w:rsidR="00C85B44">
              <w:rPr>
                <w:rFonts w:asciiTheme="minorHAnsi" w:hAnsiTheme="minorHAnsi"/>
                <w:sz w:val="20"/>
                <w:szCs w:val="20"/>
              </w:rPr>
              <w:t>36</w:t>
            </w:r>
            <w:r w:rsidRPr="00F57FF8">
              <w:rPr>
                <w:rFonts w:asciiTheme="minorHAnsi" w:hAnsiTheme="minorHAnsi"/>
                <w:sz w:val="20"/>
                <w:szCs w:val="20"/>
              </w:rPr>
              <w:t xml:space="preserve"> %</w:t>
            </w:r>
          </w:p>
        </w:tc>
        <w:tc>
          <w:tcPr>
            <w:tcW w:w="899" w:type="pct"/>
          </w:tcPr>
          <w:p w:rsidR="004759D9" w:rsidRPr="00F57FF8" w:rsidRDefault="00E218E1" w:rsidP="00F57FF8">
            <w:pPr>
              <w:pStyle w:val="DecimalAligned"/>
              <w:tabs>
                <w:tab w:val="clear" w:pos="360"/>
              </w:tabs>
              <w:jc w:val="right"/>
              <w:cnfStyle w:val="000000000000"/>
              <w:rPr>
                <w:rFonts w:asciiTheme="minorHAnsi" w:hAnsiTheme="minorHAnsi"/>
                <w:sz w:val="20"/>
                <w:szCs w:val="20"/>
              </w:rPr>
            </w:pPr>
            <w:r w:rsidRPr="00F57FF8">
              <w:rPr>
                <w:rFonts w:asciiTheme="minorHAnsi" w:hAnsiTheme="minorHAnsi"/>
                <w:sz w:val="20"/>
                <w:szCs w:val="20"/>
              </w:rPr>
              <w:t>228,56</w:t>
            </w:r>
          </w:p>
        </w:tc>
        <w:tc>
          <w:tcPr>
            <w:tcW w:w="898" w:type="pct"/>
          </w:tcPr>
          <w:p w:rsidR="004759D9" w:rsidRPr="00F57FF8" w:rsidRDefault="00E218E1" w:rsidP="00C85B44">
            <w:pPr>
              <w:pStyle w:val="DecimalAligned"/>
              <w:tabs>
                <w:tab w:val="clear" w:pos="360"/>
              </w:tabs>
              <w:jc w:val="right"/>
              <w:cnfStyle w:val="000000000000"/>
              <w:rPr>
                <w:rFonts w:asciiTheme="minorHAnsi" w:hAnsiTheme="minorHAnsi"/>
                <w:sz w:val="20"/>
                <w:szCs w:val="20"/>
              </w:rPr>
            </w:pPr>
            <w:r w:rsidRPr="00F57FF8">
              <w:rPr>
                <w:rFonts w:asciiTheme="minorHAnsi" w:hAnsiTheme="minorHAnsi"/>
                <w:sz w:val="20"/>
                <w:szCs w:val="20"/>
              </w:rPr>
              <w:t>0,</w:t>
            </w:r>
            <w:r w:rsidR="00C85B44">
              <w:rPr>
                <w:rFonts w:asciiTheme="minorHAnsi" w:hAnsiTheme="minorHAnsi"/>
                <w:sz w:val="20"/>
                <w:szCs w:val="20"/>
              </w:rPr>
              <w:t>80</w:t>
            </w:r>
            <w:r w:rsidRPr="00F57FF8">
              <w:rPr>
                <w:rFonts w:asciiTheme="minorHAnsi" w:hAnsiTheme="minorHAnsi"/>
                <w:sz w:val="20"/>
                <w:szCs w:val="20"/>
              </w:rPr>
              <w:t xml:space="preserve"> %</w:t>
            </w:r>
          </w:p>
        </w:tc>
      </w:tr>
      <w:tr w:rsidR="004759D9" w:rsidRPr="00F57FF8" w:rsidTr="002535CA">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Transport</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19 353,77</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24,62</w:t>
            </w:r>
            <w:r w:rsidR="00E218E1" w:rsidRPr="00F57FF8">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4 869,88</w:t>
            </w:r>
          </w:p>
        </w:tc>
        <w:tc>
          <w:tcPr>
            <w:tcW w:w="898" w:type="pct"/>
            <w:tcBorders>
              <w:top w:val="none" w:sz="0" w:space="0" w:color="auto"/>
              <w:left w:val="none" w:sz="0" w:space="0" w:color="auto"/>
              <w:bottom w:val="none" w:sz="0" w:space="0" w:color="auto"/>
            </w:tcBorders>
          </w:tcPr>
          <w:p w:rsidR="004759D9" w:rsidRPr="00F57FF8" w:rsidRDefault="00BD0B27" w:rsidP="00F57FF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16,94</w:t>
            </w:r>
            <w:r w:rsidR="00E218E1" w:rsidRPr="00F57FF8">
              <w:rPr>
                <w:rFonts w:asciiTheme="minorHAnsi" w:hAnsiTheme="minorHAnsi"/>
                <w:sz w:val="20"/>
                <w:szCs w:val="20"/>
              </w:rPr>
              <w:t xml:space="preserve"> %</w:t>
            </w:r>
          </w:p>
        </w:tc>
      </w:tr>
      <w:tr w:rsidR="00F57FF8" w:rsidRPr="00F57FF8" w:rsidTr="00F57FF8">
        <w:tc>
          <w:tcPr>
            <w:cnfStyle w:val="001000000000"/>
            <w:tcW w:w="1405" w:type="pct"/>
            <w:tcBorders>
              <w:left w:val="none" w:sz="0" w:space="0" w:color="auto"/>
              <w:bottom w:val="none" w:sz="0" w:space="0" w:color="auto"/>
              <w:right w:val="none" w:sz="0" w:space="0" w:color="auto"/>
            </w:tcBorders>
            <w:noWrap/>
          </w:tcPr>
          <w:p w:rsidR="00F57FF8" w:rsidRPr="00F57FF8" w:rsidRDefault="00F57FF8" w:rsidP="00AE1D3B">
            <w:pPr>
              <w:jc w:val="left"/>
              <w:rPr>
                <w:rStyle w:val="Wyrnieniedelikatne"/>
                <w:rFonts w:asciiTheme="minorHAnsi" w:hAnsiTheme="minorHAnsi"/>
                <w:i w:val="0"/>
                <w:color w:val="auto"/>
                <w:sz w:val="20"/>
                <w:szCs w:val="20"/>
              </w:rPr>
            </w:pPr>
            <w:r w:rsidRPr="00F57FF8">
              <w:rPr>
                <w:rStyle w:val="Wyrnieniedelikatne"/>
                <w:rFonts w:asciiTheme="minorHAnsi" w:hAnsiTheme="minorHAnsi"/>
                <w:i w:val="0"/>
                <w:color w:val="auto"/>
                <w:sz w:val="20"/>
                <w:szCs w:val="20"/>
              </w:rPr>
              <w:t>Przedsiębiorcy</w:t>
            </w:r>
          </w:p>
        </w:tc>
        <w:tc>
          <w:tcPr>
            <w:tcW w:w="899" w:type="pct"/>
          </w:tcPr>
          <w:p w:rsidR="00F57FF8" w:rsidRPr="00F57FF8" w:rsidRDefault="00C85B44" w:rsidP="00F57FF8">
            <w:pPr>
              <w:jc w:val="right"/>
              <w:cnfStyle w:val="0000000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518,54</w:t>
            </w:r>
          </w:p>
        </w:tc>
        <w:tc>
          <w:tcPr>
            <w:tcW w:w="899" w:type="pct"/>
          </w:tcPr>
          <w:p w:rsidR="00F57FF8" w:rsidRPr="00F57FF8" w:rsidRDefault="00F57FF8" w:rsidP="00C85B44">
            <w:pPr>
              <w:jc w:val="right"/>
              <w:cnfStyle w:val="0000000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0,</w:t>
            </w:r>
            <w:r w:rsidR="00C85B44">
              <w:rPr>
                <w:rStyle w:val="Wyrnieniedelikatne"/>
                <w:rFonts w:asciiTheme="minorHAnsi" w:hAnsiTheme="minorHAnsi"/>
                <w:i w:val="0"/>
                <w:color w:val="auto"/>
                <w:sz w:val="20"/>
                <w:szCs w:val="20"/>
              </w:rPr>
              <w:t>66</w:t>
            </w:r>
            <w:r>
              <w:rPr>
                <w:rStyle w:val="Wyrnieniedelikatne"/>
                <w:rFonts w:asciiTheme="minorHAnsi" w:hAnsiTheme="minorHAnsi"/>
                <w:i w:val="0"/>
                <w:color w:val="auto"/>
                <w:sz w:val="20"/>
                <w:szCs w:val="20"/>
              </w:rPr>
              <w:t xml:space="preserve"> %</w:t>
            </w:r>
          </w:p>
        </w:tc>
        <w:tc>
          <w:tcPr>
            <w:tcW w:w="899" w:type="pct"/>
          </w:tcPr>
          <w:p w:rsidR="00F57FF8" w:rsidRPr="00F57FF8" w:rsidRDefault="00C85B44" w:rsidP="00F57FF8">
            <w:pPr>
              <w:jc w:val="right"/>
              <w:cnfStyle w:val="000000000000"/>
              <w:rPr>
                <w:rFonts w:asciiTheme="minorHAnsi" w:hAnsiTheme="minorHAnsi"/>
                <w:sz w:val="20"/>
                <w:szCs w:val="20"/>
              </w:rPr>
            </w:pPr>
            <w:r>
              <w:rPr>
                <w:rFonts w:asciiTheme="minorHAnsi" w:hAnsiTheme="minorHAnsi"/>
                <w:sz w:val="20"/>
                <w:szCs w:val="20"/>
              </w:rPr>
              <w:t>355,27</w:t>
            </w:r>
          </w:p>
        </w:tc>
        <w:tc>
          <w:tcPr>
            <w:tcW w:w="898" w:type="pct"/>
          </w:tcPr>
          <w:p w:rsidR="00F57FF8" w:rsidRPr="00F57FF8" w:rsidRDefault="00BD0B27" w:rsidP="00F57FF8">
            <w:pPr>
              <w:jc w:val="right"/>
              <w:cnfStyle w:val="000000000000"/>
              <w:rPr>
                <w:rFonts w:asciiTheme="minorHAnsi" w:hAnsiTheme="minorHAnsi"/>
                <w:sz w:val="20"/>
                <w:szCs w:val="20"/>
              </w:rPr>
            </w:pPr>
            <w:r>
              <w:rPr>
                <w:rFonts w:asciiTheme="minorHAnsi" w:hAnsiTheme="minorHAnsi"/>
                <w:sz w:val="20"/>
                <w:szCs w:val="20"/>
              </w:rPr>
              <w:t>1,24</w:t>
            </w:r>
            <w:r w:rsidR="00F57FF8">
              <w:rPr>
                <w:rFonts w:asciiTheme="minorHAnsi" w:hAnsiTheme="minorHAnsi"/>
                <w:sz w:val="20"/>
                <w:szCs w:val="20"/>
              </w:rPr>
              <w:t xml:space="preserve"> %</w:t>
            </w:r>
          </w:p>
        </w:tc>
      </w:tr>
      <w:tr w:rsidR="004759D9" w:rsidRPr="00F57FF8" w:rsidTr="00F57FF8">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4759D9" w:rsidRPr="00F57FF8" w:rsidRDefault="004759D9" w:rsidP="00AE1D3B">
            <w:pPr>
              <w:jc w:val="left"/>
              <w:rPr>
                <w:rStyle w:val="Wyrnieniedelikatne"/>
                <w:rFonts w:asciiTheme="minorHAnsi" w:hAnsiTheme="minorHAnsi"/>
                <w:b/>
                <w:i w:val="0"/>
                <w:color w:val="auto"/>
                <w:sz w:val="20"/>
                <w:szCs w:val="20"/>
              </w:rPr>
            </w:pPr>
            <w:r w:rsidRPr="00F57FF8">
              <w:rPr>
                <w:rStyle w:val="Wyrnieniedelikatne"/>
                <w:rFonts w:asciiTheme="minorHAnsi" w:hAnsiTheme="minorHAnsi"/>
                <w:b/>
                <w:i w:val="0"/>
                <w:color w:val="auto"/>
                <w:sz w:val="20"/>
                <w:szCs w:val="20"/>
              </w:rPr>
              <w:t>SUMA</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jc w:val="right"/>
              <w:cnfStyle w:val="0000001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78 606,77</w:t>
            </w:r>
          </w:p>
        </w:tc>
        <w:tc>
          <w:tcPr>
            <w:tcW w:w="899" w:type="pct"/>
            <w:tcBorders>
              <w:top w:val="none" w:sz="0" w:space="0" w:color="auto"/>
              <w:left w:val="none" w:sz="0" w:space="0" w:color="auto"/>
              <w:bottom w:val="none" w:sz="0" w:space="0" w:color="auto"/>
              <w:right w:val="none" w:sz="0" w:space="0" w:color="auto"/>
            </w:tcBorders>
          </w:tcPr>
          <w:p w:rsidR="004759D9" w:rsidRPr="00F57FF8" w:rsidRDefault="00F57FF8" w:rsidP="00F57FF8">
            <w:pPr>
              <w:jc w:val="right"/>
              <w:cnfStyle w:val="000000100000"/>
              <w:rPr>
                <w:rStyle w:val="Wyrnieniedelikatne"/>
                <w:rFonts w:asciiTheme="minorHAnsi" w:hAnsiTheme="minorHAnsi"/>
                <w:b/>
                <w:i w:val="0"/>
                <w:color w:val="auto"/>
                <w:sz w:val="20"/>
                <w:szCs w:val="20"/>
              </w:rPr>
            </w:pPr>
            <w:r w:rsidRPr="00F57FF8">
              <w:rPr>
                <w:rStyle w:val="Wyrnieniedelikatne"/>
                <w:rFonts w:asciiTheme="minorHAnsi" w:hAnsiTheme="minorHAnsi"/>
                <w:b/>
                <w:i w:val="0"/>
                <w:color w:val="auto"/>
                <w:sz w:val="20"/>
                <w:szCs w:val="20"/>
              </w:rPr>
              <w:t>100,00 %</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F57FF8">
            <w:pPr>
              <w:jc w:val="right"/>
              <w:cnfStyle w:val="000000100000"/>
              <w:rPr>
                <w:rFonts w:asciiTheme="minorHAnsi" w:hAnsiTheme="minorHAnsi"/>
                <w:b/>
                <w:color w:val="auto"/>
                <w:sz w:val="20"/>
                <w:szCs w:val="20"/>
              </w:rPr>
            </w:pPr>
            <w:r>
              <w:rPr>
                <w:rFonts w:asciiTheme="minorHAnsi" w:hAnsiTheme="minorHAnsi"/>
                <w:b/>
                <w:color w:val="auto"/>
                <w:sz w:val="20"/>
                <w:szCs w:val="20"/>
              </w:rPr>
              <w:t>28 743,13</w:t>
            </w:r>
          </w:p>
        </w:tc>
        <w:tc>
          <w:tcPr>
            <w:tcW w:w="898" w:type="pct"/>
            <w:tcBorders>
              <w:top w:val="none" w:sz="0" w:space="0" w:color="auto"/>
              <w:left w:val="none" w:sz="0" w:space="0" w:color="auto"/>
              <w:bottom w:val="none" w:sz="0" w:space="0" w:color="auto"/>
            </w:tcBorders>
          </w:tcPr>
          <w:p w:rsidR="004759D9" w:rsidRPr="00F57FF8" w:rsidRDefault="00F57FF8" w:rsidP="00F57FF8">
            <w:pPr>
              <w:jc w:val="right"/>
              <w:cnfStyle w:val="000000100000"/>
              <w:rPr>
                <w:rFonts w:asciiTheme="minorHAnsi" w:hAnsiTheme="minorHAnsi"/>
                <w:b/>
                <w:color w:val="auto"/>
                <w:sz w:val="20"/>
                <w:szCs w:val="20"/>
              </w:rPr>
            </w:pPr>
            <w:r w:rsidRPr="00F57FF8">
              <w:rPr>
                <w:rFonts w:asciiTheme="minorHAnsi" w:hAnsiTheme="minorHAnsi"/>
                <w:b/>
                <w:color w:val="auto"/>
                <w:sz w:val="20"/>
                <w:szCs w:val="20"/>
              </w:rPr>
              <w:t>100,00 %</w:t>
            </w:r>
          </w:p>
        </w:tc>
      </w:tr>
      <w:tr w:rsidR="004759D9" w:rsidRPr="00F57FF8" w:rsidTr="002535CA">
        <w:tc>
          <w:tcPr>
            <w:cnfStyle w:val="001000000000"/>
            <w:tcW w:w="5000" w:type="pct"/>
            <w:gridSpan w:val="5"/>
            <w:tcBorders>
              <w:left w:val="none" w:sz="0" w:space="0" w:color="auto"/>
              <w:bottom w:val="none" w:sz="0" w:space="0" w:color="auto"/>
              <w:right w:val="none" w:sz="0" w:space="0" w:color="auto"/>
            </w:tcBorders>
            <w:shd w:val="clear" w:color="auto" w:fill="BFBFBF" w:themeFill="background1" w:themeFillShade="BF"/>
            <w:noWrap/>
          </w:tcPr>
          <w:p w:rsidR="004759D9" w:rsidRPr="00F57FF8" w:rsidRDefault="004759D9" w:rsidP="00AE1D3B">
            <w:pPr>
              <w:jc w:val="center"/>
              <w:rPr>
                <w:rFonts w:asciiTheme="minorHAnsi" w:eastAsiaTheme="minorEastAsia" w:hAnsiTheme="minorHAnsi"/>
                <w:sz w:val="20"/>
                <w:szCs w:val="20"/>
              </w:rPr>
            </w:pPr>
            <w:r w:rsidRPr="00F57FF8">
              <w:rPr>
                <w:rFonts w:asciiTheme="minorHAnsi" w:eastAsiaTheme="minorEastAsia" w:hAnsiTheme="minorHAnsi"/>
                <w:sz w:val="20"/>
                <w:szCs w:val="20"/>
              </w:rPr>
              <w:t>2014</w:t>
            </w:r>
          </w:p>
        </w:tc>
      </w:tr>
      <w:tr w:rsidR="004759D9" w:rsidRPr="00F57FF8" w:rsidTr="00F57FF8">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Budynki użyteczności publicznej</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725EE5">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3 153,52</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725EE5">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3,33</w:t>
            </w:r>
            <w:r w:rsidR="00725EE5">
              <w:rPr>
                <w:rFonts w:asciiTheme="minorHAnsi" w:hAnsiTheme="minorHAnsi"/>
                <w:color w:val="auto"/>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4759D9" w:rsidRPr="00F57FF8" w:rsidRDefault="00C85B44" w:rsidP="00725EE5">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872,79</w:t>
            </w:r>
          </w:p>
        </w:tc>
        <w:tc>
          <w:tcPr>
            <w:tcW w:w="898" w:type="pct"/>
            <w:tcBorders>
              <w:top w:val="none" w:sz="0" w:space="0" w:color="auto"/>
              <w:left w:val="none" w:sz="0" w:space="0" w:color="auto"/>
              <w:bottom w:val="none" w:sz="0" w:space="0" w:color="auto"/>
            </w:tcBorders>
          </w:tcPr>
          <w:p w:rsidR="004759D9" w:rsidRPr="00F57FF8" w:rsidRDefault="000316EE" w:rsidP="00725EE5">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3,04</w:t>
            </w:r>
            <w:r w:rsidR="00725EE5">
              <w:rPr>
                <w:rFonts w:asciiTheme="minorHAnsi" w:hAnsiTheme="minorHAnsi"/>
                <w:color w:val="auto"/>
                <w:sz w:val="20"/>
                <w:szCs w:val="20"/>
              </w:rPr>
              <w:t xml:space="preserve"> %</w:t>
            </w:r>
          </w:p>
        </w:tc>
      </w:tr>
      <w:tr w:rsidR="004759D9" w:rsidRPr="00F57FF8" w:rsidTr="002535CA">
        <w:tc>
          <w:tcPr>
            <w:cnfStyle w:val="001000000000"/>
            <w:tcW w:w="1405" w:type="pct"/>
            <w:tcBorders>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Budynki jednorodzinne</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68 370,60</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72,27</w:t>
            </w:r>
            <w:r w:rsidR="00725EE5">
              <w:rPr>
                <w:rFonts w:asciiTheme="minorHAnsi" w:hAnsiTheme="minorHAnsi"/>
                <w:sz w:val="20"/>
                <w:szCs w:val="20"/>
              </w:rPr>
              <w:t xml:space="preserve"> %</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21 686,85</w:t>
            </w:r>
          </w:p>
        </w:tc>
        <w:tc>
          <w:tcPr>
            <w:tcW w:w="898" w:type="pct"/>
          </w:tcPr>
          <w:p w:rsidR="004759D9" w:rsidRPr="00F57FF8" w:rsidRDefault="000316EE" w:rsidP="00725EE5">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75,50</w:t>
            </w:r>
            <w:r w:rsidR="00725EE5">
              <w:rPr>
                <w:rFonts w:asciiTheme="minorHAnsi" w:hAnsiTheme="minorHAnsi"/>
                <w:sz w:val="20"/>
                <w:szCs w:val="20"/>
              </w:rPr>
              <w:t xml:space="preserve"> %</w:t>
            </w:r>
          </w:p>
        </w:tc>
      </w:tr>
      <w:tr w:rsidR="004759D9" w:rsidRPr="00F57FF8" w:rsidTr="00F57FF8">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Oświetlenie uliczne</w:t>
            </w:r>
          </w:p>
        </w:tc>
        <w:tc>
          <w:tcPr>
            <w:tcW w:w="899" w:type="pct"/>
            <w:tcBorders>
              <w:top w:val="none" w:sz="0" w:space="0" w:color="auto"/>
              <w:left w:val="none" w:sz="0" w:space="0" w:color="auto"/>
              <w:bottom w:val="none" w:sz="0" w:space="0" w:color="auto"/>
              <w:right w:val="none" w:sz="0" w:space="0" w:color="auto"/>
            </w:tcBorders>
          </w:tcPr>
          <w:p w:rsidR="004759D9" w:rsidRPr="00F57FF8" w:rsidRDefault="00725EE5" w:rsidP="00725EE5">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189,96</w:t>
            </w:r>
          </w:p>
        </w:tc>
        <w:tc>
          <w:tcPr>
            <w:tcW w:w="899" w:type="pct"/>
            <w:tcBorders>
              <w:top w:val="none" w:sz="0" w:space="0" w:color="auto"/>
              <w:left w:val="none" w:sz="0" w:space="0" w:color="auto"/>
              <w:bottom w:val="none" w:sz="0" w:space="0" w:color="auto"/>
              <w:right w:val="none" w:sz="0" w:space="0" w:color="auto"/>
            </w:tcBorders>
          </w:tcPr>
          <w:p w:rsidR="004759D9" w:rsidRPr="00F57FF8" w:rsidRDefault="00725EE5" w:rsidP="000316EE">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0,</w:t>
            </w:r>
            <w:r w:rsidR="000316EE">
              <w:rPr>
                <w:rFonts w:asciiTheme="minorHAnsi" w:hAnsiTheme="minorHAnsi"/>
                <w:sz w:val="20"/>
                <w:szCs w:val="20"/>
              </w:rPr>
              <w:t>20</w:t>
            </w:r>
            <w:r>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4759D9" w:rsidRPr="00F57FF8" w:rsidRDefault="00725EE5" w:rsidP="00725EE5">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154,25</w:t>
            </w:r>
          </w:p>
        </w:tc>
        <w:tc>
          <w:tcPr>
            <w:tcW w:w="898" w:type="pct"/>
            <w:tcBorders>
              <w:top w:val="none" w:sz="0" w:space="0" w:color="auto"/>
              <w:left w:val="none" w:sz="0" w:space="0" w:color="auto"/>
              <w:bottom w:val="none" w:sz="0" w:space="0" w:color="auto"/>
            </w:tcBorders>
          </w:tcPr>
          <w:p w:rsidR="004759D9" w:rsidRPr="00F57FF8" w:rsidRDefault="00725EE5" w:rsidP="000316EE">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0,</w:t>
            </w:r>
            <w:r w:rsidR="000316EE">
              <w:rPr>
                <w:rFonts w:asciiTheme="minorHAnsi" w:hAnsiTheme="minorHAnsi"/>
                <w:sz w:val="20"/>
                <w:szCs w:val="20"/>
              </w:rPr>
              <w:t>54</w:t>
            </w:r>
            <w:r>
              <w:rPr>
                <w:rFonts w:asciiTheme="minorHAnsi" w:hAnsiTheme="minorHAnsi"/>
                <w:sz w:val="20"/>
                <w:szCs w:val="20"/>
              </w:rPr>
              <w:t xml:space="preserve"> %</w:t>
            </w:r>
          </w:p>
        </w:tc>
      </w:tr>
      <w:tr w:rsidR="004759D9" w:rsidRPr="00F57FF8" w:rsidTr="002535CA">
        <w:tc>
          <w:tcPr>
            <w:cnfStyle w:val="001000000000"/>
            <w:tcW w:w="1405" w:type="pct"/>
            <w:tcBorders>
              <w:left w:val="none" w:sz="0" w:space="0" w:color="auto"/>
              <w:bottom w:val="none" w:sz="0" w:space="0" w:color="auto"/>
              <w:right w:val="none" w:sz="0" w:space="0" w:color="auto"/>
            </w:tcBorders>
            <w:noWrap/>
          </w:tcPr>
          <w:p w:rsidR="004759D9" w:rsidRPr="00F57FF8" w:rsidRDefault="004759D9" w:rsidP="00AE1D3B">
            <w:pPr>
              <w:pStyle w:val="DecimalAligned"/>
              <w:spacing w:line="240" w:lineRule="auto"/>
              <w:rPr>
                <w:rFonts w:asciiTheme="minorHAnsi" w:hAnsiTheme="minorHAnsi"/>
                <w:sz w:val="20"/>
                <w:szCs w:val="20"/>
              </w:rPr>
            </w:pPr>
            <w:r w:rsidRPr="00F57FF8">
              <w:rPr>
                <w:rFonts w:asciiTheme="minorHAnsi" w:hAnsiTheme="minorHAnsi"/>
                <w:sz w:val="20"/>
                <w:szCs w:val="20"/>
              </w:rPr>
              <w:t>Transport</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22 343,00</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23,62</w:t>
            </w:r>
            <w:r w:rsidR="00725EE5">
              <w:rPr>
                <w:rFonts w:asciiTheme="minorHAnsi" w:hAnsiTheme="minorHAnsi"/>
                <w:color w:val="auto"/>
                <w:sz w:val="20"/>
                <w:szCs w:val="20"/>
              </w:rPr>
              <w:t xml:space="preserve"> %</w:t>
            </w:r>
          </w:p>
        </w:tc>
        <w:tc>
          <w:tcPr>
            <w:tcW w:w="899" w:type="pct"/>
          </w:tcPr>
          <w:p w:rsidR="004759D9" w:rsidRPr="00F57FF8" w:rsidRDefault="000316EE" w:rsidP="00725EE5">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5 627,24</w:t>
            </w:r>
          </w:p>
        </w:tc>
        <w:tc>
          <w:tcPr>
            <w:tcW w:w="898" w:type="pct"/>
          </w:tcPr>
          <w:p w:rsidR="004759D9" w:rsidRPr="00F57FF8" w:rsidRDefault="000316EE" w:rsidP="00725EE5">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19,59</w:t>
            </w:r>
            <w:r w:rsidR="00725EE5">
              <w:rPr>
                <w:rFonts w:asciiTheme="minorHAnsi" w:hAnsiTheme="minorHAnsi"/>
                <w:color w:val="auto"/>
                <w:sz w:val="20"/>
                <w:szCs w:val="20"/>
              </w:rPr>
              <w:t xml:space="preserve"> %</w:t>
            </w:r>
          </w:p>
        </w:tc>
      </w:tr>
      <w:tr w:rsidR="00F57FF8" w:rsidRPr="00725EE5" w:rsidTr="00F57FF8">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F57FF8" w:rsidRPr="00725EE5" w:rsidRDefault="00F57FF8" w:rsidP="00AE1D3B">
            <w:pPr>
              <w:jc w:val="left"/>
              <w:rPr>
                <w:rStyle w:val="Wyrnieniedelikatne"/>
                <w:rFonts w:asciiTheme="minorHAnsi" w:hAnsiTheme="minorHAnsi"/>
                <w:i w:val="0"/>
                <w:color w:val="auto"/>
                <w:sz w:val="20"/>
                <w:szCs w:val="20"/>
              </w:rPr>
            </w:pPr>
            <w:r w:rsidRPr="00725EE5">
              <w:rPr>
                <w:rStyle w:val="Wyrnieniedelikatne"/>
                <w:rFonts w:asciiTheme="minorHAnsi" w:hAnsiTheme="minorHAnsi"/>
                <w:i w:val="0"/>
                <w:color w:val="auto"/>
                <w:sz w:val="20"/>
                <w:szCs w:val="20"/>
              </w:rPr>
              <w:t>Przedsiębiorcy</w:t>
            </w:r>
          </w:p>
        </w:tc>
        <w:tc>
          <w:tcPr>
            <w:tcW w:w="899" w:type="pct"/>
            <w:tcBorders>
              <w:top w:val="none" w:sz="0" w:space="0" w:color="auto"/>
              <w:left w:val="none" w:sz="0" w:space="0" w:color="auto"/>
              <w:bottom w:val="none" w:sz="0" w:space="0" w:color="auto"/>
              <w:right w:val="none" w:sz="0" w:space="0" w:color="auto"/>
            </w:tcBorders>
          </w:tcPr>
          <w:p w:rsidR="00F57FF8" w:rsidRPr="00725EE5" w:rsidRDefault="00725EE5" w:rsidP="00725EE5">
            <w:pPr>
              <w:jc w:val="right"/>
              <w:cnfStyle w:val="000000100000"/>
              <w:rPr>
                <w:rStyle w:val="Wyrnieniedelikatne"/>
                <w:rFonts w:asciiTheme="minorHAnsi" w:hAnsiTheme="minorHAnsi"/>
                <w:i w:val="0"/>
                <w:color w:val="auto"/>
                <w:sz w:val="20"/>
                <w:szCs w:val="20"/>
              </w:rPr>
            </w:pPr>
            <w:r w:rsidRPr="00725EE5">
              <w:rPr>
                <w:rStyle w:val="Wyrnieniedelikatne"/>
                <w:rFonts w:asciiTheme="minorHAnsi" w:hAnsiTheme="minorHAnsi"/>
                <w:i w:val="0"/>
                <w:color w:val="auto"/>
                <w:sz w:val="20"/>
                <w:szCs w:val="20"/>
              </w:rPr>
              <w:t>544,28</w:t>
            </w:r>
          </w:p>
        </w:tc>
        <w:tc>
          <w:tcPr>
            <w:tcW w:w="899" w:type="pct"/>
            <w:tcBorders>
              <w:top w:val="none" w:sz="0" w:space="0" w:color="auto"/>
              <w:left w:val="none" w:sz="0" w:space="0" w:color="auto"/>
              <w:bottom w:val="none" w:sz="0" w:space="0" w:color="auto"/>
              <w:right w:val="none" w:sz="0" w:space="0" w:color="auto"/>
            </w:tcBorders>
          </w:tcPr>
          <w:p w:rsidR="00F57FF8" w:rsidRPr="00725EE5" w:rsidRDefault="00725EE5" w:rsidP="000316EE">
            <w:pPr>
              <w:jc w:val="right"/>
              <w:cnfStyle w:val="0000001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0,</w:t>
            </w:r>
            <w:r w:rsidR="000316EE">
              <w:rPr>
                <w:rStyle w:val="Wyrnieniedelikatne"/>
                <w:rFonts w:asciiTheme="minorHAnsi" w:hAnsiTheme="minorHAnsi"/>
                <w:i w:val="0"/>
                <w:color w:val="auto"/>
                <w:sz w:val="20"/>
                <w:szCs w:val="20"/>
              </w:rPr>
              <w:t>58</w:t>
            </w:r>
            <w:r>
              <w:rPr>
                <w:rStyle w:val="Wyrnieniedelikatne"/>
                <w:rFonts w:asciiTheme="minorHAnsi" w:hAnsiTheme="minorHAnsi"/>
                <w:i w:val="0"/>
                <w:color w:val="auto"/>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F57FF8" w:rsidRPr="00725EE5" w:rsidRDefault="00725EE5" w:rsidP="00725EE5">
            <w:pPr>
              <w:jc w:val="right"/>
              <w:cnfStyle w:val="000000100000"/>
              <w:rPr>
                <w:rFonts w:asciiTheme="minorHAnsi" w:hAnsiTheme="minorHAnsi"/>
                <w:sz w:val="20"/>
                <w:szCs w:val="20"/>
              </w:rPr>
            </w:pPr>
            <w:r>
              <w:rPr>
                <w:rFonts w:asciiTheme="minorHAnsi" w:hAnsiTheme="minorHAnsi"/>
                <w:sz w:val="20"/>
                <w:szCs w:val="20"/>
              </w:rPr>
              <w:t>381,60</w:t>
            </w:r>
          </w:p>
        </w:tc>
        <w:tc>
          <w:tcPr>
            <w:tcW w:w="898" w:type="pct"/>
            <w:tcBorders>
              <w:top w:val="none" w:sz="0" w:space="0" w:color="auto"/>
              <w:left w:val="none" w:sz="0" w:space="0" w:color="auto"/>
              <w:bottom w:val="none" w:sz="0" w:space="0" w:color="auto"/>
            </w:tcBorders>
          </w:tcPr>
          <w:p w:rsidR="00F57FF8" w:rsidRPr="00725EE5" w:rsidRDefault="00725EE5" w:rsidP="000316EE">
            <w:pPr>
              <w:jc w:val="right"/>
              <w:cnfStyle w:val="000000100000"/>
              <w:rPr>
                <w:rFonts w:asciiTheme="minorHAnsi" w:hAnsiTheme="minorHAnsi"/>
                <w:sz w:val="20"/>
                <w:szCs w:val="20"/>
              </w:rPr>
            </w:pPr>
            <w:r>
              <w:rPr>
                <w:rFonts w:asciiTheme="minorHAnsi" w:hAnsiTheme="minorHAnsi"/>
                <w:sz w:val="20"/>
                <w:szCs w:val="20"/>
              </w:rPr>
              <w:t>1,</w:t>
            </w:r>
            <w:r w:rsidR="000316EE">
              <w:rPr>
                <w:rFonts w:asciiTheme="minorHAnsi" w:hAnsiTheme="minorHAnsi"/>
                <w:sz w:val="20"/>
                <w:szCs w:val="20"/>
              </w:rPr>
              <w:t>33</w:t>
            </w:r>
            <w:r>
              <w:rPr>
                <w:rFonts w:asciiTheme="minorHAnsi" w:hAnsiTheme="minorHAnsi"/>
                <w:sz w:val="20"/>
                <w:szCs w:val="20"/>
              </w:rPr>
              <w:t xml:space="preserve"> %</w:t>
            </w:r>
          </w:p>
        </w:tc>
      </w:tr>
      <w:tr w:rsidR="004759D9" w:rsidRPr="00725EE5" w:rsidTr="00F57FF8">
        <w:tc>
          <w:tcPr>
            <w:cnfStyle w:val="001000000000"/>
            <w:tcW w:w="1405" w:type="pct"/>
            <w:tcBorders>
              <w:left w:val="none" w:sz="0" w:space="0" w:color="auto"/>
              <w:bottom w:val="none" w:sz="0" w:space="0" w:color="auto"/>
              <w:right w:val="none" w:sz="0" w:space="0" w:color="auto"/>
            </w:tcBorders>
            <w:noWrap/>
          </w:tcPr>
          <w:p w:rsidR="004759D9" w:rsidRPr="00725EE5" w:rsidRDefault="004759D9" w:rsidP="00AE1D3B">
            <w:pPr>
              <w:jc w:val="left"/>
              <w:rPr>
                <w:rStyle w:val="Wyrnieniedelikatne"/>
                <w:rFonts w:asciiTheme="minorHAnsi" w:hAnsiTheme="minorHAnsi"/>
                <w:b/>
                <w:i w:val="0"/>
                <w:color w:val="auto"/>
                <w:sz w:val="20"/>
                <w:szCs w:val="20"/>
              </w:rPr>
            </w:pPr>
            <w:r w:rsidRPr="00725EE5">
              <w:rPr>
                <w:rStyle w:val="Wyrnieniedelikatne"/>
                <w:rFonts w:asciiTheme="minorHAnsi" w:hAnsiTheme="minorHAnsi"/>
                <w:b/>
                <w:i w:val="0"/>
                <w:color w:val="auto"/>
                <w:sz w:val="20"/>
                <w:szCs w:val="20"/>
              </w:rPr>
              <w:t>SUMA</w:t>
            </w:r>
          </w:p>
        </w:tc>
        <w:tc>
          <w:tcPr>
            <w:tcW w:w="899" w:type="pct"/>
          </w:tcPr>
          <w:p w:rsidR="004759D9" w:rsidRPr="00725EE5" w:rsidRDefault="000316EE" w:rsidP="00725EE5">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94 601,36</w:t>
            </w:r>
          </w:p>
        </w:tc>
        <w:tc>
          <w:tcPr>
            <w:tcW w:w="899" w:type="pct"/>
          </w:tcPr>
          <w:p w:rsidR="004759D9" w:rsidRPr="00725EE5" w:rsidRDefault="00725EE5" w:rsidP="00725EE5">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100,00 %</w:t>
            </w:r>
          </w:p>
        </w:tc>
        <w:tc>
          <w:tcPr>
            <w:tcW w:w="899" w:type="pct"/>
          </w:tcPr>
          <w:p w:rsidR="004759D9" w:rsidRPr="00725EE5" w:rsidRDefault="000316EE" w:rsidP="00725EE5">
            <w:pPr>
              <w:jc w:val="right"/>
              <w:cnfStyle w:val="000000000000"/>
              <w:rPr>
                <w:rFonts w:asciiTheme="minorHAnsi" w:hAnsiTheme="minorHAnsi"/>
                <w:b/>
                <w:color w:val="auto"/>
                <w:sz w:val="20"/>
                <w:szCs w:val="20"/>
              </w:rPr>
            </w:pPr>
            <w:r>
              <w:rPr>
                <w:rFonts w:asciiTheme="minorHAnsi" w:hAnsiTheme="minorHAnsi"/>
                <w:b/>
                <w:color w:val="auto"/>
                <w:sz w:val="20"/>
                <w:szCs w:val="20"/>
              </w:rPr>
              <w:t>28 722,73</w:t>
            </w:r>
          </w:p>
        </w:tc>
        <w:tc>
          <w:tcPr>
            <w:tcW w:w="898" w:type="pct"/>
          </w:tcPr>
          <w:p w:rsidR="004759D9" w:rsidRPr="00725EE5" w:rsidRDefault="00725EE5" w:rsidP="00725EE5">
            <w:pPr>
              <w:jc w:val="right"/>
              <w:cnfStyle w:val="000000000000"/>
              <w:rPr>
                <w:rFonts w:asciiTheme="minorHAnsi" w:hAnsiTheme="minorHAnsi"/>
                <w:b/>
                <w:color w:val="auto"/>
                <w:sz w:val="20"/>
                <w:szCs w:val="20"/>
              </w:rPr>
            </w:pPr>
            <w:r>
              <w:rPr>
                <w:rFonts w:asciiTheme="minorHAnsi" w:hAnsiTheme="minorHAnsi"/>
                <w:b/>
                <w:color w:val="auto"/>
                <w:sz w:val="20"/>
                <w:szCs w:val="20"/>
              </w:rPr>
              <w:t>100,00 %</w:t>
            </w:r>
          </w:p>
        </w:tc>
      </w:tr>
    </w:tbl>
    <w:p w:rsidR="004759D9" w:rsidRPr="004759D9" w:rsidRDefault="004759D9" w:rsidP="005E62FB">
      <w:pPr>
        <w:rPr>
          <w:sz w:val="20"/>
          <w:szCs w:val="20"/>
        </w:rPr>
      </w:pPr>
      <w:r w:rsidRPr="004759D9">
        <w:rPr>
          <w:sz w:val="20"/>
          <w:szCs w:val="20"/>
        </w:rPr>
        <w:t>Źródło: Opracowanie własne na podstawie badań ankietowych</w:t>
      </w:r>
    </w:p>
    <w:p w:rsidR="005E62FB" w:rsidRDefault="00497C75" w:rsidP="005E62FB">
      <w:r>
        <w:t xml:space="preserve">Największy udział w całkowitym zużyciu energii ma sektor mieszkalnictwa jedno- i wielorodzinnego. Pochłania on aż </w:t>
      </w:r>
      <w:r w:rsidR="000316EE">
        <w:t>71,33</w:t>
      </w:r>
      <w:r w:rsidR="00EB4C28">
        <w:t>%</w:t>
      </w:r>
      <w:r w:rsidR="00CC08DA">
        <w:t xml:space="preserve"> całkowitego zużycia. Na drugim miejscu znajduje się sektor transportu, którego udział stanowi </w:t>
      </w:r>
      <w:r w:rsidR="000316EE">
        <w:t>24,62</w:t>
      </w:r>
      <w:r w:rsidR="00EB4C28">
        <w:t>%</w:t>
      </w:r>
      <w:r w:rsidR="00CC08DA">
        <w:t xml:space="preserve">. Resztę zużycia pochłaniają budynki użyteczności publicznej, oświetlenie oraz </w:t>
      </w:r>
      <w:r w:rsidR="00CC08DA" w:rsidRPr="00EB4C28">
        <w:t>przedsiębiorstwa.</w:t>
      </w:r>
    </w:p>
    <w:p w:rsidR="00B80048" w:rsidRDefault="00B80048" w:rsidP="005E62FB">
      <w:r>
        <w:t xml:space="preserve">Wykres </w:t>
      </w:r>
      <w:r w:rsidR="003C5196">
        <w:t>28</w:t>
      </w:r>
      <w:r>
        <w:t xml:space="preserve"> przedstawia procentowy udział zużycia energii w poszczególnych sektorach. </w:t>
      </w:r>
    </w:p>
    <w:p w:rsidR="000316EE" w:rsidRDefault="000316EE" w:rsidP="005E62FB"/>
    <w:p w:rsidR="000316EE" w:rsidRDefault="000316EE" w:rsidP="005E62FB">
      <w:r w:rsidRPr="00BD0B27">
        <w:rPr>
          <w:b/>
          <w:noProof/>
          <w:lang w:eastAsia="pl-PL"/>
        </w:rPr>
        <w:lastRenderedPageBreak/>
        <w:drawing>
          <wp:inline distT="0" distB="0" distL="0" distR="0">
            <wp:extent cx="5752214" cy="4093535"/>
            <wp:effectExtent l="0" t="0" r="20320" b="21590"/>
            <wp:docPr id="5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04B81" w:rsidRPr="00DE1C6B" w:rsidRDefault="00904B81" w:rsidP="00600FF2">
      <w:pPr>
        <w:pStyle w:val="Legenda"/>
        <w:ind w:firstLine="0"/>
        <w:rPr>
          <w:color w:val="auto"/>
        </w:rPr>
      </w:pPr>
      <w:r w:rsidRPr="00DE1C6B">
        <w:rPr>
          <w:color w:val="auto"/>
        </w:rPr>
        <w:t xml:space="preserve">Wykres </w:t>
      </w:r>
      <w:r w:rsidR="00844CE4" w:rsidRPr="00DE1C6B">
        <w:rPr>
          <w:color w:val="auto"/>
        </w:rPr>
        <w:fldChar w:fldCharType="begin"/>
      </w:r>
      <w:r w:rsidRPr="00DE1C6B">
        <w:rPr>
          <w:color w:val="auto"/>
        </w:rPr>
        <w:instrText xml:space="preserve"> SEQ Wykres \* ARABIC </w:instrText>
      </w:r>
      <w:r w:rsidR="00844CE4" w:rsidRPr="00DE1C6B">
        <w:rPr>
          <w:color w:val="auto"/>
        </w:rPr>
        <w:fldChar w:fldCharType="separate"/>
      </w:r>
      <w:r w:rsidR="005C42FD">
        <w:rPr>
          <w:noProof/>
          <w:color w:val="auto"/>
        </w:rPr>
        <w:t>28</w:t>
      </w:r>
      <w:r w:rsidR="00844CE4" w:rsidRPr="00DE1C6B">
        <w:rPr>
          <w:color w:val="auto"/>
        </w:rPr>
        <w:fldChar w:fldCharType="end"/>
      </w:r>
      <w:r w:rsidRPr="00DE1C6B">
        <w:rPr>
          <w:color w:val="auto"/>
        </w:rPr>
        <w:t xml:space="preserve"> Procentowy udział zużycia energii w poszczególnych sektorach</w:t>
      </w:r>
    </w:p>
    <w:p w:rsidR="00B80048" w:rsidRPr="003C5196" w:rsidRDefault="00904B81" w:rsidP="00600FF2">
      <w:pPr>
        <w:spacing w:line="240" w:lineRule="auto"/>
        <w:rPr>
          <w:sz w:val="20"/>
          <w:szCs w:val="20"/>
        </w:rPr>
      </w:pPr>
      <w:r w:rsidRPr="00904B81">
        <w:rPr>
          <w:sz w:val="20"/>
          <w:szCs w:val="20"/>
        </w:rPr>
        <w:t>Źródło: Opracowanie własne na podstawie danych z badań ankietowych</w:t>
      </w:r>
    </w:p>
    <w:p w:rsidR="00B80048" w:rsidRDefault="00B80048" w:rsidP="005E62FB">
      <w:r>
        <w:t>Najwyższa wartość emisji charakteryzuje sektor budynków jedno- i</w:t>
      </w:r>
      <w:r w:rsidR="00600FF2">
        <w:t xml:space="preserve"> wielorodzinnych, stanowi on </w:t>
      </w:r>
      <w:r w:rsidR="00BD0B27">
        <w:t>78,39</w:t>
      </w:r>
      <w:r w:rsidR="00600FF2">
        <w:t>%</w:t>
      </w:r>
      <w:r>
        <w:t xml:space="preserve"> ogólnego udziału w</w:t>
      </w:r>
      <w:r w:rsidR="00C736AD">
        <w:t xml:space="preserve"> wielkości emisji, drugi co do wielkości emisji jest sektor transportu</w:t>
      </w:r>
      <w:r w:rsidR="00600FF2">
        <w:t xml:space="preserve">, który stanowi </w:t>
      </w:r>
      <w:r w:rsidR="00BD0B27">
        <w:t>16,94</w:t>
      </w:r>
      <w:r w:rsidR="00600FF2">
        <w:t>%</w:t>
      </w:r>
      <w:r w:rsidR="00C736AD">
        <w:t xml:space="preserve">. </w:t>
      </w:r>
    </w:p>
    <w:p w:rsidR="00BD0B27" w:rsidRDefault="00BD0B27" w:rsidP="005E62FB">
      <w:r>
        <w:rPr>
          <w:noProof/>
          <w:lang w:eastAsia="pl-PL"/>
        </w:rPr>
        <w:lastRenderedPageBreak/>
        <w:drawing>
          <wp:inline distT="0" distB="0" distL="0" distR="0">
            <wp:extent cx="5794744" cy="3827721"/>
            <wp:effectExtent l="19050" t="0" r="15506" b="1329"/>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C5196" w:rsidRPr="00DE1C6B" w:rsidRDefault="003C5196" w:rsidP="00600FF2">
      <w:pPr>
        <w:pStyle w:val="Legenda"/>
        <w:ind w:firstLine="0"/>
        <w:rPr>
          <w:color w:val="auto"/>
        </w:rPr>
      </w:pPr>
      <w:r w:rsidRPr="00DE1C6B">
        <w:rPr>
          <w:color w:val="auto"/>
        </w:rPr>
        <w:t xml:space="preserve">Wykres </w:t>
      </w:r>
      <w:r w:rsidR="00844CE4" w:rsidRPr="00DE1C6B">
        <w:rPr>
          <w:color w:val="auto"/>
        </w:rPr>
        <w:fldChar w:fldCharType="begin"/>
      </w:r>
      <w:r w:rsidRPr="00DE1C6B">
        <w:rPr>
          <w:color w:val="auto"/>
        </w:rPr>
        <w:instrText xml:space="preserve"> SEQ Wykres \* ARABIC </w:instrText>
      </w:r>
      <w:r w:rsidR="00844CE4" w:rsidRPr="00DE1C6B">
        <w:rPr>
          <w:color w:val="auto"/>
        </w:rPr>
        <w:fldChar w:fldCharType="separate"/>
      </w:r>
      <w:r w:rsidR="005C42FD">
        <w:rPr>
          <w:noProof/>
          <w:color w:val="auto"/>
        </w:rPr>
        <w:t>29</w:t>
      </w:r>
      <w:r w:rsidR="00844CE4" w:rsidRPr="00DE1C6B">
        <w:rPr>
          <w:color w:val="auto"/>
        </w:rPr>
        <w:fldChar w:fldCharType="end"/>
      </w:r>
      <w:r w:rsidRPr="00DE1C6B">
        <w:rPr>
          <w:color w:val="auto"/>
        </w:rPr>
        <w:t xml:space="preserve"> Procentowy udział wielkości emisji CO2 w poszczególnych sektorach</w:t>
      </w:r>
    </w:p>
    <w:p w:rsidR="003C5196" w:rsidRDefault="003C5196" w:rsidP="00600FF2">
      <w:pPr>
        <w:spacing w:line="240" w:lineRule="auto"/>
        <w:rPr>
          <w:sz w:val="20"/>
          <w:szCs w:val="20"/>
        </w:rPr>
      </w:pPr>
      <w:r w:rsidRPr="003C5196">
        <w:rPr>
          <w:sz w:val="20"/>
          <w:szCs w:val="20"/>
        </w:rPr>
        <w:t>Źródło: Opracowanie własne na podstawie badań ankietowych</w:t>
      </w:r>
    </w:p>
    <w:p w:rsidR="00237861" w:rsidRPr="005E62FB" w:rsidRDefault="00237861" w:rsidP="005E62FB">
      <w:r>
        <w:t>Zużycie poszczególnych nośników jest na terenie gminy bardzo zróżnicowane. W poniższej tabeli przedstawiono zużycie energii i roczną emisję dwutlenku węgla dla poszczególnych nośników energii. Sumaryczna wartość emisji CO</w:t>
      </w:r>
      <w:r w:rsidRPr="00462F54">
        <w:rPr>
          <w:vertAlign w:val="subscript"/>
        </w:rPr>
        <w:t>2</w:t>
      </w:r>
      <w:r w:rsidR="00B13C08">
        <w:t xml:space="preserve"> w roku bazowym wyniosła </w:t>
      </w:r>
      <w:r w:rsidR="009A0453">
        <w:t>28 743,55</w:t>
      </w:r>
      <w:r w:rsidR="00B13C08">
        <w:t xml:space="preserve"> MgCO</w:t>
      </w:r>
      <w:r w:rsidR="00B13C08" w:rsidRPr="00B13C08">
        <w:rPr>
          <w:vertAlign w:val="subscript"/>
        </w:rPr>
        <w:t>2</w:t>
      </w:r>
      <w:r w:rsidR="00B13C08">
        <w:t>/rok</w:t>
      </w:r>
      <w:r>
        <w:t xml:space="preserve">. </w:t>
      </w:r>
    </w:p>
    <w:p w:rsidR="00BF3085" w:rsidRPr="00DE1C6B" w:rsidRDefault="00BF3085" w:rsidP="00BF3085">
      <w:pPr>
        <w:pStyle w:val="Legenda"/>
        <w:keepNext/>
        <w:ind w:firstLine="0"/>
        <w:rPr>
          <w:color w:val="auto"/>
        </w:rPr>
      </w:pPr>
      <w:bookmarkStart w:id="92" w:name="_Toc436586234"/>
      <w:r w:rsidRPr="00DE1C6B">
        <w:rPr>
          <w:color w:val="auto"/>
        </w:rPr>
        <w:t xml:space="preserve">Tabela </w:t>
      </w:r>
      <w:r w:rsidR="00844CE4" w:rsidRPr="00DE1C6B">
        <w:rPr>
          <w:color w:val="auto"/>
        </w:rPr>
        <w:fldChar w:fldCharType="begin"/>
      </w:r>
      <w:r w:rsidR="00387EC7" w:rsidRPr="00DE1C6B">
        <w:rPr>
          <w:color w:val="auto"/>
        </w:rPr>
        <w:instrText xml:space="preserve"> SEQ Tabela \* ARABIC </w:instrText>
      </w:r>
      <w:r w:rsidR="00844CE4" w:rsidRPr="00DE1C6B">
        <w:rPr>
          <w:color w:val="auto"/>
        </w:rPr>
        <w:fldChar w:fldCharType="separate"/>
      </w:r>
      <w:r w:rsidR="005C42FD">
        <w:rPr>
          <w:noProof/>
          <w:color w:val="auto"/>
        </w:rPr>
        <w:t>13</w:t>
      </w:r>
      <w:r w:rsidR="00844CE4" w:rsidRPr="00DE1C6B">
        <w:rPr>
          <w:color w:val="auto"/>
        </w:rPr>
        <w:fldChar w:fldCharType="end"/>
      </w:r>
      <w:r w:rsidR="0050315C" w:rsidRPr="00DE1C6B">
        <w:rPr>
          <w:color w:val="auto"/>
        </w:rPr>
        <w:t xml:space="preserve"> Zużycie energii dla poszczególnych nośników energii i roczna emisja CO2</w:t>
      </w:r>
      <w:bookmarkEnd w:id="92"/>
    </w:p>
    <w:tbl>
      <w:tblPr>
        <w:tblStyle w:val="rednialista2akcent1"/>
        <w:tblW w:w="5374" w:type="pct"/>
        <w:tblLook w:val="04A0"/>
      </w:tblPr>
      <w:tblGrid>
        <w:gridCol w:w="2805"/>
        <w:gridCol w:w="1795"/>
        <w:gridCol w:w="1795"/>
        <w:gridCol w:w="1795"/>
        <w:gridCol w:w="1793"/>
      </w:tblGrid>
      <w:tr w:rsidR="00237861" w:rsidTr="00AE1D3B">
        <w:trPr>
          <w:cnfStyle w:val="100000000000"/>
        </w:trPr>
        <w:tc>
          <w:tcPr>
            <w:cnfStyle w:val="001000000100"/>
            <w:tcW w:w="1405" w:type="pct"/>
            <w:tcBorders>
              <w:top w:val="none" w:sz="0" w:space="0" w:color="auto"/>
              <w:left w:val="none" w:sz="0" w:space="0" w:color="auto"/>
              <w:bottom w:val="none" w:sz="0" w:space="0" w:color="auto"/>
              <w:right w:val="none" w:sz="0" w:space="0" w:color="auto"/>
            </w:tcBorders>
            <w:noWrap/>
            <w:vAlign w:val="center"/>
          </w:tcPr>
          <w:p w:rsidR="00237861" w:rsidRDefault="00237861" w:rsidP="00AE1D3B">
            <w:pPr>
              <w:spacing w:line="240" w:lineRule="auto"/>
              <w:jc w:val="lef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Źródło emisji</w:t>
            </w:r>
          </w:p>
        </w:tc>
        <w:tc>
          <w:tcPr>
            <w:tcW w:w="899" w:type="pct"/>
            <w:tcBorders>
              <w:top w:val="none" w:sz="0" w:space="0" w:color="auto"/>
              <w:left w:val="none" w:sz="0" w:space="0" w:color="auto"/>
              <w:bottom w:val="none" w:sz="0" w:space="0" w:color="auto"/>
              <w:right w:val="none" w:sz="0" w:space="0" w:color="auto"/>
            </w:tcBorders>
            <w:vAlign w:val="center"/>
          </w:tcPr>
          <w:p w:rsidR="00237861" w:rsidRDefault="00237861" w:rsidP="00AE1D3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 xml:space="preserve">Całkowita energia </w:t>
            </w:r>
            <w:proofErr w:type="spellStart"/>
            <w:r w:rsidRPr="00774974">
              <w:rPr>
                <w:rFonts w:asciiTheme="minorHAnsi" w:eastAsiaTheme="minorEastAsia" w:hAnsiTheme="minorHAnsi" w:cstheme="minorBidi"/>
                <w:color w:val="auto"/>
                <w:sz w:val="22"/>
                <w:szCs w:val="22"/>
              </w:rPr>
              <w:t>MWh</w:t>
            </w:r>
            <w:proofErr w:type="spellEnd"/>
            <w:r w:rsidRPr="00774974">
              <w:rPr>
                <w:rFonts w:asciiTheme="minorHAnsi" w:eastAsiaTheme="minorEastAsia" w:hAnsiTheme="minorHAnsi" w:cstheme="minorBidi"/>
                <w:color w:val="auto"/>
                <w:sz w:val="22"/>
                <w:szCs w:val="22"/>
              </w:rPr>
              <w:t>/rok</w:t>
            </w:r>
          </w:p>
        </w:tc>
        <w:tc>
          <w:tcPr>
            <w:tcW w:w="899" w:type="pct"/>
            <w:tcBorders>
              <w:top w:val="none" w:sz="0" w:space="0" w:color="auto"/>
              <w:left w:val="none" w:sz="0" w:space="0" w:color="auto"/>
              <w:bottom w:val="none" w:sz="0" w:space="0" w:color="auto"/>
              <w:right w:val="none" w:sz="0" w:space="0" w:color="auto"/>
            </w:tcBorders>
            <w:vAlign w:val="center"/>
          </w:tcPr>
          <w:p w:rsidR="00237861" w:rsidRDefault="00237861" w:rsidP="00AE1D3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poszczególnych nośników energii</w:t>
            </w:r>
          </w:p>
        </w:tc>
        <w:tc>
          <w:tcPr>
            <w:tcW w:w="899" w:type="pct"/>
            <w:tcBorders>
              <w:top w:val="none" w:sz="0" w:space="0" w:color="auto"/>
              <w:left w:val="none" w:sz="0" w:space="0" w:color="auto"/>
              <w:bottom w:val="none" w:sz="0" w:space="0" w:color="auto"/>
              <w:right w:val="none" w:sz="0" w:space="0" w:color="auto"/>
            </w:tcBorders>
            <w:vAlign w:val="center"/>
          </w:tcPr>
          <w:p w:rsidR="00237861" w:rsidRDefault="00237861" w:rsidP="00AE1D3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Całkowita emisja MgCO2/rok</w:t>
            </w:r>
          </w:p>
        </w:tc>
        <w:tc>
          <w:tcPr>
            <w:tcW w:w="898" w:type="pct"/>
            <w:tcBorders>
              <w:top w:val="none" w:sz="0" w:space="0" w:color="auto"/>
              <w:left w:val="none" w:sz="0" w:space="0" w:color="auto"/>
              <w:bottom w:val="none" w:sz="0" w:space="0" w:color="auto"/>
              <w:right w:val="none" w:sz="0" w:space="0" w:color="auto"/>
            </w:tcBorders>
            <w:vAlign w:val="center"/>
          </w:tcPr>
          <w:p w:rsidR="00237861" w:rsidRDefault="00237861" w:rsidP="00AE1D3B">
            <w:pPr>
              <w:spacing w:line="240" w:lineRule="auto"/>
              <w:jc w:val="left"/>
              <w:cnfStyle w:val="100000000000"/>
              <w:rPr>
                <w:rFonts w:asciiTheme="minorHAnsi" w:eastAsiaTheme="minorEastAsia" w:hAnsiTheme="minorHAnsi" w:cstheme="minorBidi"/>
                <w:color w:val="auto"/>
                <w:sz w:val="22"/>
                <w:szCs w:val="22"/>
              </w:rPr>
            </w:pPr>
            <w:r w:rsidRPr="00774974">
              <w:rPr>
                <w:rFonts w:asciiTheme="minorHAnsi" w:eastAsiaTheme="minorEastAsia" w:hAnsiTheme="minorHAnsi" w:cstheme="minorBidi"/>
                <w:color w:val="auto"/>
                <w:sz w:val="22"/>
                <w:szCs w:val="22"/>
              </w:rPr>
              <w:t>Procentowy udział wielkości emisji CO2</w:t>
            </w:r>
          </w:p>
        </w:tc>
      </w:tr>
      <w:tr w:rsidR="00237861" w:rsidTr="00AE1D3B">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237861" w:rsidRDefault="00237861" w:rsidP="00AE1D3B">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2009</w:t>
            </w:r>
          </w:p>
        </w:tc>
      </w:tr>
      <w:tr w:rsidR="00237861" w:rsidRPr="00774974" w:rsidTr="00AE1D3B">
        <w:tc>
          <w:tcPr>
            <w:cnfStyle w:val="001000000000"/>
            <w:tcW w:w="1405" w:type="pct"/>
            <w:tcBorders>
              <w:left w:val="none" w:sz="0" w:space="0" w:color="auto"/>
              <w:bottom w:val="none" w:sz="0" w:space="0" w:color="auto"/>
              <w:right w:val="none" w:sz="0" w:space="0" w:color="auto"/>
            </w:tcBorders>
            <w:noWrap/>
          </w:tcPr>
          <w:p w:rsidR="00237861" w:rsidRPr="00EB0DCE" w:rsidRDefault="00EB0DCE" w:rsidP="00AE1D3B">
            <w:pPr>
              <w:pStyle w:val="DecimalAligned"/>
              <w:spacing w:line="240" w:lineRule="auto"/>
              <w:rPr>
                <w:rFonts w:asciiTheme="minorHAnsi" w:hAnsiTheme="minorHAnsi"/>
                <w:sz w:val="20"/>
                <w:szCs w:val="20"/>
              </w:rPr>
            </w:pPr>
            <w:r w:rsidRPr="00EB0DCE">
              <w:rPr>
                <w:rFonts w:asciiTheme="minorHAnsi" w:hAnsiTheme="minorHAnsi"/>
                <w:sz w:val="20"/>
                <w:szCs w:val="20"/>
              </w:rPr>
              <w:t>Energia elektryczna</w:t>
            </w:r>
          </w:p>
        </w:tc>
        <w:tc>
          <w:tcPr>
            <w:tcW w:w="899" w:type="pct"/>
          </w:tcPr>
          <w:p w:rsidR="00237861" w:rsidRPr="00462F54" w:rsidRDefault="00462F54" w:rsidP="00462F54">
            <w:pPr>
              <w:pStyle w:val="DecimalAligned"/>
              <w:tabs>
                <w:tab w:val="clear" w:pos="360"/>
              </w:tabs>
              <w:jc w:val="right"/>
              <w:cnfStyle w:val="000000000000"/>
              <w:rPr>
                <w:rFonts w:asciiTheme="minorHAnsi" w:hAnsiTheme="minorHAnsi"/>
                <w:sz w:val="20"/>
                <w:szCs w:val="20"/>
              </w:rPr>
            </w:pPr>
            <w:r w:rsidRPr="00462F54">
              <w:rPr>
                <w:rFonts w:asciiTheme="minorHAnsi" w:hAnsiTheme="minorHAnsi"/>
                <w:sz w:val="20"/>
                <w:szCs w:val="20"/>
              </w:rPr>
              <w:t>8 733,68</w:t>
            </w:r>
          </w:p>
        </w:tc>
        <w:tc>
          <w:tcPr>
            <w:tcW w:w="899" w:type="pct"/>
          </w:tcPr>
          <w:p w:rsidR="00237861"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9,17</w:t>
            </w:r>
            <w:r w:rsidR="00462F54">
              <w:rPr>
                <w:rFonts w:asciiTheme="minorHAnsi" w:hAnsiTheme="minorHAnsi"/>
                <w:sz w:val="20"/>
                <w:szCs w:val="20"/>
              </w:rPr>
              <w:t xml:space="preserve"> %</w:t>
            </w:r>
          </w:p>
        </w:tc>
        <w:tc>
          <w:tcPr>
            <w:tcW w:w="899" w:type="pct"/>
          </w:tcPr>
          <w:p w:rsidR="00237861" w:rsidRPr="00462F54" w:rsidRDefault="00462F54"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7 091,75</w:t>
            </w:r>
          </w:p>
        </w:tc>
        <w:tc>
          <w:tcPr>
            <w:tcW w:w="898" w:type="pct"/>
          </w:tcPr>
          <w:p w:rsidR="00237861"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24,67</w:t>
            </w:r>
            <w:r w:rsidR="00462F54">
              <w:rPr>
                <w:rFonts w:asciiTheme="minorHAnsi" w:hAnsiTheme="minorHAnsi"/>
                <w:sz w:val="20"/>
                <w:szCs w:val="20"/>
              </w:rPr>
              <w:t xml:space="preserve"> %</w:t>
            </w:r>
          </w:p>
        </w:tc>
      </w:tr>
      <w:tr w:rsidR="00237861" w:rsidRPr="00774974" w:rsidTr="00AE1D3B">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237861" w:rsidRPr="00EB0DCE" w:rsidRDefault="00EB0DCE" w:rsidP="00AE1D3B">
            <w:pPr>
              <w:pStyle w:val="DecimalAligned"/>
              <w:spacing w:line="240" w:lineRule="auto"/>
              <w:rPr>
                <w:rFonts w:asciiTheme="minorHAnsi" w:hAnsiTheme="minorHAnsi"/>
                <w:sz w:val="20"/>
                <w:szCs w:val="20"/>
              </w:rPr>
            </w:pPr>
            <w:r w:rsidRPr="00EB0DCE">
              <w:rPr>
                <w:rFonts w:asciiTheme="minorHAnsi" w:hAnsiTheme="minorHAnsi"/>
                <w:sz w:val="20"/>
                <w:szCs w:val="20"/>
              </w:rPr>
              <w:t>Węgiel kamienny</w:t>
            </w:r>
          </w:p>
        </w:tc>
        <w:tc>
          <w:tcPr>
            <w:tcW w:w="899" w:type="pct"/>
            <w:tcBorders>
              <w:top w:val="none" w:sz="0" w:space="0" w:color="auto"/>
              <w:left w:val="none" w:sz="0" w:space="0" w:color="auto"/>
              <w:bottom w:val="none" w:sz="0" w:space="0" w:color="auto"/>
              <w:right w:val="none" w:sz="0" w:space="0" w:color="auto"/>
            </w:tcBorders>
          </w:tcPr>
          <w:p w:rsidR="00237861" w:rsidRPr="00462F54" w:rsidRDefault="00B20072"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50 263,28</w:t>
            </w:r>
          </w:p>
        </w:tc>
        <w:tc>
          <w:tcPr>
            <w:tcW w:w="899" w:type="pct"/>
            <w:tcBorders>
              <w:top w:val="none" w:sz="0" w:space="0" w:color="auto"/>
              <w:left w:val="none" w:sz="0" w:space="0" w:color="auto"/>
              <w:bottom w:val="none" w:sz="0" w:space="0" w:color="auto"/>
              <w:right w:val="none" w:sz="0" w:space="0" w:color="auto"/>
            </w:tcBorders>
          </w:tcPr>
          <w:p w:rsidR="00237861"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52,79</w:t>
            </w:r>
            <w:r w:rsidR="00462F54">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237861"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16 763,03</w:t>
            </w:r>
          </w:p>
        </w:tc>
        <w:tc>
          <w:tcPr>
            <w:tcW w:w="898" w:type="pct"/>
            <w:tcBorders>
              <w:top w:val="none" w:sz="0" w:space="0" w:color="auto"/>
              <w:left w:val="none" w:sz="0" w:space="0" w:color="auto"/>
              <w:bottom w:val="none" w:sz="0" w:space="0" w:color="auto"/>
            </w:tcBorders>
          </w:tcPr>
          <w:p w:rsidR="00237861"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58,32</w:t>
            </w:r>
            <w:r w:rsidR="00462F54">
              <w:rPr>
                <w:rFonts w:asciiTheme="minorHAnsi" w:hAnsiTheme="minorHAnsi"/>
                <w:sz w:val="20"/>
                <w:szCs w:val="20"/>
              </w:rPr>
              <w:t xml:space="preserve"> %</w:t>
            </w:r>
          </w:p>
        </w:tc>
      </w:tr>
      <w:tr w:rsidR="00237861" w:rsidRPr="00774974" w:rsidTr="00AE1D3B">
        <w:tc>
          <w:tcPr>
            <w:cnfStyle w:val="001000000000"/>
            <w:tcW w:w="1405" w:type="pct"/>
            <w:tcBorders>
              <w:left w:val="none" w:sz="0" w:space="0" w:color="auto"/>
              <w:bottom w:val="none" w:sz="0" w:space="0" w:color="auto"/>
              <w:right w:val="none" w:sz="0" w:space="0" w:color="auto"/>
            </w:tcBorders>
            <w:noWrap/>
          </w:tcPr>
          <w:p w:rsidR="00237861" w:rsidRPr="00EB0DCE" w:rsidRDefault="00EB0DCE" w:rsidP="00AE1D3B">
            <w:pPr>
              <w:pStyle w:val="DecimalAligned"/>
              <w:spacing w:line="240" w:lineRule="auto"/>
              <w:rPr>
                <w:rFonts w:asciiTheme="minorHAnsi" w:hAnsiTheme="minorHAnsi"/>
                <w:sz w:val="20"/>
                <w:szCs w:val="20"/>
              </w:rPr>
            </w:pPr>
            <w:r w:rsidRPr="00EB0DCE">
              <w:rPr>
                <w:rFonts w:asciiTheme="minorHAnsi" w:hAnsiTheme="minorHAnsi"/>
                <w:sz w:val="20"/>
                <w:szCs w:val="20"/>
              </w:rPr>
              <w:t>Olej opałowy</w:t>
            </w:r>
          </w:p>
        </w:tc>
        <w:tc>
          <w:tcPr>
            <w:tcW w:w="899" w:type="pct"/>
          </w:tcPr>
          <w:p w:rsidR="00237861"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227,59</w:t>
            </w:r>
          </w:p>
        </w:tc>
        <w:tc>
          <w:tcPr>
            <w:tcW w:w="899" w:type="pct"/>
          </w:tcPr>
          <w:p w:rsidR="00237861" w:rsidRPr="00462F54" w:rsidRDefault="00462F54" w:rsidP="009A0453">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0,2</w:t>
            </w:r>
            <w:r w:rsidR="009A0453">
              <w:rPr>
                <w:rFonts w:asciiTheme="minorHAnsi" w:hAnsiTheme="minorHAnsi"/>
                <w:sz w:val="20"/>
                <w:szCs w:val="20"/>
              </w:rPr>
              <w:t>4</w:t>
            </w:r>
            <w:r>
              <w:rPr>
                <w:rFonts w:asciiTheme="minorHAnsi" w:hAnsiTheme="minorHAnsi"/>
                <w:sz w:val="20"/>
                <w:szCs w:val="20"/>
              </w:rPr>
              <w:t xml:space="preserve"> %</w:t>
            </w:r>
          </w:p>
        </w:tc>
        <w:tc>
          <w:tcPr>
            <w:tcW w:w="899" w:type="pct"/>
          </w:tcPr>
          <w:p w:rsidR="00237861"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17,23</w:t>
            </w:r>
          </w:p>
        </w:tc>
        <w:tc>
          <w:tcPr>
            <w:tcW w:w="898" w:type="pct"/>
          </w:tcPr>
          <w:p w:rsidR="00237861" w:rsidRPr="00462F54" w:rsidRDefault="00462F54" w:rsidP="009A0453">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0,</w:t>
            </w:r>
            <w:r w:rsidR="009A0453">
              <w:rPr>
                <w:rFonts w:asciiTheme="minorHAnsi" w:hAnsiTheme="minorHAnsi"/>
                <w:sz w:val="20"/>
                <w:szCs w:val="20"/>
              </w:rPr>
              <w:t>06</w:t>
            </w:r>
            <w:r>
              <w:rPr>
                <w:rFonts w:asciiTheme="minorHAnsi" w:hAnsiTheme="minorHAnsi"/>
                <w:sz w:val="20"/>
                <w:szCs w:val="20"/>
              </w:rPr>
              <w:t xml:space="preserve"> %</w:t>
            </w:r>
          </w:p>
        </w:tc>
      </w:tr>
      <w:tr w:rsidR="00EB0DCE" w:rsidRPr="00774974" w:rsidTr="00EB0DCE">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EB0DCE" w:rsidRPr="00EB0DCE" w:rsidRDefault="00EB0DCE" w:rsidP="00AE1D3B">
            <w:pPr>
              <w:pStyle w:val="DecimalAligned"/>
              <w:spacing w:line="240" w:lineRule="auto"/>
              <w:rPr>
                <w:rFonts w:asciiTheme="minorHAnsi" w:hAnsiTheme="minorHAnsi"/>
                <w:sz w:val="20"/>
                <w:szCs w:val="20"/>
              </w:rPr>
            </w:pPr>
            <w:r w:rsidRPr="00EB0DCE">
              <w:rPr>
                <w:rFonts w:asciiTheme="minorHAnsi" w:hAnsiTheme="minorHAnsi"/>
                <w:sz w:val="20"/>
                <w:szCs w:val="20"/>
              </w:rPr>
              <w:t>Gaz ziemny</w:t>
            </w:r>
          </w:p>
        </w:tc>
        <w:tc>
          <w:tcPr>
            <w:tcW w:w="899" w:type="pct"/>
            <w:tcBorders>
              <w:top w:val="none" w:sz="0" w:space="0" w:color="auto"/>
              <w:left w:val="none" w:sz="0" w:space="0" w:color="auto"/>
              <w:bottom w:val="none" w:sz="0" w:space="0" w:color="auto"/>
              <w:right w:val="none" w:sz="0" w:space="0" w:color="auto"/>
            </w:tcBorders>
          </w:tcPr>
          <w:p w:rsidR="00EB0DCE" w:rsidRPr="00462F54" w:rsidRDefault="00462F54" w:rsidP="00462F54">
            <w:pPr>
              <w:pStyle w:val="DecimalAligned"/>
              <w:tabs>
                <w:tab w:val="clear" w:pos="360"/>
              </w:tabs>
              <w:jc w:val="right"/>
              <w:cnfStyle w:val="000000100000"/>
              <w:rPr>
                <w:rFonts w:asciiTheme="minorHAnsi" w:hAnsiTheme="minorHAnsi"/>
                <w:sz w:val="20"/>
                <w:szCs w:val="20"/>
              </w:rPr>
            </w:pPr>
            <w:r w:rsidRPr="00462F54">
              <w:rPr>
                <w:rFonts w:asciiTheme="minorHAnsi" w:hAnsiTheme="minorHAnsi"/>
                <w:sz w:val="20"/>
                <w:szCs w:val="20"/>
              </w:rPr>
              <w:t>22,63</w:t>
            </w:r>
          </w:p>
        </w:tc>
        <w:tc>
          <w:tcPr>
            <w:tcW w:w="899" w:type="pct"/>
            <w:tcBorders>
              <w:top w:val="none" w:sz="0" w:space="0" w:color="auto"/>
              <w:left w:val="none" w:sz="0" w:space="0" w:color="auto"/>
              <w:bottom w:val="none" w:sz="0" w:space="0" w:color="auto"/>
              <w:right w:val="none" w:sz="0" w:space="0" w:color="auto"/>
            </w:tcBorders>
          </w:tcPr>
          <w:p w:rsidR="00EB0DCE" w:rsidRPr="00462F54" w:rsidRDefault="00462F54"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0,0</w:t>
            </w:r>
            <w:r w:rsidR="009A0453">
              <w:rPr>
                <w:rFonts w:asciiTheme="minorHAnsi" w:hAnsiTheme="minorHAnsi"/>
                <w:sz w:val="20"/>
                <w:szCs w:val="20"/>
              </w:rPr>
              <w:t>2</w:t>
            </w:r>
            <w:r>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EB0DCE" w:rsidRPr="00462F54" w:rsidRDefault="00462F54"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1,66</w:t>
            </w:r>
          </w:p>
        </w:tc>
        <w:tc>
          <w:tcPr>
            <w:tcW w:w="898" w:type="pct"/>
            <w:tcBorders>
              <w:top w:val="none" w:sz="0" w:space="0" w:color="auto"/>
              <w:left w:val="none" w:sz="0" w:space="0" w:color="auto"/>
              <w:bottom w:val="none" w:sz="0" w:space="0" w:color="auto"/>
            </w:tcBorders>
          </w:tcPr>
          <w:p w:rsidR="00EB0DCE" w:rsidRPr="00462F54" w:rsidRDefault="00462F54"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0,0</w:t>
            </w:r>
            <w:r w:rsidR="009A0453">
              <w:rPr>
                <w:rFonts w:asciiTheme="minorHAnsi" w:hAnsiTheme="minorHAnsi"/>
                <w:sz w:val="20"/>
                <w:szCs w:val="20"/>
              </w:rPr>
              <w:t>1</w:t>
            </w:r>
            <w:r>
              <w:rPr>
                <w:rFonts w:asciiTheme="minorHAnsi" w:hAnsiTheme="minorHAnsi"/>
                <w:sz w:val="20"/>
                <w:szCs w:val="20"/>
              </w:rPr>
              <w:t xml:space="preserve"> %</w:t>
            </w:r>
          </w:p>
        </w:tc>
      </w:tr>
      <w:tr w:rsidR="00EB0DCE" w:rsidRPr="00774974" w:rsidTr="00EB0DCE">
        <w:tc>
          <w:tcPr>
            <w:cnfStyle w:val="001000000000"/>
            <w:tcW w:w="1405" w:type="pct"/>
            <w:tcBorders>
              <w:left w:val="none" w:sz="0" w:space="0" w:color="auto"/>
              <w:bottom w:val="none" w:sz="0" w:space="0" w:color="auto"/>
              <w:right w:val="none" w:sz="0" w:space="0" w:color="auto"/>
            </w:tcBorders>
            <w:noWrap/>
          </w:tcPr>
          <w:p w:rsidR="00EB0DCE" w:rsidRPr="00EB0DCE" w:rsidRDefault="00EB0DCE" w:rsidP="00AE1D3B">
            <w:pPr>
              <w:pStyle w:val="DecimalAligned"/>
              <w:spacing w:line="240" w:lineRule="auto"/>
              <w:rPr>
                <w:rFonts w:asciiTheme="minorHAnsi" w:hAnsiTheme="minorHAnsi"/>
                <w:sz w:val="20"/>
                <w:szCs w:val="20"/>
              </w:rPr>
            </w:pPr>
            <w:r w:rsidRPr="00EB0DCE">
              <w:rPr>
                <w:rFonts w:asciiTheme="minorHAnsi" w:hAnsiTheme="minorHAnsi"/>
                <w:sz w:val="20"/>
                <w:szCs w:val="20"/>
              </w:rPr>
              <w:t>Biomasa</w:t>
            </w:r>
          </w:p>
        </w:tc>
        <w:tc>
          <w:tcPr>
            <w:tcW w:w="899"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16 621,11</w:t>
            </w:r>
          </w:p>
        </w:tc>
        <w:tc>
          <w:tcPr>
            <w:tcW w:w="899"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17,46</w:t>
            </w:r>
            <w:r w:rsidR="00462F54">
              <w:rPr>
                <w:rFonts w:asciiTheme="minorHAnsi" w:hAnsiTheme="minorHAnsi"/>
                <w:sz w:val="20"/>
                <w:szCs w:val="20"/>
              </w:rPr>
              <w:t xml:space="preserve"> %</w:t>
            </w:r>
          </w:p>
        </w:tc>
        <w:tc>
          <w:tcPr>
            <w:tcW w:w="899" w:type="pct"/>
          </w:tcPr>
          <w:p w:rsidR="00EB0DCE" w:rsidRPr="00462F54" w:rsidRDefault="00EB0DCE" w:rsidP="00015360">
            <w:pPr>
              <w:pStyle w:val="DecimalAligned"/>
              <w:numPr>
                <w:ilvl w:val="0"/>
                <w:numId w:val="68"/>
              </w:numPr>
              <w:tabs>
                <w:tab w:val="clear" w:pos="360"/>
              </w:tabs>
              <w:jc w:val="right"/>
              <w:cnfStyle w:val="000000000000"/>
              <w:rPr>
                <w:rFonts w:asciiTheme="minorHAnsi" w:hAnsiTheme="minorHAnsi"/>
                <w:sz w:val="20"/>
                <w:szCs w:val="20"/>
              </w:rPr>
            </w:pPr>
          </w:p>
        </w:tc>
        <w:tc>
          <w:tcPr>
            <w:tcW w:w="898" w:type="pct"/>
          </w:tcPr>
          <w:p w:rsidR="00EB0DCE" w:rsidRPr="00462F54" w:rsidRDefault="00462F54"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0,00 %</w:t>
            </w:r>
          </w:p>
        </w:tc>
      </w:tr>
      <w:tr w:rsidR="00EB0DCE" w:rsidRPr="00774974" w:rsidTr="00EB0DCE">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EB0DCE" w:rsidRPr="00EB0DCE" w:rsidRDefault="00EB0DCE" w:rsidP="00AE1D3B">
            <w:pPr>
              <w:pStyle w:val="DecimalAligned"/>
              <w:spacing w:line="240" w:lineRule="auto"/>
              <w:rPr>
                <w:rFonts w:asciiTheme="minorHAnsi" w:hAnsiTheme="minorHAnsi"/>
                <w:sz w:val="20"/>
                <w:szCs w:val="20"/>
              </w:rPr>
            </w:pPr>
            <w:r>
              <w:rPr>
                <w:rFonts w:asciiTheme="minorHAnsi" w:hAnsiTheme="minorHAnsi"/>
                <w:sz w:val="20"/>
                <w:szCs w:val="20"/>
              </w:rPr>
              <w:t>Benzyna</w:t>
            </w:r>
          </w:p>
        </w:tc>
        <w:tc>
          <w:tcPr>
            <w:tcW w:w="899" w:type="pct"/>
            <w:tcBorders>
              <w:top w:val="none" w:sz="0" w:space="0" w:color="auto"/>
              <w:left w:val="none" w:sz="0" w:space="0" w:color="auto"/>
              <w:bottom w:val="none" w:sz="0" w:space="0" w:color="auto"/>
              <w:right w:val="none" w:sz="0" w:space="0" w:color="auto"/>
            </w:tcBorders>
          </w:tcPr>
          <w:p w:rsidR="00EB0DCE"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6 216,43</w:t>
            </w:r>
          </w:p>
        </w:tc>
        <w:tc>
          <w:tcPr>
            <w:tcW w:w="899" w:type="pct"/>
            <w:tcBorders>
              <w:top w:val="none" w:sz="0" w:space="0" w:color="auto"/>
              <w:left w:val="none" w:sz="0" w:space="0" w:color="auto"/>
              <w:bottom w:val="none" w:sz="0" w:space="0" w:color="auto"/>
              <w:right w:val="none" w:sz="0" w:space="0" w:color="auto"/>
            </w:tcBorders>
          </w:tcPr>
          <w:p w:rsidR="00EB0DCE"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6,53</w:t>
            </w:r>
            <w:r w:rsidR="00462F54">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EB0DCE" w:rsidRPr="00462F54" w:rsidRDefault="00462F54"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w:t>
            </w:r>
            <w:r w:rsidR="009A0453">
              <w:rPr>
                <w:rFonts w:asciiTheme="minorHAnsi" w:hAnsiTheme="minorHAnsi"/>
                <w:sz w:val="20"/>
                <w:szCs w:val="20"/>
              </w:rPr>
              <w:t> 535,46</w:t>
            </w:r>
          </w:p>
        </w:tc>
        <w:tc>
          <w:tcPr>
            <w:tcW w:w="898" w:type="pct"/>
            <w:tcBorders>
              <w:top w:val="none" w:sz="0" w:space="0" w:color="auto"/>
              <w:left w:val="none" w:sz="0" w:space="0" w:color="auto"/>
              <w:bottom w:val="none" w:sz="0" w:space="0" w:color="auto"/>
            </w:tcBorders>
          </w:tcPr>
          <w:p w:rsidR="00EB0DCE"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5,34</w:t>
            </w:r>
            <w:r w:rsidR="006567B8">
              <w:rPr>
                <w:rFonts w:asciiTheme="minorHAnsi" w:hAnsiTheme="minorHAnsi"/>
                <w:sz w:val="20"/>
                <w:szCs w:val="20"/>
              </w:rPr>
              <w:t xml:space="preserve"> %</w:t>
            </w:r>
          </w:p>
        </w:tc>
      </w:tr>
      <w:tr w:rsidR="00EB0DCE" w:rsidRPr="00774974" w:rsidTr="00EB0DCE">
        <w:tc>
          <w:tcPr>
            <w:cnfStyle w:val="001000000000"/>
            <w:tcW w:w="1405" w:type="pct"/>
            <w:tcBorders>
              <w:left w:val="none" w:sz="0" w:space="0" w:color="auto"/>
              <w:bottom w:val="none" w:sz="0" w:space="0" w:color="auto"/>
              <w:right w:val="none" w:sz="0" w:space="0" w:color="auto"/>
            </w:tcBorders>
            <w:noWrap/>
          </w:tcPr>
          <w:p w:rsidR="00EB0DCE" w:rsidRPr="00EB0DCE" w:rsidRDefault="00EB0DCE" w:rsidP="00AE1D3B">
            <w:pPr>
              <w:pStyle w:val="DecimalAligned"/>
              <w:spacing w:line="240" w:lineRule="auto"/>
              <w:rPr>
                <w:rFonts w:asciiTheme="minorHAnsi" w:hAnsiTheme="minorHAnsi"/>
                <w:sz w:val="20"/>
                <w:szCs w:val="20"/>
              </w:rPr>
            </w:pPr>
            <w:r>
              <w:rPr>
                <w:rFonts w:asciiTheme="minorHAnsi" w:hAnsiTheme="minorHAnsi"/>
                <w:sz w:val="20"/>
                <w:szCs w:val="20"/>
              </w:rPr>
              <w:t>Olej napędowy</w:t>
            </w:r>
          </w:p>
        </w:tc>
        <w:tc>
          <w:tcPr>
            <w:tcW w:w="899"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11 012,99</w:t>
            </w:r>
          </w:p>
        </w:tc>
        <w:tc>
          <w:tcPr>
            <w:tcW w:w="899"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11,57</w:t>
            </w:r>
            <w:r w:rsidR="00462F54">
              <w:rPr>
                <w:rFonts w:asciiTheme="minorHAnsi" w:hAnsiTheme="minorHAnsi"/>
                <w:sz w:val="20"/>
                <w:szCs w:val="20"/>
              </w:rPr>
              <w:t xml:space="preserve"> %</w:t>
            </w:r>
          </w:p>
        </w:tc>
        <w:tc>
          <w:tcPr>
            <w:tcW w:w="899"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2 907,43</w:t>
            </w:r>
          </w:p>
        </w:tc>
        <w:tc>
          <w:tcPr>
            <w:tcW w:w="898" w:type="pct"/>
          </w:tcPr>
          <w:p w:rsidR="00EB0DCE" w:rsidRPr="00462F54" w:rsidRDefault="009A0453" w:rsidP="00462F54">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10,12</w:t>
            </w:r>
            <w:r w:rsidR="006567B8">
              <w:rPr>
                <w:rFonts w:asciiTheme="minorHAnsi" w:hAnsiTheme="minorHAnsi"/>
                <w:sz w:val="20"/>
                <w:szCs w:val="20"/>
              </w:rPr>
              <w:t xml:space="preserve"> %</w:t>
            </w:r>
          </w:p>
        </w:tc>
      </w:tr>
      <w:tr w:rsidR="00EB0DCE" w:rsidRPr="00774974" w:rsidTr="00EB0DCE">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237861" w:rsidRPr="00EB0DCE" w:rsidRDefault="00EB0DCE" w:rsidP="00AE1D3B">
            <w:pPr>
              <w:pStyle w:val="DecimalAligned"/>
              <w:spacing w:line="240" w:lineRule="auto"/>
              <w:rPr>
                <w:rFonts w:asciiTheme="minorHAnsi" w:hAnsiTheme="minorHAnsi"/>
                <w:sz w:val="20"/>
                <w:szCs w:val="20"/>
              </w:rPr>
            </w:pPr>
            <w:r>
              <w:rPr>
                <w:rFonts w:asciiTheme="minorHAnsi" w:hAnsiTheme="minorHAnsi"/>
                <w:sz w:val="20"/>
                <w:szCs w:val="20"/>
              </w:rPr>
              <w:t>Gaz LPG</w:t>
            </w:r>
          </w:p>
        </w:tc>
        <w:tc>
          <w:tcPr>
            <w:tcW w:w="899" w:type="pct"/>
            <w:tcBorders>
              <w:top w:val="none" w:sz="0" w:space="0" w:color="auto"/>
              <w:left w:val="none" w:sz="0" w:space="0" w:color="auto"/>
              <w:bottom w:val="none" w:sz="0" w:space="0" w:color="auto"/>
              <w:right w:val="none" w:sz="0" w:space="0" w:color="auto"/>
            </w:tcBorders>
          </w:tcPr>
          <w:p w:rsidR="00237861" w:rsidRPr="00462F54" w:rsidRDefault="00462F54" w:rsidP="009A0453">
            <w:pPr>
              <w:pStyle w:val="DecimalAligned"/>
              <w:tabs>
                <w:tab w:val="clear" w:pos="360"/>
              </w:tabs>
              <w:jc w:val="right"/>
              <w:cnfStyle w:val="000000100000"/>
              <w:rPr>
                <w:rFonts w:asciiTheme="minorHAnsi" w:hAnsiTheme="minorHAnsi"/>
                <w:sz w:val="20"/>
                <w:szCs w:val="20"/>
              </w:rPr>
            </w:pPr>
            <w:r w:rsidRPr="00462F54">
              <w:rPr>
                <w:rFonts w:asciiTheme="minorHAnsi" w:hAnsiTheme="minorHAnsi"/>
                <w:sz w:val="20"/>
                <w:szCs w:val="20"/>
              </w:rPr>
              <w:t>2</w:t>
            </w:r>
            <w:r w:rsidR="009A0453">
              <w:rPr>
                <w:rFonts w:asciiTheme="minorHAnsi" w:hAnsiTheme="minorHAnsi"/>
                <w:sz w:val="20"/>
                <w:szCs w:val="20"/>
              </w:rPr>
              <w:t> 124,35</w:t>
            </w:r>
          </w:p>
        </w:tc>
        <w:tc>
          <w:tcPr>
            <w:tcW w:w="899" w:type="pct"/>
            <w:tcBorders>
              <w:top w:val="none" w:sz="0" w:space="0" w:color="auto"/>
              <w:left w:val="none" w:sz="0" w:space="0" w:color="auto"/>
              <w:bottom w:val="none" w:sz="0" w:space="0" w:color="auto"/>
              <w:right w:val="none" w:sz="0" w:space="0" w:color="auto"/>
            </w:tcBorders>
          </w:tcPr>
          <w:p w:rsidR="00237861"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2,23</w:t>
            </w:r>
            <w:r w:rsidR="00462F54">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237861" w:rsidRPr="00462F54" w:rsidRDefault="009A0453" w:rsidP="00462F54">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426,99</w:t>
            </w:r>
          </w:p>
        </w:tc>
        <w:tc>
          <w:tcPr>
            <w:tcW w:w="898" w:type="pct"/>
            <w:tcBorders>
              <w:top w:val="none" w:sz="0" w:space="0" w:color="auto"/>
              <w:left w:val="none" w:sz="0" w:space="0" w:color="auto"/>
              <w:bottom w:val="none" w:sz="0" w:space="0" w:color="auto"/>
            </w:tcBorders>
          </w:tcPr>
          <w:p w:rsidR="00237861" w:rsidRPr="00462F54" w:rsidRDefault="006567B8"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w:t>
            </w:r>
            <w:r w:rsidR="009A0453">
              <w:rPr>
                <w:rFonts w:asciiTheme="minorHAnsi" w:hAnsiTheme="minorHAnsi"/>
                <w:sz w:val="20"/>
                <w:szCs w:val="20"/>
              </w:rPr>
              <w:t>4</w:t>
            </w:r>
            <w:r>
              <w:rPr>
                <w:rFonts w:asciiTheme="minorHAnsi" w:hAnsiTheme="minorHAnsi"/>
                <w:sz w:val="20"/>
                <w:szCs w:val="20"/>
              </w:rPr>
              <w:t>9 %</w:t>
            </w:r>
          </w:p>
        </w:tc>
      </w:tr>
      <w:tr w:rsidR="00EB0DCE" w:rsidRPr="00774974" w:rsidTr="00EB0DCE">
        <w:tc>
          <w:tcPr>
            <w:cnfStyle w:val="001000000000"/>
            <w:tcW w:w="1405" w:type="pct"/>
            <w:tcBorders>
              <w:left w:val="none" w:sz="0" w:space="0" w:color="auto"/>
              <w:bottom w:val="none" w:sz="0" w:space="0" w:color="auto"/>
              <w:right w:val="none" w:sz="0" w:space="0" w:color="auto"/>
            </w:tcBorders>
            <w:noWrap/>
          </w:tcPr>
          <w:p w:rsidR="00237861" w:rsidRPr="004759D9" w:rsidRDefault="00237861" w:rsidP="00AE1D3B">
            <w:pPr>
              <w:jc w:val="left"/>
              <w:rPr>
                <w:rStyle w:val="Wyrnieniedelikatne"/>
                <w:rFonts w:asciiTheme="minorHAnsi" w:hAnsiTheme="minorHAnsi"/>
                <w:b/>
                <w:i w:val="0"/>
                <w:color w:val="auto"/>
                <w:sz w:val="20"/>
                <w:szCs w:val="20"/>
              </w:rPr>
            </w:pPr>
            <w:r w:rsidRPr="004759D9">
              <w:rPr>
                <w:rStyle w:val="Wyrnieniedelikatne"/>
                <w:rFonts w:asciiTheme="minorHAnsi" w:hAnsiTheme="minorHAnsi"/>
                <w:b/>
                <w:i w:val="0"/>
                <w:color w:val="auto"/>
                <w:sz w:val="20"/>
                <w:szCs w:val="20"/>
              </w:rPr>
              <w:t>SUMA</w:t>
            </w:r>
          </w:p>
        </w:tc>
        <w:tc>
          <w:tcPr>
            <w:tcW w:w="899" w:type="pct"/>
          </w:tcPr>
          <w:p w:rsidR="00237861" w:rsidRPr="00462F54" w:rsidRDefault="009A0453" w:rsidP="00462F54">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95 222,07</w:t>
            </w:r>
          </w:p>
        </w:tc>
        <w:tc>
          <w:tcPr>
            <w:tcW w:w="899" w:type="pct"/>
          </w:tcPr>
          <w:p w:rsidR="00237861" w:rsidRPr="00462F54" w:rsidRDefault="00462F54" w:rsidP="00462F54">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100,00 %</w:t>
            </w:r>
          </w:p>
        </w:tc>
        <w:tc>
          <w:tcPr>
            <w:tcW w:w="899" w:type="pct"/>
          </w:tcPr>
          <w:p w:rsidR="00237861" w:rsidRPr="00462F54" w:rsidRDefault="009A0453" w:rsidP="00462F54">
            <w:pPr>
              <w:jc w:val="right"/>
              <w:cnfStyle w:val="000000000000"/>
              <w:rPr>
                <w:rFonts w:asciiTheme="minorHAnsi" w:hAnsiTheme="minorHAnsi"/>
                <w:b/>
                <w:color w:val="auto"/>
                <w:sz w:val="20"/>
                <w:szCs w:val="20"/>
              </w:rPr>
            </w:pPr>
            <w:r>
              <w:rPr>
                <w:rFonts w:asciiTheme="minorHAnsi" w:hAnsiTheme="minorHAnsi"/>
                <w:b/>
                <w:color w:val="auto"/>
                <w:sz w:val="20"/>
                <w:szCs w:val="20"/>
              </w:rPr>
              <w:t>28 743,55</w:t>
            </w:r>
          </w:p>
        </w:tc>
        <w:tc>
          <w:tcPr>
            <w:tcW w:w="898" w:type="pct"/>
          </w:tcPr>
          <w:p w:rsidR="00237861" w:rsidRDefault="006567B8" w:rsidP="00462F54">
            <w:pPr>
              <w:jc w:val="right"/>
              <w:cnfStyle w:val="000000000000"/>
              <w:rPr>
                <w:rFonts w:asciiTheme="minorHAnsi" w:hAnsiTheme="minorHAnsi"/>
                <w:b/>
                <w:color w:val="auto"/>
                <w:sz w:val="20"/>
                <w:szCs w:val="20"/>
              </w:rPr>
            </w:pPr>
            <w:r>
              <w:rPr>
                <w:rFonts w:asciiTheme="minorHAnsi" w:hAnsiTheme="minorHAnsi"/>
                <w:b/>
                <w:color w:val="auto"/>
                <w:sz w:val="20"/>
                <w:szCs w:val="20"/>
              </w:rPr>
              <w:t>100,00 %</w:t>
            </w:r>
          </w:p>
          <w:p w:rsidR="00582635" w:rsidRPr="00462F54" w:rsidRDefault="00582635" w:rsidP="00462F54">
            <w:pPr>
              <w:jc w:val="right"/>
              <w:cnfStyle w:val="000000000000"/>
              <w:rPr>
                <w:rFonts w:asciiTheme="minorHAnsi" w:hAnsiTheme="minorHAnsi"/>
                <w:b/>
                <w:color w:val="auto"/>
                <w:sz w:val="20"/>
                <w:szCs w:val="20"/>
              </w:rPr>
            </w:pPr>
          </w:p>
        </w:tc>
      </w:tr>
      <w:tr w:rsidR="00237861" w:rsidRPr="00774974" w:rsidTr="00AE1D3B">
        <w:trPr>
          <w:cnfStyle w:val="000000100000"/>
        </w:trPr>
        <w:tc>
          <w:tcPr>
            <w:cnfStyle w:val="001000000000"/>
            <w:tcW w:w="5000" w:type="pct"/>
            <w:gridSpan w:val="5"/>
            <w:tcBorders>
              <w:top w:val="none" w:sz="0" w:space="0" w:color="auto"/>
              <w:left w:val="none" w:sz="0" w:space="0" w:color="auto"/>
              <w:bottom w:val="none" w:sz="0" w:space="0" w:color="auto"/>
              <w:right w:val="none" w:sz="0" w:space="0" w:color="auto"/>
            </w:tcBorders>
            <w:shd w:val="clear" w:color="auto" w:fill="BFBFBF" w:themeFill="background1" w:themeFillShade="BF"/>
            <w:noWrap/>
          </w:tcPr>
          <w:p w:rsidR="00237861" w:rsidRPr="00774974" w:rsidRDefault="00237861" w:rsidP="00AE1D3B">
            <w:pPr>
              <w:jc w:val="center"/>
              <w:rPr>
                <w:rFonts w:asciiTheme="minorHAnsi" w:eastAsiaTheme="minorEastAsia" w:hAnsiTheme="minorHAnsi"/>
                <w:szCs w:val="23"/>
              </w:rPr>
            </w:pPr>
            <w:r w:rsidRPr="00774974">
              <w:rPr>
                <w:rFonts w:asciiTheme="minorHAnsi" w:eastAsiaTheme="minorEastAsia" w:hAnsiTheme="minorHAnsi"/>
                <w:szCs w:val="23"/>
              </w:rPr>
              <w:lastRenderedPageBreak/>
              <w:t>2014</w:t>
            </w:r>
          </w:p>
        </w:tc>
      </w:tr>
      <w:tr w:rsidR="00BF3085" w:rsidTr="00EB0DCE">
        <w:tc>
          <w:tcPr>
            <w:cnfStyle w:val="001000000000"/>
            <w:tcW w:w="1405" w:type="pct"/>
            <w:tcBorders>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sidRPr="00EB0DCE">
              <w:rPr>
                <w:rFonts w:asciiTheme="minorHAnsi" w:hAnsiTheme="minorHAnsi"/>
                <w:sz w:val="20"/>
                <w:szCs w:val="20"/>
              </w:rPr>
              <w:t>Energia elektryczna</w:t>
            </w:r>
          </w:p>
        </w:tc>
        <w:tc>
          <w:tcPr>
            <w:tcW w:w="899" w:type="pct"/>
          </w:tcPr>
          <w:p w:rsidR="00BF3085" w:rsidRPr="006567B8" w:rsidRDefault="006567B8" w:rsidP="006567B8">
            <w:pPr>
              <w:pStyle w:val="DecimalAligned"/>
              <w:tabs>
                <w:tab w:val="clear" w:pos="360"/>
              </w:tabs>
              <w:jc w:val="right"/>
              <w:cnfStyle w:val="000000000000"/>
              <w:rPr>
                <w:rFonts w:asciiTheme="minorHAnsi" w:hAnsiTheme="minorHAnsi"/>
                <w:color w:val="auto"/>
                <w:sz w:val="20"/>
                <w:szCs w:val="20"/>
              </w:rPr>
            </w:pPr>
            <w:r w:rsidRPr="006567B8">
              <w:rPr>
                <w:rFonts w:asciiTheme="minorHAnsi" w:hAnsiTheme="minorHAnsi"/>
                <w:color w:val="auto"/>
                <w:sz w:val="20"/>
                <w:szCs w:val="20"/>
              </w:rPr>
              <w:t>9 299,58</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9,83</w:t>
            </w:r>
            <w:r w:rsidR="006567B8" w:rsidRPr="006567B8">
              <w:rPr>
                <w:rFonts w:asciiTheme="minorHAnsi" w:hAnsiTheme="minorHAnsi"/>
                <w:color w:val="auto"/>
                <w:sz w:val="20"/>
                <w:szCs w:val="20"/>
              </w:rPr>
              <w:t xml:space="preserve"> %</w:t>
            </w:r>
          </w:p>
        </w:tc>
        <w:tc>
          <w:tcPr>
            <w:tcW w:w="899" w:type="pct"/>
          </w:tcPr>
          <w:p w:rsidR="00BF3085" w:rsidRPr="006567B8" w:rsidRDefault="006567B8" w:rsidP="006567B8">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7 551,26</w:t>
            </w:r>
          </w:p>
        </w:tc>
        <w:tc>
          <w:tcPr>
            <w:tcW w:w="898" w:type="pct"/>
          </w:tcPr>
          <w:p w:rsidR="00BF3085" w:rsidRPr="006567B8" w:rsidRDefault="009A0453" w:rsidP="006567B8">
            <w:pPr>
              <w:pStyle w:val="DecimalAligned"/>
              <w:tabs>
                <w:tab w:val="clear" w:pos="360"/>
              </w:tabs>
              <w:jc w:val="right"/>
              <w:cnfStyle w:val="000000000000"/>
              <w:rPr>
                <w:rFonts w:asciiTheme="minorHAnsi" w:hAnsiTheme="minorHAnsi"/>
                <w:color w:val="auto"/>
                <w:sz w:val="20"/>
                <w:szCs w:val="20"/>
              </w:rPr>
            </w:pPr>
            <w:r>
              <w:rPr>
                <w:rFonts w:asciiTheme="minorHAnsi" w:hAnsiTheme="minorHAnsi"/>
                <w:color w:val="auto"/>
                <w:sz w:val="20"/>
                <w:szCs w:val="20"/>
              </w:rPr>
              <w:t>26,29</w:t>
            </w:r>
            <w:r w:rsidR="006567B8">
              <w:rPr>
                <w:rFonts w:asciiTheme="minorHAnsi" w:hAnsiTheme="minorHAnsi"/>
                <w:color w:val="auto"/>
                <w:sz w:val="20"/>
                <w:szCs w:val="20"/>
              </w:rPr>
              <w:t xml:space="preserve"> %</w:t>
            </w:r>
          </w:p>
        </w:tc>
      </w:tr>
      <w:tr w:rsidR="00BF3085" w:rsidTr="00AE1D3B">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sidRPr="00EB0DCE">
              <w:rPr>
                <w:rFonts w:asciiTheme="minorHAnsi" w:hAnsiTheme="minorHAnsi"/>
                <w:sz w:val="20"/>
                <w:szCs w:val="20"/>
              </w:rPr>
              <w:t>Węgiel kamienny</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47 154,30</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49,85</w:t>
            </w:r>
            <w:r w:rsidR="006567B8" w:rsidRPr="006567B8">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15 526,11</w:t>
            </w:r>
          </w:p>
        </w:tc>
        <w:tc>
          <w:tcPr>
            <w:tcW w:w="898" w:type="pct"/>
            <w:tcBorders>
              <w:top w:val="none" w:sz="0" w:space="0" w:color="auto"/>
              <w:left w:val="none" w:sz="0" w:space="0" w:color="auto"/>
              <w:bottom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54,06</w:t>
            </w:r>
            <w:r w:rsidR="006567B8">
              <w:rPr>
                <w:rFonts w:asciiTheme="minorHAnsi" w:hAnsiTheme="minorHAnsi"/>
                <w:sz w:val="20"/>
                <w:szCs w:val="20"/>
              </w:rPr>
              <w:t xml:space="preserve"> %</w:t>
            </w:r>
          </w:p>
        </w:tc>
      </w:tr>
      <w:tr w:rsidR="00BF3085" w:rsidTr="00EB0DCE">
        <w:tc>
          <w:tcPr>
            <w:cnfStyle w:val="001000000000"/>
            <w:tcW w:w="1405" w:type="pct"/>
            <w:tcBorders>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sidRPr="00EB0DCE">
              <w:rPr>
                <w:rFonts w:asciiTheme="minorHAnsi" w:hAnsiTheme="minorHAnsi"/>
                <w:sz w:val="20"/>
                <w:szCs w:val="20"/>
              </w:rPr>
              <w:t>Olej opałowy</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212,76</w:t>
            </w:r>
          </w:p>
        </w:tc>
        <w:tc>
          <w:tcPr>
            <w:tcW w:w="899" w:type="pct"/>
          </w:tcPr>
          <w:p w:rsidR="00BF3085" w:rsidRPr="006567B8" w:rsidRDefault="006567B8" w:rsidP="009A0453">
            <w:pPr>
              <w:pStyle w:val="DecimalAligned"/>
              <w:tabs>
                <w:tab w:val="clear" w:pos="360"/>
              </w:tabs>
              <w:jc w:val="right"/>
              <w:cnfStyle w:val="000000000000"/>
              <w:rPr>
                <w:rFonts w:asciiTheme="minorHAnsi" w:hAnsiTheme="minorHAnsi"/>
                <w:sz w:val="20"/>
                <w:szCs w:val="20"/>
              </w:rPr>
            </w:pPr>
            <w:r w:rsidRPr="006567B8">
              <w:rPr>
                <w:rFonts w:asciiTheme="minorHAnsi" w:hAnsiTheme="minorHAnsi"/>
                <w:sz w:val="20"/>
                <w:szCs w:val="20"/>
              </w:rPr>
              <w:t>0,</w:t>
            </w:r>
            <w:r w:rsidR="009A0453">
              <w:rPr>
                <w:rFonts w:asciiTheme="minorHAnsi" w:hAnsiTheme="minorHAnsi"/>
                <w:sz w:val="20"/>
                <w:szCs w:val="20"/>
              </w:rPr>
              <w:t>22</w:t>
            </w:r>
            <w:r w:rsidRPr="006567B8">
              <w:rPr>
                <w:rFonts w:asciiTheme="minorHAnsi" w:hAnsiTheme="minorHAnsi"/>
                <w:sz w:val="20"/>
                <w:szCs w:val="20"/>
              </w:rPr>
              <w:t xml:space="preserve"> %</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16,07</w:t>
            </w:r>
          </w:p>
        </w:tc>
        <w:tc>
          <w:tcPr>
            <w:tcW w:w="898" w:type="pct"/>
          </w:tcPr>
          <w:p w:rsidR="00BF3085" w:rsidRPr="006567B8" w:rsidRDefault="006567B8" w:rsidP="009A0453">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0,0</w:t>
            </w:r>
            <w:r w:rsidR="009A0453">
              <w:rPr>
                <w:rFonts w:asciiTheme="minorHAnsi" w:hAnsiTheme="minorHAnsi"/>
                <w:sz w:val="20"/>
                <w:szCs w:val="20"/>
              </w:rPr>
              <w:t>6</w:t>
            </w:r>
            <w:r>
              <w:rPr>
                <w:rFonts w:asciiTheme="minorHAnsi" w:hAnsiTheme="minorHAnsi"/>
                <w:sz w:val="20"/>
                <w:szCs w:val="20"/>
              </w:rPr>
              <w:t xml:space="preserve"> %</w:t>
            </w:r>
          </w:p>
        </w:tc>
      </w:tr>
      <w:tr w:rsidR="00BF3085" w:rsidTr="00EB0DCE">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sidRPr="00EB0DCE">
              <w:rPr>
                <w:rFonts w:asciiTheme="minorHAnsi" w:hAnsiTheme="minorHAnsi"/>
                <w:sz w:val="20"/>
                <w:szCs w:val="20"/>
              </w:rPr>
              <w:t>Gaz ziemny</w:t>
            </w:r>
          </w:p>
        </w:tc>
        <w:tc>
          <w:tcPr>
            <w:tcW w:w="899" w:type="pct"/>
            <w:tcBorders>
              <w:top w:val="none" w:sz="0" w:space="0" w:color="auto"/>
              <w:left w:val="none" w:sz="0" w:space="0" w:color="auto"/>
              <w:bottom w:val="none" w:sz="0" w:space="0" w:color="auto"/>
              <w:right w:val="none" w:sz="0" w:space="0" w:color="auto"/>
            </w:tcBorders>
          </w:tcPr>
          <w:p w:rsidR="00BF3085" w:rsidRPr="006567B8" w:rsidRDefault="006567B8" w:rsidP="006567B8">
            <w:pPr>
              <w:pStyle w:val="DecimalAligned"/>
              <w:tabs>
                <w:tab w:val="clear" w:pos="360"/>
              </w:tabs>
              <w:jc w:val="right"/>
              <w:cnfStyle w:val="000000100000"/>
              <w:rPr>
                <w:rFonts w:asciiTheme="minorHAnsi" w:hAnsiTheme="minorHAnsi"/>
                <w:color w:val="auto"/>
                <w:sz w:val="20"/>
                <w:szCs w:val="20"/>
              </w:rPr>
            </w:pPr>
            <w:r w:rsidRPr="006567B8">
              <w:rPr>
                <w:rFonts w:asciiTheme="minorHAnsi" w:hAnsiTheme="minorHAnsi"/>
                <w:color w:val="auto"/>
                <w:sz w:val="20"/>
                <w:szCs w:val="20"/>
              </w:rPr>
              <w:t>20,76</w:t>
            </w:r>
          </w:p>
        </w:tc>
        <w:tc>
          <w:tcPr>
            <w:tcW w:w="899" w:type="pct"/>
            <w:tcBorders>
              <w:top w:val="none" w:sz="0" w:space="0" w:color="auto"/>
              <w:left w:val="none" w:sz="0" w:space="0" w:color="auto"/>
              <w:bottom w:val="none" w:sz="0" w:space="0" w:color="auto"/>
              <w:right w:val="none" w:sz="0" w:space="0" w:color="auto"/>
            </w:tcBorders>
          </w:tcPr>
          <w:p w:rsidR="00BF3085" w:rsidRPr="006567B8" w:rsidRDefault="006567B8" w:rsidP="009A0453">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0,0</w:t>
            </w:r>
            <w:r w:rsidR="009A0453">
              <w:rPr>
                <w:rFonts w:asciiTheme="minorHAnsi" w:hAnsiTheme="minorHAnsi"/>
                <w:color w:val="auto"/>
                <w:sz w:val="20"/>
                <w:szCs w:val="20"/>
              </w:rPr>
              <w:t>2</w:t>
            </w:r>
            <w:r>
              <w:rPr>
                <w:rFonts w:asciiTheme="minorHAnsi" w:hAnsiTheme="minorHAnsi"/>
                <w:color w:val="auto"/>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BF3085" w:rsidRPr="006567B8" w:rsidRDefault="006567B8" w:rsidP="006567B8">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1,52</w:t>
            </w:r>
          </w:p>
        </w:tc>
        <w:tc>
          <w:tcPr>
            <w:tcW w:w="898" w:type="pct"/>
            <w:tcBorders>
              <w:top w:val="none" w:sz="0" w:space="0" w:color="auto"/>
              <w:left w:val="none" w:sz="0" w:space="0" w:color="auto"/>
              <w:bottom w:val="none" w:sz="0" w:space="0" w:color="auto"/>
            </w:tcBorders>
          </w:tcPr>
          <w:p w:rsidR="00BF3085" w:rsidRPr="006567B8" w:rsidRDefault="006567B8" w:rsidP="009A0453">
            <w:pPr>
              <w:pStyle w:val="DecimalAligned"/>
              <w:tabs>
                <w:tab w:val="clear" w:pos="360"/>
              </w:tabs>
              <w:jc w:val="right"/>
              <w:cnfStyle w:val="000000100000"/>
              <w:rPr>
                <w:rFonts w:asciiTheme="minorHAnsi" w:hAnsiTheme="minorHAnsi"/>
                <w:color w:val="auto"/>
                <w:sz w:val="20"/>
                <w:szCs w:val="20"/>
              </w:rPr>
            </w:pPr>
            <w:r>
              <w:rPr>
                <w:rFonts w:asciiTheme="minorHAnsi" w:hAnsiTheme="minorHAnsi"/>
                <w:color w:val="auto"/>
                <w:sz w:val="20"/>
                <w:szCs w:val="20"/>
              </w:rPr>
              <w:t>0,0</w:t>
            </w:r>
            <w:r w:rsidR="009A0453">
              <w:rPr>
                <w:rFonts w:asciiTheme="minorHAnsi" w:hAnsiTheme="minorHAnsi"/>
                <w:color w:val="auto"/>
                <w:sz w:val="20"/>
                <w:szCs w:val="20"/>
              </w:rPr>
              <w:t>1</w:t>
            </w:r>
            <w:r>
              <w:rPr>
                <w:rFonts w:asciiTheme="minorHAnsi" w:hAnsiTheme="minorHAnsi"/>
                <w:color w:val="auto"/>
                <w:sz w:val="20"/>
                <w:szCs w:val="20"/>
              </w:rPr>
              <w:t xml:space="preserve"> %</w:t>
            </w:r>
          </w:p>
        </w:tc>
      </w:tr>
      <w:tr w:rsidR="00BF3085" w:rsidTr="00BF3085">
        <w:tc>
          <w:tcPr>
            <w:cnfStyle w:val="001000000000"/>
            <w:tcW w:w="1405" w:type="pct"/>
            <w:tcBorders>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sidRPr="00EB0DCE">
              <w:rPr>
                <w:rFonts w:asciiTheme="minorHAnsi" w:hAnsiTheme="minorHAnsi"/>
                <w:sz w:val="20"/>
                <w:szCs w:val="20"/>
              </w:rPr>
              <w:t>Biomasa</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15 568,97</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16,46</w:t>
            </w:r>
            <w:r w:rsidR="006567B8">
              <w:rPr>
                <w:rFonts w:asciiTheme="minorHAnsi" w:hAnsiTheme="minorHAnsi"/>
                <w:sz w:val="20"/>
                <w:szCs w:val="20"/>
              </w:rPr>
              <w:t xml:space="preserve"> %</w:t>
            </w:r>
          </w:p>
        </w:tc>
        <w:tc>
          <w:tcPr>
            <w:tcW w:w="899" w:type="pct"/>
          </w:tcPr>
          <w:p w:rsidR="00BF3085" w:rsidRPr="006567B8" w:rsidRDefault="00BF3085" w:rsidP="00015360">
            <w:pPr>
              <w:pStyle w:val="DecimalAligned"/>
              <w:numPr>
                <w:ilvl w:val="0"/>
                <w:numId w:val="69"/>
              </w:numPr>
              <w:tabs>
                <w:tab w:val="clear" w:pos="360"/>
              </w:tabs>
              <w:jc w:val="right"/>
              <w:cnfStyle w:val="000000000000"/>
              <w:rPr>
                <w:rFonts w:asciiTheme="minorHAnsi" w:hAnsiTheme="minorHAnsi"/>
                <w:sz w:val="20"/>
                <w:szCs w:val="20"/>
              </w:rPr>
            </w:pPr>
          </w:p>
        </w:tc>
        <w:tc>
          <w:tcPr>
            <w:tcW w:w="898" w:type="pct"/>
          </w:tcPr>
          <w:p w:rsidR="00BF3085" w:rsidRPr="006567B8" w:rsidRDefault="006567B8"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0,00 %</w:t>
            </w:r>
          </w:p>
        </w:tc>
      </w:tr>
      <w:tr w:rsidR="00BF3085" w:rsidTr="00BF3085">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Pr>
                <w:rFonts w:asciiTheme="minorHAnsi" w:hAnsiTheme="minorHAnsi"/>
                <w:sz w:val="20"/>
                <w:szCs w:val="20"/>
              </w:rPr>
              <w:t>Benzyna</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6 974,62</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7,37</w:t>
            </w:r>
            <w:r w:rsidR="006567B8">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BF3085" w:rsidRPr="006567B8" w:rsidRDefault="006567B8"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w:t>
            </w:r>
            <w:r w:rsidR="009A0453">
              <w:rPr>
                <w:rFonts w:asciiTheme="minorHAnsi" w:hAnsiTheme="minorHAnsi"/>
                <w:sz w:val="20"/>
                <w:szCs w:val="20"/>
              </w:rPr>
              <w:t> 722,73</w:t>
            </w:r>
          </w:p>
        </w:tc>
        <w:tc>
          <w:tcPr>
            <w:tcW w:w="898" w:type="pct"/>
            <w:tcBorders>
              <w:top w:val="none" w:sz="0" w:space="0" w:color="auto"/>
              <w:left w:val="none" w:sz="0" w:space="0" w:color="auto"/>
              <w:bottom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6,00</w:t>
            </w:r>
            <w:r w:rsidR="006567B8">
              <w:rPr>
                <w:rFonts w:asciiTheme="minorHAnsi" w:hAnsiTheme="minorHAnsi"/>
                <w:sz w:val="20"/>
                <w:szCs w:val="20"/>
              </w:rPr>
              <w:t xml:space="preserve"> %</w:t>
            </w:r>
          </w:p>
        </w:tc>
      </w:tr>
      <w:tr w:rsidR="00BF3085" w:rsidTr="00BF3085">
        <w:tc>
          <w:tcPr>
            <w:cnfStyle w:val="001000000000"/>
            <w:tcW w:w="1405" w:type="pct"/>
            <w:tcBorders>
              <w:left w:val="none" w:sz="0" w:space="0" w:color="auto"/>
              <w:bottom w:val="none" w:sz="0" w:space="0" w:color="auto"/>
              <w:right w:val="none" w:sz="0" w:space="0" w:color="auto"/>
            </w:tcBorders>
            <w:noWrap/>
          </w:tcPr>
          <w:p w:rsidR="00BF3085" w:rsidRPr="00EB0DCE" w:rsidRDefault="00BF3085" w:rsidP="00AE1D3B">
            <w:pPr>
              <w:pStyle w:val="DecimalAligned"/>
              <w:spacing w:line="240" w:lineRule="auto"/>
              <w:rPr>
                <w:rFonts w:asciiTheme="minorHAnsi" w:hAnsiTheme="minorHAnsi"/>
                <w:sz w:val="20"/>
                <w:szCs w:val="20"/>
              </w:rPr>
            </w:pPr>
            <w:r>
              <w:rPr>
                <w:rFonts w:asciiTheme="minorHAnsi" w:hAnsiTheme="minorHAnsi"/>
                <w:sz w:val="20"/>
                <w:szCs w:val="20"/>
              </w:rPr>
              <w:t>Olej napędowy</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12 943,85</w:t>
            </w:r>
          </w:p>
        </w:tc>
        <w:tc>
          <w:tcPr>
            <w:tcW w:w="899"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13,68</w:t>
            </w:r>
            <w:r w:rsidR="006567B8">
              <w:rPr>
                <w:rFonts w:asciiTheme="minorHAnsi" w:hAnsiTheme="minorHAnsi"/>
                <w:sz w:val="20"/>
                <w:szCs w:val="20"/>
              </w:rPr>
              <w:t xml:space="preserve"> %</w:t>
            </w:r>
          </w:p>
        </w:tc>
        <w:tc>
          <w:tcPr>
            <w:tcW w:w="899" w:type="pct"/>
          </w:tcPr>
          <w:p w:rsidR="00BF3085" w:rsidRPr="006567B8" w:rsidRDefault="006567B8" w:rsidP="009A0453">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3</w:t>
            </w:r>
            <w:r w:rsidR="009A0453">
              <w:rPr>
                <w:rFonts w:asciiTheme="minorHAnsi" w:hAnsiTheme="minorHAnsi"/>
                <w:sz w:val="20"/>
                <w:szCs w:val="20"/>
              </w:rPr>
              <w:t> 417,18</w:t>
            </w:r>
          </w:p>
        </w:tc>
        <w:tc>
          <w:tcPr>
            <w:tcW w:w="898" w:type="pct"/>
          </w:tcPr>
          <w:p w:rsidR="00BF3085" w:rsidRPr="006567B8" w:rsidRDefault="009A0453" w:rsidP="006567B8">
            <w:pPr>
              <w:pStyle w:val="DecimalAligned"/>
              <w:tabs>
                <w:tab w:val="clear" w:pos="360"/>
              </w:tabs>
              <w:jc w:val="right"/>
              <w:cnfStyle w:val="000000000000"/>
              <w:rPr>
                <w:rFonts w:asciiTheme="minorHAnsi" w:hAnsiTheme="minorHAnsi"/>
                <w:sz w:val="20"/>
                <w:szCs w:val="20"/>
              </w:rPr>
            </w:pPr>
            <w:r>
              <w:rPr>
                <w:rFonts w:asciiTheme="minorHAnsi" w:hAnsiTheme="minorHAnsi"/>
                <w:sz w:val="20"/>
                <w:szCs w:val="20"/>
              </w:rPr>
              <w:t>11,90</w:t>
            </w:r>
            <w:r w:rsidR="00015360">
              <w:rPr>
                <w:rFonts w:asciiTheme="minorHAnsi" w:hAnsiTheme="minorHAnsi"/>
                <w:sz w:val="20"/>
                <w:szCs w:val="20"/>
              </w:rPr>
              <w:t xml:space="preserve"> %</w:t>
            </w:r>
          </w:p>
        </w:tc>
      </w:tr>
      <w:tr w:rsidR="00BF3085" w:rsidTr="00BF3085">
        <w:trPr>
          <w:cnfStyle w:val="000000100000"/>
        </w:trPr>
        <w:tc>
          <w:tcPr>
            <w:cnfStyle w:val="001000000000"/>
            <w:tcW w:w="1405" w:type="pct"/>
            <w:tcBorders>
              <w:top w:val="none" w:sz="0" w:space="0" w:color="auto"/>
              <w:left w:val="none" w:sz="0" w:space="0" w:color="auto"/>
              <w:bottom w:val="none" w:sz="0" w:space="0" w:color="auto"/>
              <w:right w:val="none" w:sz="0" w:space="0" w:color="auto"/>
            </w:tcBorders>
            <w:noWrap/>
          </w:tcPr>
          <w:p w:rsidR="00BF3085" w:rsidRPr="00BF3085" w:rsidRDefault="00BF3085" w:rsidP="00AE1D3B">
            <w:pPr>
              <w:pStyle w:val="DecimalAligned"/>
              <w:spacing w:line="240" w:lineRule="auto"/>
              <w:rPr>
                <w:rFonts w:asciiTheme="minorHAnsi" w:hAnsiTheme="minorHAnsi"/>
                <w:sz w:val="20"/>
                <w:szCs w:val="20"/>
              </w:rPr>
            </w:pPr>
            <w:r w:rsidRPr="00BF3085">
              <w:rPr>
                <w:rFonts w:asciiTheme="minorHAnsi" w:hAnsiTheme="minorHAnsi"/>
                <w:sz w:val="20"/>
                <w:szCs w:val="20"/>
              </w:rPr>
              <w:t>Gaz LPG</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2 424,54</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2,56</w:t>
            </w:r>
            <w:r w:rsidR="006567B8">
              <w:rPr>
                <w:rFonts w:asciiTheme="minorHAnsi" w:hAnsiTheme="minorHAnsi"/>
                <w:sz w:val="20"/>
                <w:szCs w:val="20"/>
              </w:rPr>
              <w:t xml:space="preserve"> %</w:t>
            </w:r>
          </w:p>
        </w:tc>
        <w:tc>
          <w:tcPr>
            <w:tcW w:w="899" w:type="pct"/>
            <w:tcBorders>
              <w:top w:val="none" w:sz="0" w:space="0" w:color="auto"/>
              <w:left w:val="none" w:sz="0" w:space="0" w:color="auto"/>
              <w:bottom w:val="none" w:sz="0" w:space="0" w:color="auto"/>
              <w:right w:val="none" w:sz="0" w:space="0" w:color="auto"/>
            </w:tcBorders>
          </w:tcPr>
          <w:p w:rsidR="00BF3085" w:rsidRPr="006567B8" w:rsidRDefault="009A0453" w:rsidP="006567B8">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487,33</w:t>
            </w:r>
          </w:p>
        </w:tc>
        <w:tc>
          <w:tcPr>
            <w:tcW w:w="898" w:type="pct"/>
            <w:tcBorders>
              <w:top w:val="none" w:sz="0" w:space="0" w:color="auto"/>
              <w:left w:val="none" w:sz="0" w:space="0" w:color="auto"/>
              <w:bottom w:val="none" w:sz="0" w:space="0" w:color="auto"/>
            </w:tcBorders>
          </w:tcPr>
          <w:p w:rsidR="00BF3085" w:rsidRPr="006567B8" w:rsidRDefault="00015360" w:rsidP="009A0453">
            <w:pPr>
              <w:pStyle w:val="DecimalAligned"/>
              <w:tabs>
                <w:tab w:val="clear" w:pos="360"/>
              </w:tabs>
              <w:jc w:val="right"/>
              <w:cnfStyle w:val="000000100000"/>
              <w:rPr>
                <w:rFonts w:asciiTheme="minorHAnsi" w:hAnsiTheme="minorHAnsi"/>
                <w:sz w:val="20"/>
                <w:szCs w:val="20"/>
              </w:rPr>
            </w:pPr>
            <w:r>
              <w:rPr>
                <w:rFonts w:asciiTheme="minorHAnsi" w:hAnsiTheme="minorHAnsi"/>
                <w:sz w:val="20"/>
                <w:szCs w:val="20"/>
              </w:rPr>
              <w:t>1,</w:t>
            </w:r>
            <w:r w:rsidR="009A0453">
              <w:rPr>
                <w:rFonts w:asciiTheme="minorHAnsi" w:hAnsiTheme="minorHAnsi"/>
                <w:sz w:val="20"/>
                <w:szCs w:val="20"/>
              </w:rPr>
              <w:t>70</w:t>
            </w:r>
            <w:r>
              <w:rPr>
                <w:rFonts w:asciiTheme="minorHAnsi" w:hAnsiTheme="minorHAnsi"/>
                <w:sz w:val="20"/>
                <w:szCs w:val="20"/>
              </w:rPr>
              <w:t xml:space="preserve"> %</w:t>
            </w:r>
          </w:p>
        </w:tc>
      </w:tr>
      <w:tr w:rsidR="00237861" w:rsidRPr="00934C80" w:rsidTr="00EB0DCE">
        <w:tc>
          <w:tcPr>
            <w:cnfStyle w:val="001000000000"/>
            <w:tcW w:w="1405" w:type="pct"/>
            <w:tcBorders>
              <w:left w:val="none" w:sz="0" w:space="0" w:color="auto"/>
              <w:bottom w:val="none" w:sz="0" w:space="0" w:color="auto"/>
              <w:right w:val="none" w:sz="0" w:space="0" w:color="auto"/>
            </w:tcBorders>
            <w:noWrap/>
          </w:tcPr>
          <w:p w:rsidR="00237861" w:rsidRPr="00774974" w:rsidRDefault="00237861" w:rsidP="00AE1D3B">
            <w:pPr>
              <w:jc w:val="left"/>
              <w:rPr>
                <w:rStyle w:val="Wyrnieniedelikatne"/>
                <w:rFonts w:asciiTheme="minorHAnsi" w:hAnsiTheme="minorHAnsi"/>
                <w:b/>
                <w:i w:val="0"/>
                <w:color w:val="auto"/>
                <w:sz w:val="20"/>
                <w:szCs w:val="20"/>
              </w:rPr>
            </w:pPr>
            <w:r w:rsidRPr="00774974">
              <w:rPr>
                <w:rStyle w:val="Wyrnieniedelikatne"/>
                <w:rFonts w:asciiTheme="minorHAnsi" w:hAnsiTheme="minorHAnsi"/>
                <w:b/>
                <w:i w:val="0"/>
                <w:color w:val="auto"/>
                <w:sz w:val="20"/>
                <w:szCs w:val="20"/>
              </w:rPr>
              <w:t>SUMA</w:t>
            </w:r>
          </w:p>
        </w:tc>
        <w:tc>
          <w:tcPr>
            <w:tcW w:w="899" w:type="pct"/>
          </w:tcPr>
          <w:p w:rsidR="00237861" w:rsidRPr="006567B8" w:rsidRDefault="009A0453" w:rsidP="006567B8">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94 599,36</w:t>
            </w:r>
          </w:p>
        </w:tc>
        <w:tc>
          <w:tcPr>
            <w:tcW w:w="899" w:type="pct"/>
          </w:tcPr>
          <w:p w:rsidR="00237861" w:rsidRPr="006567B8" w:rsidRDefault="006567B8" w:rsidP="006567B8">
            <w:pPr>
              <w:jc w:val="right"/>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100,00 %</w:t>
            </w:r>
          </w:p>
        </w:tc>
        <w:tc>
          <w:tcPr>
            <w:tcW w:w="899" w:type="pct"/>
          </w:tcPr>
          <w:p w:rsidR="00237861" w:rsidRPr="006567B8" w:rsidRDefault="009A0453" w:rsidP="006567B8">
            <w:pPr>
              <w:jc w:val="right"/>
              <w:cnfStyle w:val="000000000000"/>
              <w:rPr>
                <w:rFonts w:asciiTheme="minorHAnsi" w:hAnsiTheme="minorHAnsi"/>
                <w:b/>
                <w:color w:val="auto"/>
                <w:sz w:val="20"/>
                <w:szCs w:val="20"/>
              </w:rPr>
            </w:pPr>
            <w:r>
              <w:rPr>
                <w:rFonts w:asciiTheme="minorHAnsi" w:hAnsiTheme="minorHAnsi"/>
                <w:b/>
                <w:color w:val="auto"/>
                <w:sz w:val="20"/>
                <w:szCs w:val="20"/>
              </w:rPr>
              <w:t>28 722,21</w:t>
            </w:r>
          </w:p>
        </w:tc>
        <w:tc>
          <w:tcPr>
            <w:tcW w:w="898" w:type="pct"/>
          </w:tcPr>
          <w:p w:rsidR="00237861" w:rsidRPr="006567B8" w:rsidRDefault="00015360" w:rsidP="006567B8">
            <w:pPr>
              <w:jc w:val="right"/>
              <w:cnfStyle w:val="000000000000"/>
              <w:rPr>
                <w:rFonts w:asciiTheme="minorHAnsi" w:hAnsiTheme="minorHAnsi"/>
                <w:b/>
                <w:color w:val="auto"/>
                <w:sz w:val="20"/>
                <w:szCs w:val="20"/>
              </w:rPr>
            </w:pPr>
            <w:r>
              <w:rPr>
                <w:rFonts w:asciiTheme="minorHAnsi" w:hAnsiTheme="minorHAnsi"/>
                <w:b/>
                <w:color w:val="auto"/>
                <w:sz w:val="20"/>
                <w:szCs w:val="20"/>
              </w:rPr>
              <w:t>100,00 %</w:t>
            </w:r>
          </w:p>
        </w:tc>
      </w:tr>
    </w:tbl>
    <w:p w:rsidR="00671AB3" w:rsidRDefault="0050315C" w:rsidP="00F20489">
      <w:pPr>
        <w:rPr>
          <w:sz w:val="20"/>
          <w:szCs w:val="20"/>
        </w:rPr>
      </w:pPr>
      <w:r w:rsidRPr="0050315C">
        <w:rPr>
          <w:sz w:val="20"/>
          <w:szCs w:val="20"/>
        </w:rPr>
        <w:t>Źródło: Opracowanie własne na podstawie badań ankietowych</w:t>
      </w:r>
    </w:p>
    <w:p w:rsidR="0050315C" w:rsidRPr="0036192A" w:rsidRDefault="0050315C" w:rsidP="0036192A">
      <w:pPr>
        <w:spacing w:line="240" w:lineRule="auto"/>
        <w:rPr>
          <w:sz w:val="16"/>
          <w:szCs w:val="16"/>
        </w:rPr>
      </w:pPr>
    </w:p>
    <w:p w:rsidR="00E10CEA" w:rsidRDefault="0077115E" w:rsidP="00E10CEA">
      <w:r>
        <w:t xml:space="preserve">Na terenie gminy Herby największy udział nośnika energii </w:t>
      </w:r>
      <w:r w:rsidR="00E10CEA">
        <w:t xml:space="preserve">w ogólnej emisji </w:t>
      </w:r>
      <w:r>
        <w:t xml:space="preserve">stanowi węgiel kamienny, drugim nośnikiem – </w:t>
      </w:r>
      <w:r w:rsidR="00C15A88">
        <w:t>równie istotnym – jest biomasa</w:t>
      </w:r>
      <w:r>
        <w:t xml:space="preserve">. Kolejne sektory pod kątem zużycia stanowi </w:t>
      </w:r>
      <w:r w:rsidR="009A0453">
        <w:t>olej napędowy i energia elektryczna</w:t>
      </w:r>
      <w:r>
        <w:t xml:space="preserve">. </w:t>
      </w:r>
      <w:r w:rsidR="00660908">
        <w:t xml:space="preserve">Poniżej na wykresie przedstawiono udział </w:t>
      </w:r>
      <w:r w:rsidR="00E10CEA">
        <w:t>poszczególnych paliw w całkowitej emisji CO</w:t>
      </w:r>
      <w:r w:rsidR="00E10CEA" w:rsidRPr="008B09D2">
        <w:rPr>
          <w:vertAlign w:val="subscript"/>
        </w:rPr>
        <w:t>2</w:t>
      </w:r>
      <w:r w:rsidR="00E10CEA">
        <w:t xml:space="preserve">. </w:t>
      </w:r>
    </w:p>
    <w:p w:rsidR="00E10CEA" w:rsidRDefault="00E10CEA" w:rsidP="00E10CEA">
      <w:pPr>
        <w:spacing w:line="240" w:lineRule="auto"/>
      </w:pPr>
    </w:p>
    <w:p w:rsidR="00E10CEA" w:rsidRDefault="00E10CEA" w:rsidP="00E10CEA">
      <w:pPr>
        <w:keepNext/>
        <w:spacing w:line="240" w:lineRule="auto"/>
      </w:pPr>
      <w:r>
        <w:rPr>
          <w:noProof/>
          <w:lang w:eastAsia="pl-PL"/>
        </w:rPr>
        <w:drawing>
          <wp:inline distT="0" distB="0" distL="0" distR="0">
            <wp:extent cx="5762847" cy="3508744"/>
            <wp:effectExtent l="19050" t="0" r="28353" b="0"/>
            <wp:docPr id="8"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10CEA" w:rsidRPr="00DE1C6B" w:rsidRDefault="00E10CEA" w:rsidP="00E10CEA">
      <w:pPr>
        <w:pStyle w:val="Legenda"/>
        <w:ind w:firstLine="0"/>
        <w:rPr>
          <w:color w:val="auto"/>
        </w:rPr>
      </w:pPr>
      <w:r w:rsidRPr="00DE1C6B">
        <w:rPr>
          <w:color w:val="auto"/>
        </w:rPr>
        <w:t xml:space="preserve">Tabela </w:t>
      </w:r>
      <w:r w:rsidRPr="00DE1C6B">
        <w:rPr>
          <w:color w:val="auto"/>
        </w:rPr>
        <w:fldChar w:fldCharType="begin"/>
      </w:r>
      <w:r w:rsidRPr="00DE1C6B">
        <w:rPr>
          <w:color w:val="auto"/>
        </w:rPr>
        <w:instrText xml:space="preserve"> SEQ Tabela \* ARABIC </w:instrText>
      </w:r>
      <w:r w:rsidRPr="00DE1C6B">
        <w:rPr>
          <w:color w:val="auto"/>
        </w:rPr>
        <w:fldChar w:fldCharType="separate"/>
      </w:r>
      <w:r>
        <w:rPr>
          <w:noProof/>
          <w:color w:val="auto"/>
        </w:rPr>
        <w:t>14</w:t>
      </w:r>
      <w:r w:rsidRPr="00DE1C6B">
        <w:rPr>
          <w:color w:val="auto"/>
        </w:rPr>
        <w:fldChar w:fldCharType="end"/>
      </w:r>
      <w:r w:rsidRPr="00DE1C6B">
        <w:rPr>
          <w:color w:val="auto"/>
        </w:rPr>
        <w:t>. Procentowy udział poszczególnych nośników energii</w:t>
      </w:r>
    </w:p>
    <w:p w:rsidR="00E10CEA" w:rsidRPr="00387EC7" w:rsidRDefault="00E10CEA" w:rsidP="00E10CEA">
      <w:r w:rsidRPr="003C5196">
        <w:rPr>
          <w:sz w:val="20"/>
          <w:szCs w:val="20"/>
        </w:rPr>
        <w:t>Źródło: Opracowanie własne na podstawie badań ankietowych</w:t>
      </w:r>
    </w:p>
    <w:p w:rsidR="00B13C08" w:rsidRDefault="00B13C08" w:rsidP="00E10CEA"/>
    <w:p w:rsidR="00B13C08" w:rsidRDefault="00B13C08" w:rsidP="005772DF">
      <w:pPr>
        <w:spacing w:line="240" w:lineRule="auto"/>
      </w:pPr>
    </w:p>
    <w:p w:rsidR="00660908" w:rsidRDefault="000117A8" w:rsidP="00A10D06">
      <w:pPr>
        <w:pStyle w:val="Nagwek2"/>
        <w:numPr>
          <w:ilvl w:val="1"/>
          <w:numId w:val="1"/>
        </w:numPr>
      </w:pPr>
      <w:bookmarkStart w:id="93" w:name="_Toc438118395"/>
      <w:r>
        <w:t xml:space="preserve"> </w:t>
      </w:r>
      <w:r w:rsidR="00660908">
        <w:t xml:space="preserve">Podsumowanie wyników </w:t>
      </w:r>
      <w:r w:rsidR="009D075F">
        <w:t>badań ankietowych</w:t>
      </w:r>
      <w:bookmarkEnd w:id="93"/>
    </w:p>
    <w:p w:rsidR="0077115E" w:rsidRDefault="0077115E" w:rsidP="005772DF">
      <w:pPr>
        <w:spacing w:line="240" w:lineRule="auto"/>
      </w:pPr>
    </w:p>
    <w:p w:rsidR="00660908" w:rsidRDefault="00D46F85" w:rsidP="0050315C">
      <w:r>
        <w:t xml:space="preserve">W wyniku przeprowadzonych badań ankietowych na terenie gminy Herby, na podstawie 290 wypełnionych kwestionariuszy ankiet dla gospodarstw domowych, uzyskano następujące dane, które poprzez uproszczoną analizę zostaną przedstawione w niniejszym rozdziale. </w:t>
      </w:r>
    </w:p>
    <w:p w:rsidR="00D46F85" w:rsidRDefault="00D46F85" w:rsidP="0050315C"/>
    <w:p w:rsidR="00D46F85" w:rsidRDefault="00912F65" w:rsidP="00E7342B">
      <w:pPr>
        <w:pStyle w:val="Akapitzlist"/>
        <w:numPr>
          <w:ilvl w:val="0"/>
          <w:numId w:val="36"/>
        </w:numPr>
      </w:pPr>
      <w:r>
        <w:t xml:space="preserve">W domach wolnostojących mieszka 75,86% respondentów, natomiast 17,24% mieszka w budynkach wielorodzinnych. </w:t>
      </w:r>
    </w:p>
    <w:p w:rsidR="00912F65" w:rsidRDefault="00912F65" w:rsidP="00E7342B">
      <w:pPr>
        <w:pStyle w:val="Akapitzlist"/>
        <w:numPr>
          <w:ilvl w:val="0"/>
          <w:numId w:val="36"/>
        </w:numPr>
      </w:pPr>
      <w:r>
        <w:t xml:space="preserve">Średnia liczba mieszkańców wynosi 4 osoby. </w:t>
      </w:r>
    </w:p>
    <w:p w:rsidR="00912F65" w:rsidRDefault="00912F65" w:rsidP="00E7342B">
      <w:pPr>
        <w:pStyle w:val="Akapitzlist"/>
        <w:numPr>
          <w:ilvl w:val="0"/>
          <w:numId w:val="36"/>
        </w:numPr>
      </w:pPr>
      <w:r>
        <w:t xml:space="preserve">Średni wiek budynku, to 35 lat. Najstarszy budynek pochodzi z początku XX wieku. </w:t>
      </w:r>
    </w:p>
    <w:p w:rsidR="00912F65" w:rsidRDefault="00912F65" w:rsidP="00E7342B">
      <w:pPr>
        <w:pStyle w:val="Akapitzlist"/>
        <w:numPr>
          <w:ilvl w:val="0"/>
          <w:numId w:val="36"/>
        </w:numPr>
      </w:pPr>
      <w:r>
        <w:t xml:space="preserve">Powierzchnia użytkowa gospodarstw domowych waha się od 30 do 360 m2, przy czym średnia powierzchnia ogrzewania wynosi 133,12 m2. </w:t>
      </w:r>
    </w:p>
    <w:p w:rsidR="00912F65" w:rsidRDefault="00961931" w:rsidP="00E7342B">
      <w:pPr>
        <w:pStyle w:val="Akapitzlist"/>
        <w:numPr>
          <w:ilvl w:val="0"/>
          <w:numId w:val="36"/>
        </w:numPr>
      </w:pPr>
      <w:r>
        <w:t xml:space="preserve">Dominuje centralne ogrzewanie o średniej mocy 15,21 </w:t>
      </w:r>
      <w:proofErr w:type="spellStart"/>
      <w:r>
        <w:t>kW</w:t>
      </w:r>
      <w:proofErr w:type="spellEnd"/>
      <w:r>
        <w:t>.</w:t>
      </w:r>
    </w:p>
    <w:p w:rsidR="00961931" w:rsidRDefault="00961931" w:rsidP="00E7342B">
      <w:pPr>
        <w:pStyle w:val="Akapitzlist"/>
        <w:numPr>
          <w:ilvl w:val="0"/>
          <w:numId w:val="36"/>
        </w:numPr>
      </w:pPr>
      <w:r>
        <w:t xml:space="preserve">Średni wiek kotła, to 11 lat. Kotły opalane są głównie przez węgiel i drewno. </w:t>
      </w:r>
    </w:p>
    <w:p w:rsidR="00961931" w:rsidRDefault="00961931" w:rsidP="00E7342B">
      <w:pPr>
        <w:pStyle w:val="Akapitzlist"/>
        <w:numPr>
          <w:ilvl w:val="0"/>
          <w:numId w:val="36"/>
        </w:numPr>
      </w:pPr>
      <w:r>
        <w:t>Najczęstszym podejmowanym działaniem w zakresie termomodernizacji jest ocieplenie ścian (45,73% resp</w:t>
      </w:r>
      <w:r w:rsidR="002A09A3">
        <w:t>ondentów) oraz ocieplenie stropu/</w:t>
      </w:r>
      <w:r>
        <w:t xml:space="preserve">dachu (42,26%). </w:t>
      </w:r>
    </w:p>
    <w:p w:rsidR="00961931" w:rsidRDefault="00961931" w:rsidP="00E7342B">
      <w:pPr>
        <w:pStyle w:val="Akapitzlist"/>
        <w:numPr>
          <w:ilvl w:val="0"/>
          <w:numId w:val="36"/>
        </w:numPr>
      </w:pPr>
      <w:r>
        <w:t xml:space="preserve">Tylko 44,48% respondentów planuje przeprowadzenie do 2020 roku termomodernizacji. Najczęściej udzielaną odpowiedzią w  tym zakresie była: konieczność </w:t>
      </w:r>
      <w:r w:rsidR="000318C9">
        <w:t xml:space="preserve">montażu kolektorów </w:t>
      </w:r>
      <w:r w:rsidR="000318C9" w:rsidRPr="006F2005">
        <w:t xml:space="preserve">słonecznych (31,28%), </w:t>
      </w:r>
      <w:r w:rsidRPr="006F2005">
        <w:t>ocieple</w:t>
      </w:r>
      <w:r w:rsidR="000318C9" w:rsidRPr="006F2005">
        <w:t>nia ścian zewnętrznych (25,13%) i</w:t>
      </w:r>
      <w:r w:rsidR="004206EE" w:rsidRPr="006F2005">
        <w:t xml:space="preserve"> </w:t>
      </w:r>
      <w:proofErr w:type="spellStart"/>
      <w:r w:rsidR="000318C9" w:rsidRPr="006F2005">
        <w:t>docieplenia</w:t>
      </w:r>
      <w:proofErr w:type="spellEnd"/>
      <w:r w:rsidR="000318C9" w:rsidRPr="006F2005">
        <w:t xml:space="preserve"> stropu/dachu</w:t>
      </w:r>
      <w:r w:rsidR="000318C9">
        <w:t xml:space="preserve"> (20%).</w:t>
      </w:r>
    </w:p>
    <w:p w:rsidR="000318C9" w:rsidRDefault="000318C9" w:rsidP="00E7342B">
      <w:pPr>
        <w:pStyle w:val="Akapitzlist"/>
        <w:numPr>
          <w:ilvl w:val="0"/>
          <w:numId w:val="36"/>
        </w:numPr>
      </w:pPr>
      <w:r>
        <w:t xml:space="preserve">89,31% respondentów chce w przyszłości uczestniczyć w programach/projektach unijnych umożliwiających dofinansowanie inwestycji w zakresie termomodernizacji. </w:t>
      </w:r>
    </w:p>
    <w:p w:rsidR="000318C9" w:rsidRDefault="00E879E2" w:rsidP="00E7342B">
      <w:pPr>
        <w:pStyle w:val="Akapitzlist"/>
        <w:numPr>
          <w:ilvl w:val="0"/>
          <w:numId w:val="36"/>
        </w:numPr>
      </w:pPr>
      <w:r>
        <w:t xml:space="preserve">W posiadaniu samochodów osobowych jest 93,38% badanych. Pojazdy rolnicze posiada 4,57% mieszkańców, natomiast pojazdy ciężarowe są w posiadaniu 2,05% ankietowanych. </w:t>
      </w:r>
    </w:p>
    <w:p w:rsidR="002A09A3" w:rsidRDefault="006853A1" w:rsidP="00E7342B">
      <w:pPr>
        <w:pStyle w:val="Akapitzlist"/>
        <w:numPr>
          <w:ilvl w:val="0"/>
          <w:numId w:val="36"/>
        </w:numPr>
      </w:pPr>
      <w:r>
        <w:t xml:space="preserve">Głównym nośnikiem paliwa w pojazdach jest benzyna, która stanowi 55,14%. </w:t>
      </w:r>
    </w:p>
    <w:p w:rsidR="00E5670F" w:rsidRDefault="00E5670F" w:rsidP="00E5670F">
      <w:pPr>
        <w:pStyle w:val="Akapitzlist"/>
        <w:ind w:left="360"/>
      </w:pPr>
    </w:p>
    <w:p w:rsidR="00E5670F" w:rsidRDefault="00E5670F" w:rsidP="00E5670F">
      <w:pPr>
        <w:pStyle w:val="Akapitzlist"/>
        <w:ind w:left="360"/>
      </w:pPr>
    </w:p>
    <w:p w:rsidR="00E5670F" w:rsidRPr="00E5670F" w:rsidRDefault="00E5670F" w:rsidP="00E5670F"/>
    <w:p w:rsidR="00E5670F" w:rsidRPr="00E5670F" w:rsidRDefault="00E5670F" w:rsidP="00E5670F"/>
    <w:p w:rsidR="00E5670F" w:rsidRPr="00E5670F" w:rsidRDefault="00E5670F" w:rsidP="00E5670F"/>
    <w:p w:rsidR="00E5670F" w:rsidRDefault="00A23484" w:rsidP="00E5670F">
      <w:r>
        <w:t>W wyniku przeprowadzonych badań ankietowych na terenie gminy Herby, na podstawie</w:t>
      </w:r>
      <w:r w:rsidR="00C020AC">
        <w:t xml:space="preserve"> 18 </w:t>
      </w:r>
      <w:r>
        <w:t xml:space="preserve">wypełnionych kwestionariuszy ankiet dla budynków gminnych, uzyskano następujące dane, które poprzez uproszczoną analizę zostaną przedstawione w niniejszym rozdziale. </w:t>
      </w:r>
    </w:p>
    <w:p w:rsidR="00A23484" w:rsidRDefault="00AA7447" w:rsidP="00555729">
      <w:pPr>
        <w:pStyle w:val="Akapitzlist"/>
        <w:numPr>
          <w:ilvl w:val="0"/>
          <w:numId w:val="70"/>
        </w:numPr>
      </w:pPr>
      <w:r>
        <w:t xml:space="preserve">Budynki gminne objęte analizą, to budynki wolnostojące. </w:t>
      </w:r>
    </w:p>
    <w:p w:rsidR="00AA7447" w:rsidRDefault="00AA7447" w:rsidP="00555729">
      <w:pPr>
        <w:pStyle w:val="Akapitzlist"/>
        <w:numPr>
          <w:ilvl w:val="0"/>
          <w:numId w:val="70"/>
        </w:numPr>
      </w:pPr>
      <w:r>
        <w:t xml:space="preserve">Średnia liczba użytkowników nie została określona. </w:t>
      </w:r>
    </w:p>
    <w:p w:rsidR="00AA7447" w:rsidRDefault="00AA7447" w:rsidP="00555729">
      <w:pPr>
        <w:pStyle w:val="Akapitzlist"/>
        <w:numPr>
          <w:ilvl w:val="0"/>
          <w:numId w:val="70"/>
        </w:numPr>
      </w:pPr>
      <w:r>
        <w:t>Średni wiek budynków użyteczności publicznej, to 34 lata. Najstarszy pochodzi z 1934 roku.</w:t>
      </w:r>
    </w:p>
    <w:p w:rsidR="00AA7447" w:rsidRDefault="00D7110B" w:rsidP="00555729">
      <w:pPr>
        <w:pStyle w:val="Akapitzlist"/>
        <w:numPr>
          <w:ilvl w:val="0"/>
          <w:numId w:val="70"/>
        </w:numPr>
      </w:pPr>
      <w:r>
        <w:t>Średnia powierzchnia ogrzewania wynosi 907 m</w:t>
      </w:r>
      <w:r w:rsidRPr="00D7110B">
        <w:rPr>
          <w:vertAlign w:val="superscript"/>
        </w:rPr>
        <w:t>2</w:t>
      </w:r>
      <w:r>
        <w:t xml:space="preserve">. </w:t>
      </w:r>
    </w:p>
    <w:p w:rsidR="00D7110B" w:rsidRDefault="001A3CAC" w:rsidP="00555729">
      <w:pPr>
        <w:pStyle w:val="Akapitzlist"/>
        <w:numPr>
          <w:ilvl w:val="0"/>
          <w:numId w:val="70"/>
        </w:numPr>
      </w:pPr>
      <w:r>
        <w:t xml:space="preserve">Budynki użyteczności publicznej w </w:t>
      </w:r>
      <w:r w:rsidR="00384223" w:rsidRPr="00B563DD">
        <w:t xml:space="preserve">85 </w:t>
      </w:r>
      <w:r w:rsidRPr="00B563DD">
        <w:t>%</w:t>
      </w:r>
      <w:r w:rsidR="00384223">
        <w:t xml:space="preserve"> posiadają ocieplone ściany, </w:t>
      </w:r>
      <w:r w:rsidR="00384223" w:rsidRPr="00B563DD">
        <w:t>6</w:t>
      </w:r>
      <w:r w:rsidRPr="00B563DD">
        <w:t>4</w:t>
      </w:r>
      <w:r>
        <w:t xml:space="preserve">% ocieplony dach, natomiast w </w:t>
      </w:r>
      <w:r w:rsidR="00384223" w:rsidRPr="00B563DD">
        <w:t>9</w:t>
      </w:r>
      <w:r w:rsidRPr="00B563DD">
        <w:t>3%</w:t>
      </w:r>
      <w:r>
        <w:t xml:space="preserve"> budynków zostały wymienione okna i drzwi. </w:t>
      </w:r>
    </w:p>
    <w:p w:rsidR="001A3CAC" w:rsidRDefault="003150FC" w:rsidP="00555729">
      <w:pPr>
        <w:pStyle w:val="Akapitzlist"/>
        <w:numPr>
          <w:ilvl w:val="0"/>
          <w:numId w:val="70"/>
        </w:numPr>
      </w:pPr>
      <w:r>
        <w:t>Dominuje ogrzewanie węglowe</w:t>
      </w:r>
      <w:r w:rsidR="006661D4">
        <w:t xml:space="preserve">, którego udział stanowi 68,72%. Na drugim miejscu znajduje się energia elektryczna – 24,08%. Do ogrzewania budynków użyteczności publicznej wykorzystywany jest także olej opałowy, który stanowi 7,21% udziału w nośnikach energii. </w:t>
      </w:r>
    </w:p>
    <w:p w:rsidR="006661D4" w:rsidRDefault="00C020AC" w:rsidP="00555729">
      <w:pPr>
        <w:pStyle w:val="Akapitzlist"/>
        <w:numPr>
          <w:ilvl w:val="0"/>
          <w:numId w:val="70"/>
        </w:numPr>
      </w:pPr>
      <w:r>
        <w:t xml:space="preserve">Termomodernizacje planowane są w 17% budynków. Głównie planuje się ocieplenie ścian zewnętrznych, ocieplenie stropu/dachu i montaż paneli fotowoltaicznych. </w:t>
      </w:r>
    </w:p>
    <w:p w:rsidR="00C020AC" w:rsidRDefault="00C020AC" w:rsidP="00555729">
      <w:pPr>
        <w:pStyle w:val="Akapitzlist"/>
        <w:numPr>
          <w:ilvl w:val="0"/>
          <w:numId w:val="70"/>
        </w:numPr>
      </w:pPr>
      <w:r>
        <w:t xml:space="preserve">Średnie roczne zużycie energii elektrycznej w budynkach użyteczności publicznej wyniosło w 2014 roku – 2 944,08 </w:t>
      </w:r>
      <w:proofErr w:type="spellStart"/>
      <w:r>
        <w:t>MWh</w:t>
      </w:r>
      <w:proofErr w:type="spellEnd"/>
      <w:r>
        <w:t xml:space="preserve">/rok. </w:t>
      </w:r>
    </w:p>
    <w:p w:rsidR="00C020AC" w:rsidRDefault="007B02F4" w:rsidP="00555729">
      <w:pPr>
        <w:pStyle w:val="Akapitzlist"/>
        <w:numPr>
          <w:ilvl w:val="0"/>
          <w:numId w:val="70"/>
        </w:numPr>
      </w:pPr>
      <w:r>
        <w:t xml:space="preserve">Koszt średniego miesięcznego zużycia prądu wynosi </w:t>
      </w:r>
      <w:r w:rsidR="005C3E02">
        <w:t xml:space="preserve">2 298,37 zł. </w:t>
      </w:r>
    </w:p>
    <w:p w:rsidR="005C3E02" w:rsidRDefault="005C3E02">
      <w:pPr>
        <w:spacing w:line="276" w:lineRule="auto"/>
        <w:jc w:val="left"/>
      </w:pPr>
      <w:r>
        <w:br w:type="page"/>
      </w:r>
    </w:p>
    <w:p w:rsidR="00E5670F" w:rsidRDefault="00E5670F" w:rsidP="00A10D06">
      <w:pPr>
        <w:pStyle w:val="Nagwek1"/>
        <w:numPr>
          <w:ilvl w:val="0"/>
          <w:numId w:val="1"/>
        </w:numPr>
      </w:pPr>
      <w:bookmarkStart w:id="94" w:name="_Toc438118396"/>
      <w:r>
        <w:lastRenderedPageBreak/>
        <w:t>Plan działań na rzecz ograniczenia niskiej emisji do 2020 r.</w:t>
      </w:r>
      <w:bookmarkEnd w:id="94"/>
    </w:p>
    <w:p w:rsidR="00042A98" w:rsidRDefault="000117A8" w:rsidP="00A10D06">
      <w:pPr>
        <w:pStyle w:val="Nagwek2"/>
        <w:numPr>
          <w:ilvl w:val="1"/>
          <w:numId w:val="1"/>
        </w:numPr>
      </w:pPr>
      <w:bookmarkStart w:id="95" w:name="_Toc438118397"/>
      <w:r>
        <w:t xml:space="preserve"> </w:t>
      </w:r>
      <w:r w:rsidR="00042A98">
        <w:t>Określenie celu strategicznego do 2020 r.</w:t>
      </w:r>
      <w:bookmarkEnd w:id="95"/>
    </w:p>
    <w:p w:rsidR="002A0B6A" w:rsidRPr="002A0B6A" w:rsidRDefault="002A0B6A" w:rsidP="004178E4">
      <w:pPr>
        <w:spacing w:line="240" w:lineRule="auto"/>
      </w:pPr>
    </w:p>
    <w:p w:rsidR="00042A98" w:rsidRDefault="002A0B6A" w:rsidP="00042A98">
      <w:r>
        <w:t>Cele strategiczne dla gminy Herby zakładają do 2020 roku:</w:t>
      </w:r>
    </w:p>
    <w:p w:rsidR="002A0B6A" w:rsidRDefault="002A0B6A" w:rsidP="00E7342B">
      <w:pPr>
        <w:pStyle w:val="Akapitzlist"/>
        <w:numPr>
          <w:ilvl w:val="0"/>
          <w:numId w:val="37"/>
        </w:numPr>
      </w:pPr>
      <w:r>
        <w:t>Redukcję emisji gazów cieplarnianych o 20% do 2020 r. w stosunku do roku bazowego 2009 r.</w:t>
      </w:r>
    </w:p>
    <w:p w:rsidR="002A0B6A" w:rsidRDefault="002A0B6A" w:rsidP="00E7342B">
      <w:pPr>
        <w:pStyle w:val="Akapitzlist"/>
        <w:numPr>
          <w:ilvl w:val="0"/>
          <w:numId w:val="37"/>
        </w:numPr>
      </w:pPr>
      <w:r>
        <w:t xml:space="preserve">Zwiększenie udziału energii pochodzącej z odnawialnych źródeł energii (OZE). </w:t>
      </w:r>
    </w:p>
    <w:p w:rsidR="002A0B6A" w:rsidRDefault="002A0B6A" w:rsidP="00E7342B">
      <w:pPr>
        <w:pStyle w:val="Akapitzlist"/>
        <w:numPr>
          <w:ilvl w:val="0"/>
          <w:numId w:val="37"/>
        </w:numPr>
      </w:pPr>
      <w:r>
        <w:t xml:space="preserve">Redukcję zużycia energii finalnej, co ma zostać zrealizowane poprzez podniesienie efektywności energetycznej. </w:t>
      </w:r>
    </w:p>
    <w:p w:rsidR="002A0B6A" w:rsidRDefault="002A0B6A" w:rsidP="00E7342B">
      <w:pPr>
        <w:pStyle w:val="Akapitzlist"/>
        <w:numPr>
          <w:ilvl w:val="0"/>
          <w:numId w:val="37"/>
        </w:numPr>
      </w:pPr>
      <w:r>
        <w:t xml:space="preserve">Poprawę jakości powietrza oraz rozwój gospodarki  niskoemisyjnej przy zapewnieniu zrównoważonego rozwoju gminy. </w:t>
      </w:r>
    </w:p>
    <w:p w:rsidR="002A0B6A" w:rsidRDefault="002A0B6A" w:rsidP="002A0B6A">
      <w:r>
        <w:t>Powyższe cele zostaną osiągnięte w momencie uzyskania przez gminę Herby następujących wyników:</w:t>
      </w:r>
    </w:p>
    <w:p w:rsidR="00C06DB9" w:rsidRPr="00DE1C6B" w:rsidRDefault="00C06DB9" w:rsidP="00C06DB9">
      <w:pPr>
        <w:pStyle w:val="Legenda"/>
        <w:keepNext/>
        <w:ind w:firstLine="0"/>
        <w:rPr>
          <w:color w:val="auto"/>
        </w:rPr>
      </w:pPr>
      <w:bookmarkStart w:id="96" w:name="_Toc436586235"/>
      <w:r w:rsidRPr="00DE1C6B">
        <w:rPr>
          <w:color w:val="auto"/>
        </w:rPr>
        <w:t xml:space="preserve">Tabela </w:t>
      </w:r>
      <w:r w:rsidR="00844CE4" w:rsidRPr="00DE1C6B">
        <w:rPr>
          <w:color w:val="auto"/>
        </w:rPr>
        <w:fldChar w:fldCharType="begin"/>
      </w:r>
      <w:r w:rsidR="006E6F7F" w:rsidRPr="00DE1C6B">
        <w:rPr>
          <w:color w:val="auto"/>
        </w:rPr>
        <w:instrText xml:space="preserve"> SEQ Tabela \* ARABIC </w:instrText>
      </w:r>
      <w:r w:rsidR="00844CE4" w:rsidRPr="00DE1C6B">
        <w:rPr>
          <w:color w:val="auto"/>
        </w:rPr>
        <w:fldChar w:fldCharType="separate"/>
      </w:r>
      <w:r w:rsidR="005C42FD">
        <w:rPr>
          <w:noProof/>
          <w:color w:val="auto"/>
        </w:rPr>
        <w:t>15</w:t>
      </w:r>
      <w:r w:rsidR="00844CE4" w:rsidRPr="00DE1C6B">
        <w:rPr>
          <w:noProof/>
          <w:color w:val="auto"/>
        </w:rPr>
        <w:fldChar w:fldCharType="end"/>
      </w:r>
      <w:r w:rsidRPr="00DE1C6B">
        <w:rPr>
          <w:color w:val="auto"/>
        </w:rPr>
        <w:t xml:space="preserve"> Wyznaczenie redukcji emisji CO2 do roku 2020</w:t>
      </w:r>
      <w:bookmarkEnd w:id="96"/>
    </w:p>
    <w:tbl>
      <w:tblPr>
        <w:tblStyle w:val="rednialista2akcent1"/>
        <w:tblW w:w="5432" w:type="pct"/>
        <w:tblLook w:val="04A0"/>
      </w:tblPr>
      <w:tblGrid>
        <w:gridCol w:w="2806"/>
        <w:gridCol w:w="1820"/>
        <w:gridCol w:w="1820"/>
        <w:gridCol w:w="1822"/>
        <w:gridCol w:w="1822"/>
      </w:tblGrid>
      <w:tr w:rsidR="00C06DB9" w:rsidTr="00CF4726">
        <w:trPr>
          <w:cnfStyle w:val="100000000000"/>
          <w:trHeight w:val="769"/>
        </w:trPr>
        <w:tc>
          <w:tcPr>
            <w:cnfStyle w:val="001000000100"/>
            <w:tcW w:w="1390" w:type="pct"/>
            <w:tcBorders>
              <w:top w:val="none" w:sz="0" w:space="0" w:color="auto"/>
              <w:left w:val="none" w:sz="0" w:space="0" w:color="auto"/>
              <w:bottom w:val="none" w:sz="0" w:space="0" w:color="auto"/>
              <w:right w:val="none" w:sz="0" w:space="0" w:color="auto"/>
            </w:tcBorders>
            <w:noWrap/>
            <w:vAlign w:val="center"/>
          </w:tcPr>
          <w:p w:rsidR="002A0B6A" w:rsidRPr="00AC6023" w:rsidRDefault="002A0B6A" w:rsidP="00C06DB9">
            <w:pPr>
              <w:spacing w:line="240" w:lineRule="auto"/>
              <w:jc w:val="center"/>
              <w:rPr>
                <w:rFonts w:asciiTheme="minorHAnsi" w:eastAsiaTheme="minorEastAsia" w:hAnsiTheme="minorHAnsi" w:cstheme="minorBidi"/>
                <w:b/>
                <w:color w:val="auto"/>
                <w:sz w:val="20"/>
                <w:szCs w:val="20"/>
              </w:rPr>
            </w:pPr>
            <w:r w:rsidRPr="00AC6023">
              <w:rPr>
                <w:rFonts w:asciiTheme="minorHAnsi" w:eastAsiaTheme="minorEastAsia" w:hAnsiTheme="minorHAnsi" w:cstheme="minorBidi"/>
                <w:b/>
                <w:color w:val="auto"/>
                <w:sz w:val="20"/>
                <w:szCs w:val="20"/>
              </w:rPr>
              <w:t>Źródło emisji</w:t>
            </w:r>
          </w:p>
        </w:tc>
        <w:tc>
          <w:tcPr>
            <w:tcW w:w="902" w:type="pct"/>
            <w:tcBorders>
              <w:top w:val="none" w:sz="0" w:space="0" w:color="auto"/>
              <w:left w:val="none" w:sz="0" w:space="0" w:color="auto"/>
              <w:bottom w:val="none" w:sz="0" w:space="0" w:color="auto"/>
              <w:right w:val="none" w:sz="0" w:space="0" w:color="auto"/>
            </w:tcBorders>
            <w:vAlign w:val="center"/>
          </w:tcPr>
          <w:p w:rsidR="002A0B6A" w:rsidRPr="00AC6023" w:rsidRDefault="002A0B6A"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cstheme="minorBidi"/>
                <w:b/>
                <w:color w:val="auto"/>
                <w:sz w:val="20"/>
                <w:szCs w:val="20"/>
              </w:rPr>
              <w:t>2009</w:t>
            </w:r>
          </w:p>
          <w:p w:rsidR="00C06DB9" w:rsidRPr="00AC6023" w:rsidRDefault="00C06DB9"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b/>
                <w:sz w:val="20"/>
                <w:szCs w:val="20"/>
              </w:rPr>
              <w:t>MgCo2/rok</w:t>
            </w:r>
          </w:p>
        </w:tc>
        <w:tc>
          <w:tcPr>
            <w:tcW w:w="902" w:type="pct"/>
            <w:tcBorders>
              <w:top w:val="none" w:sz="0" w:space="0" w:color="auto"/>
              <w:left w:val="none" w:sz="0" w:space="0" w:color="auto"/>
              <w:bottom w:val="none" w:sz="0" w:space="0" w:color="auto"/>
              <w:right w:val="none" w:sz="0" w:space="0" w:color="auto"/>
            </w:tcBorders>
            <w:vAlign w:val="center"/>
          </w:tcPr>
          <w:p w:rsidR="002A0B6A" w:rsidRPr="00AC6023" w:rsidRDefault="002A0B6A"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cstheme="minorBidi"/>
                <w:b/>
                <w:color w:val="auto"/>
                <w:sz w:val="20"/>
                <w:szCs w:val="20"/>
              </w:rPr>
              <w:t>2014</w:t>
            </w:r>
          </w:p>
          <w:p w:rsidR="00C06DB9" w:rsidRPr="00AC6023" w:rsidRDefault="00C06DB9"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b/>
                <w:sz w:val="20"/>
                <w:szCs w:val="20"/>
              </w:rPr>
              <w:t>MgCo2/rok</w:t>
            </w:r>
          </w:p>
        </w:tc>
        <w:tc>
          <w:tcPr>
            <w:tcW w:w="903" w:type="pct"/>
            <w:tcBorders>
              <w:top w:val="none" w:sz="0" w:space="0" w:color="auto"/>
              <w:left w:val="none" w:sz="0" w:space="0" w:color="auto"/>
              <w:bottom w:val="none" w:sz="0" w:space="0" w:color="auto"/>
              <w:right w:val="none" w:sz="0" w:space="0" w:color="auto"/>
            </w:tcBorders>
            <w:vAlign w:val="center"/>
          </w:tcPr>
          <w:p w:rsidR="002A0B6A" w:rsidRPr="00AC6023" w:rsidRDefault="002A0B6A"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cstheme="minorBidi"/>
                <w:b/>
                <w:color w:val="auto"/>
                <w:sz w:val="20"/>
                <w:szCs w:val="20"/>
              </w:rPr>
              <w:t>2020</w:t>
            </w:r>
          </w:p>
          <w:p w:rsidR="00C06DB9" w:rsidRPr="00AC6023" w:rsidRDefault="00C06DB9"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b/>
                <w:sz w:val="20"/>
                <w:szCs w:val="20"/>
              </w:rPr>
              <w:t>MgCo2/rok</w:t>
            </w:r>
          </w:p>
        </w:tc>
        <w:tc>
          <w:tcPr>
            <w:tcW w:w="903" w:type="pct"/>
            <w:tcBorders>
              <w:top w:val="none" w:sz="0" w:space="0" w:color="auto"/>
              <w:left w:val="none" w:sz="0" w:space="0" w:color="auto"/>
              <w:bottom w:val="none" w:sz="0" w:space="0" w:color="auto"/>
              <w:right w:val="none" w:sz="0" w:space="0" w:color="auto"/>
            </w:tcBorders>
            <w:vAlign w:val="center"/>
          </w:tcPr>
          <w:p w:rsidR="002A0B6A" w:rsidRPr="00AC6023" w:rsidRDefault="002A0B6A"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cstheme="minorBidi"/>
                <w:b/>
                <w:color w:val="auto"/>
                <w:sz w:val="20"/>
                <w:szCs w:val="20"/>
              </w:rPr>
              <w:t>Redukcja</w:t>
            </w:r>
          </w:p>
          <w:p w:rsidR="00C06DB9" w:rsidRPr="00AC6023" w:rsidRDefault="00C06DB9" w:rsidP="00C06DB9">
            <w:pPr>
              <w:spacing w:line="240" w:lineRule="auto"/>
              <w:jc w:val="center"/>
              <w:cnfStyle w:val="100000000000"/>
              <w:rPr>
                <w:rFonts w:asciiTheme="minorHAnsi" w:eastAsiaTheme="minorEastAsia" w:hAnsiTheme="minorHAnsi" w:cstheme="minorBidi"/>
                <w:b/>
                <w:color w:val="auto"/>
                <w:sz w:val="20"/>
                <w:szCs w:val="20"/>
              </w:rPr>
            </w:pPr>
            <w:r w:rsidRPr="00AC6023">
              <w:rPr>
                <w:rFonts w:asciiTheme="minorHAnsi" w:eastAsiaTheme="minorEastAsia" w:hAnsiTheme="minorHAnsi"/>
                <w:b/>
                <w:sz w:val="20"/>
                <w:szCs w:val="20"/>
              </w:rPr>
              <w:t>MgCo2/rok</w:t>
            </w:r>
          </w:p>
        </w:tc>
      </w:tr>
      <w:tr w:rsidR="00C06DB9" w:rsidRPr="00774974" w:rsidTr="00C06DB9">
        <w:trPr>
          <w:cnfStyle w:val="000000100000"/>
        </w:trPr>
        <w:tc>
          <w:tcPr>
            <w:cnfStyle w:val="001000000000"/>
            <w:tcW w:w="1390" w:type="pct"/>
            <w:tcBorders>
              <w:top w:val="none" w:sz="0" w:space="0" w:color="auto"/>
              <w:left w:val="none" w:sz="0" w:space="0" w:color="auto"/>
              <w:bottom w:val="none" w:sz="0" w:space="0" w:color="auto"/>
              <w:right w:val="none" w:sz="0" w:space="0" w:color="auto"/>
            </w:tcBorders>
            <w:noWrap/>
          </w:tcPr>
          <w:p w:rsidR="002A0B6A" w:rsidRPr="00AC6023" w:rsidRDefault="002A0B6A" w:rsidP="00A10D06">
            <w:pPr>
              <w:pStyle w:val="DecimalAligned"/>
              <w:spacing w:line="240" w:lineRule="auto"/>
              <w:rPr>
                <w:rFonts w:asciiTheme="minorHAnsi" w:hAnsiTheme="minorHAnsi"/>
                <w:sz w:val="20"/>
                <w:szCs w:val="20"/>
              </w:rPr>
            </w:pPr>
            <w:r w:rsidRPr="00AC6023">
              <w:rPr>
                <w:rFonts w:asciiTheme="minorHAnsi" w:hAnsiTheme="minorHAnsi"/>
                <w:sz w:val="20"/>
                <w:szCs w:val="20"/>
              </w:rPr>
              <w:t>Budynki użyteczności publicznej</w:t>
            </w:r>
          </w:p>
        </w:tc>
        <w:tc>
          <w:tcPr>
            <w:tcW w:w="902"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sidRPr="00AC6023">
              <w:rPr>
                <w:rFonts w:asciiTheme="minorHAnsi" w:hAnsiTheme="minorHAnsi"/>
                <w:sz w:val="20"/>
                <w:szCs w:val="20"/>
              </w:rPr>
              <w:t>826,59</w:t>
            </w:r>
          </w:p>
        </w:tc>
        <w:tc>
          <w:tcPr>
            <w:tcW w:w="902"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857,43</w:t>
            </w:r>
          </w:p>
        </w:tc>
        <w:tc>
          <w:tcPr>
            <w:tcW w:w="903"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661,27</w:t>
            </w:r>
          </w:p>
        </w:tc>
        <w:tc>
          <w:tcPr>
            <w:tcW w:w="903" w:type="pct"/>
            <w:tcBorders>
              <w:top w:val="none" w:sz="0" w:space="0" w:color="auto"/>
              <w:left w:val="none" w:sz="0" w:space="0" w:color="auto"/>
              <w:bottom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165,32</w:t>
            </w:r>
          </w:p>
        </w:tc>
      </w:tr>
      <w:tr w:rsidR="00C06DB9" w:rsidRPr="00774974" w:rsidTr="00C06DB9">
        <w:tc>
          <w:tcPr>
            <w:cnfStyle w:val="001000000000"/>
            <w:tcW w:w="1390" w:type="pct"/>
            <w:tcBorders>
              <w:left w:val="none" w:sz="0" w:space="0" w:color="auto"/>
              <w:bottom w:val="none" w:sz="0" w:space="0" w:color="auto"/>
              <w:right w:val="none" w:sz="0" w:space="0" w:color="auto"/>
            </w:tcBorders>
            <w:noWrap/>
          </w:tcPr>
          <w:p w:rsidR="002A0B6A" w:rsidRPr="00AC6023" w:rsidRDefault="002A0B6A" w:rsidP="00A10D06">
            <w:pPr>
              <w:pStyle w:val="DecimalAligned"/>
              <w:spacing w:line="240" w:lineRule="auto"/>
              <w:rPr>
                <w:rFonts w:asciiTheme="minorHAnsi" w:hAnsiTheme="minorHAnsi"/>
                <w:sz w:val="20"/>
                <w:szCs w:val="20"/>
              </w:rPr>
            </w:pPr>
            <w:r w:rsidRPr="00AC6023">
              <w:rPr>
                <w:rFonts w:asciiTheme="minorHAnsi" w:hAnsiTheme="minorHAnsi"/>
                <w:sz w:val="20"/>
                <w:szCs w:val="20"/>
              </w:rPr>
              <w:t>Budynki jednorodzinne</w:t>
            </w:r>
          </w:p>
        </w:tc>
        <w:tc>
          <w:tcPr>
            <w:tcW w:w="902" w:type="pct"/>
          </w:tcPr>
          <w:p w:rsidR="002A0B6A" w:rsidRPr="00AC6023" w:rsidRDefault="00AC6023" w:rsidP="00A10D06">
            <w:pPr>
              <w:pStyle w:val="DecimalAligned"/>
              <w:tabs>
                <w:tab w:val="clear" w:pos="360"/>
              </w:tabs>
              <w:jc w:val="center"/>
              <w:cnfStyle w:val="000000000000"/>
              <w:rPr>
                <w:rFonts w:asciiTheme="minorHAnsi" w:hAnsiTheme="minorHAnsi"/>
                <w:sz w:val="20"/>
                <w:szCs w:val="20"/>
              </w:rPr>
            </w:pPr>
            <w:r w:rsidRPr="00AC6023">
              <w:rPr>
                <w:rFonts w:asciiTheme="minorHAnsi" w:hAnsiTheme="minorHAnsi"/>
                <w:sz w:val="20"/>
                <w:szCs w:val="20"/>
              </w:rPr>
              <w:t>30 496,24</w:t>
            </w:r>
          </w:p>
        </w:tc>
        <w:tc>
          <w:tcPr>
            <w:tcW w:w="902" w:type="pct"/>
          </w:tcPr>
          <w:p w:rsidR="002A0B6A"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29 091,95</w:t>
            </w:r>
          </w:p>
        </w:tc>
        <w:tc>
          <w:tcPr>
            <w:tcW w:w="903" w:type="pct"/>
          </w:tcPr>
          <w:p w:rsidR="002A0B6A"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24 396,99</w:t>
            </w:r>
          </w:p>
        </w:tc>
        <w:tc>
          <w:tcPr>
            <w:tcW w:w="903" w:type="pct"/>
          </w:tcPr>
          <w:p w:rsidR="002A0B6A"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6 099,25</w:t>
            </w:r>
          </w:p>
        </w:tc>
      </w:tr>
      <w:tr w:rsidR="00C06DB9" w:rsidRPr="00774974" w:rsidTr="00C06DB9">
        <w:trPr>
          <w:cnfStyle w:val="000000100000"/>
        </w:trPr>
        <w:tc>
          <w:tcPr>
            <w:cnfStyle w:val="001000000000"/>
            <w:tcW w:w="1390" w:type="pct"/>
            <w:tcBorders>
              <w:top w:val="none" w:sz="0" w:space="0" w:color="auto"/>
              <w:left w:val="none" w:sz="0" w:space="0" w:color="auto"/>
              <w:bottom w:val="none" w:sz="0" w:space="0" w:color="auto"/>
              <w:right w:val="none" w:sz="0" w:space="0" w:color="auto"/>
            </w:tcBorders>
            <w:noWrap/>
          </w:tcPr>
          <w:p w:rsidR="002A0B6A" w:rsidRPr="00AC6023" w:rsidRDefault="002A0B6A" w:rsidP="00A10D06">
            <w:pPr>
              <w:pStyle w:val="DecimalAligned"/>
              <w:spacing w:line="240" w:lineRule="auto"/>
              <w:rPr>
                <w:rFonts w:asciiTheme="minorHAnsi" w:hAnsiTheme="minorHAnsi"/>
                <w:sz w:val="20"/>
                <w:szCs w:val="20"/>
              </w:rPr>
            </w:pPr>
            <w:r w:rsidRPr="00AC6023">
              <w:rPr>
                <w:rFonts w:asciiTheme="minorHAnsi" w:hAnsiTheme="minorHAnsi"/>
                <w:sz w:val="20"/>
                <w:szCs w:val="20"/>
              </w:rPr>
              <w:t>Oświetlenie</w:t>
            </w:r>
          </w:p>
        </w:tc>
        <w:tc>
          <w:tcPr>
            <w:tcW w:w="902"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sidRPr="00AC6023">
              <w:rPr>
                <w:rFonts w:asciiTheme="minorHAnsi" w:hAnsiTheme="minorHAnsi"/>
                <w:sz w:val="20"/>
                <w:szCs w:val="20"/>
              </w:rPr>
              <w:t>228,56</w:t>
            </w:r>
          </w:p>
        </w:tc>
        <w:tc>
          <w:tcPr>
            <w:tcW w:w="902"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154,25</w:t>
            </w:r>
          </w:p>
        </w:tc>
        <w:tc>
          <w:tcPr>
            <w:tcW w:w="903" w:type="pct"/>
            <w:tcBorders>
              <w:top w:val="none" w:sz="0" w:space="0" w:color="auto"/>
              <w:left w:val="none" w:sz="0" w:space="0" w:color="auto"/>
              <w:bottom w:val="none" w:sz="0" w:space="0" w:color="auto"/>
              <w:right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182,85</w:t>
            </w:r>
          </w:p>
        </w:tc>
        <w:tc>
          <w:tcPr>
            <w:tcW w:w="903" w:type="pct"/>
            <w:tcBorders>
              <w:top w:val="none" w:sz="0" w:space="0" w:color="auto"/>
              <w:left w:val="none" w:sz="0" w:space="0" w:color="auto"/>
              <w:bottom w:val="none" w:sz="0" w:space="0" w:color="auto"/>
            </w:tcBorders>
          </w:tcPr>
          <w:p w:rsidR="002A0B6A" w:rsidRPr="00AC6023" w:rsidRDefault="00AC6023" w:rsidP="00A10D06">
            <w:pPr>
              <w:pStyle w:val="DecimalAligned"/>
              <w:tabs>
                <w:tab w:val="clear" w:pos="360"/>
              </w:tabs>
              <w:jc w:val="center"/>
              <w:cnfStyle w:val="000000100000"/>
              <w:rPr>
                <w:rFonts w:asciiTheme="minorHAnsi" w:hAnsiTheme="minorHAnsi"/>
                <w:sz w:val="20"/>
                <w:szCs w:val="20"/>
              </w:rPr>
            </w:pPr>
            <w:r>
              <w:rPr>
                <w:rFonts w:asciiTheme="minorHAnsi" w:hAnsiTheme="minorHAnsi"/>
                <w:sz w:val="20"/>
                <w:szCs w:val="20"/>
              </w:rPr>
              <w:t>45,71</w:t>
            </w:r>
          </w:p>
        </w:tc>
      </w:tr>
      <w:tr w:rsidR="00C06DB9" w:rsidRPr="00774974" w:rsidTr="00C06DB9">
        <w:tc>
          <w:tcPr>
            <w:cnfStyle w:val="001000000000"/>
            <w:tcW w:w="1390" w:type="pct"/>
            <w:tcBorders>
              <w:left w:val="none" w:sz="0" w:space="0" w:color="auto"/>
              <w:bottom w:val="none" w:sz="0" w:space="0" w:color="auto"/>
              <w:right w:val="none" w:sz="0" w:space="0" w:color="auto"/>
            </w:tcBorders>
            <w:noWrap/>
          </w:tcPr>
          <w:p w:rsidR="00C06DB9" w:rsidRPr="00AC6023" w:rsidRDefault="00C06DB9" w:rsidP="00A10D06">
            <w:pPr>
              <w:pStyle w:val="DecimalAligned"/>
              <w:spacing w:line="240" w:lineRule="auto"/>
              <w:rPr>
                <w:rFonts w:asciiTheme="minorHAnsi" w:hAnsiTheme="minorHAnsi"/>
                <w:sz w:val="20"/>
                <w:szCs w:val="20"/>
              </w:rPr>
            </w:pPr>
            <w:r w:rsidRPr="00AC6023">
              <w:rPr>
                <w:rFonts w:asciiTheme="minorHAnsi" w:hAnsiTheme="minorHAnsi"/>
                <w:sz w:val="20"/>
                <w:szCs w:val="20"/>
              </w:rPr>
              <w:t>Transport</w:t>
            </w:r>
          </w:p>
        </w:tc>
        <w:tc>
          <w:tcPr>
            <w:tcW w:w="902" w:type="pct"/>
          </w:tcPr>
          <w:p w:rsidR="00C06DB9" w:rsidRPr="00AC6023" w:rsidRDefault="00AC6023" w:rsidP="00A10D06">
            <w:pPr>
              <w:pStyle w:val="DecimalAligned"/>
              <w:tabs>
                <w:tab w:val="clear" w:pos="360"/>
              </w:tabs>
              <w:jc w:val="center"/>
              <w:cnfStyle w:val="000000000000"/>
              <w:rPr>
                <w:rFonts w:asciiTheme="minorHAnsi" w:hAnsiTheme="minorHAnsi"/>
                <w:sz w:val="20"/>
                <w:szCs w:val="20"/>
              </w:rPr>
            </w:pPr>
            <w:r w:rsidRPr="00AC6023">
              <w:rPr>
                <w:rFonts w:asciiTheme="minorHAnsi" w:hAnsiTheme="minorHAnsi"/>
                <w:sz w:val="20"/>
                <w:szCs w:val="20"/>
              </w:rPr>
              <w:t>5 493,86</w:t>
            </w:r>
          </w:p>
        </w:tc>
        <w:tc>
          <w:tcPr>
            <w:tcW w:w="902" w:type="pct"/>
          </w:tcPr>
          <w:p w:rsidR="00C06DB9"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6 348,26</w:t>
            </w:r>
          </w:p>
        </w:tc>
        <w:tc>
          <w:tcPr>
            <w:tcW w:w="903" w:type="pct"/>
          </w:tcPr>
          <w:p w:rsidR="00C06DB9"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4 395,09</w:t>
            </w:r>
          </w:p>
        </w:tc>
        <w:tc>
          <w:tcPr>
            <w:tcW w:w="903" w:type="pct"/>
          </w:tcPr>
          <w:p w:rsidR="00C06DB9" w:rsidRPr="00AC6023" w:rsidRDefault="00AC6023" w:rsidP="00A10D06">
            <w:pPr>
              <w:pStyle w:val="DecimalAligned"/>
              <w:tabs>
                <w:tab w:val="clear" w:pos="360"/>
              </w:tabs>
              <w:jc w:val="center"/>
              <w:cnfStyle w:val="000000000000"/>
              <w:rPr>
                <w:rFonts w:asciiTheme="minorHAnsi" w:hAnsiTheme="minorHAnsi"/>
                <w:sz w:val="20"/>
                <w:szCs w:val="20"/>
              </w:rPr>
            </w:pPr>
            <w:r>
              <w:rPr>
                <w:rFonts w:asciiTheme="minorHAnsi" w:hAnsiTheme="minorHAnsi"/>
                <w:sz w:val="20"/>
                <w:szCs w:val="20"/>
              </w:rPr>
              <w:t>1 098,77</w:t>
            </w:r>
          </w:p>
        </w:tc>
      </w:tr>
      <w:tr w:rsidR="00AC6023" w:rsidRPr="00AC6023" w:rsidTr="00AC6023">
        <w:trPr>
          <w:cnfStyle w:val="000000100000"/>
        </w:trPr>
        <w:tc>
          <w:tcPr>
            <w:cnfStyle w:val="001000000000"/>
            <w:tcW w:w="1390" w:type="pct"/>
            <w:tcBorders>
              <w:top w:val="none" w:sz="0" w:space="0" w:color="auto"/>
              <w:left w:val="none" w:sz="0" w:space="0" w:color="auto"/>
              <w:bottom w:val="none" w:sz="0" w:space="0" w:color="auto"/>
              <w:right w:val="none" w:sz="0" w:space="0" w:color="auto"/>
            </w:tcBorders>
            <w:noWrap/>
          </w:tcPr>
          <w:p w:rsidR="00AC6023" w:rsidRPr="00AC6023" w:rsidRDefault="00AC6023" w:rsidP="00A10D06">
            <w:pPr>
              <w:jc w:val="left"/>
              <w:rPr>
                <w:rStyle w:val="Wyrnieniedelikatne"/>
                <w:rFonts w:asciiTheme="minorHAnsi" w:hAnsiTheme="minorHAnsi"/>
                <w:i w:val="0"/>
                <w:color w:val="auto"/>
                <w:sz w:val="20"/>
                <w:szCs w:val="20"/>
              </w:rPr>
            </w:pPr>
            <w:r w:rsidRPr="00AC6023">
              <w:rPr>
                <w:rStyle w:val="Wyrnieniedelikatne"/>
                <w:rFonts w:asciiTheme="minorHAnsi" w:hAnsiTheme="minorHAnsi"/>
                <w:i w:val="0"/>
                <w:color w:val="auto"/>
                <w:sz w:val="20"/>
                <w:szCs w:val="20"/>
              </w:rPr>
              <w:t>Przedsiębiorcy</w:t>
            </w:r>
          </w:p>
        </w:tc>
        <w:tc>
          <w:tcPr>
            <w:tcW w:w="902" w:type="pct"/>
            <w:tcBorders>
              <w:top w:val="none" w:sz="0" w:space="0" w:color="auto"/>
              <w:left w:val="none" w:sz="0" w:space="0" w:color="auto"/>
              <w:bottom w:val="none" w:sz="0" w:space="0" w:color="auto"/>
              <w:right w:val="none" w:sz="0" w:space="0" w:color="auto"/>
            </w:tcBorders>
          </w:tcPr>
          <w:p w:rsidR="00AC6023" w:rsidRPr="00AC6023" w:rsidRDefault="00AC6023" w:rsidP="00A10D06">
            <w:pPr>
              <w:jc w:val="center"/>
              <w:cnfStyle w:val="0000001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355,27</w:t>
            </w:r>
          </w:p>
        </w:tc>
        <w:tc>
          <w:tcPr>
            <w:tcW w:w="902" w:type="pct"/>
            <w:tcBorders>
              <w:top w:val="none" w:sz="0" w:space="0" w:color="auto"/>
              <w:left w:val="none" w:sz="0" w:space="0" w:color="auto"/>
              <w:bottom w:val="none" w:sz="0" w:space="0" w:color="auto"/>
              <w:right w:val="none" w:sz="0" w:space="0" w:color="auto"/>
            </w:tcBorders>
          </w:tcPr>
          <w:p w:rsidR="00AC6023" w:rsidRPr="00AC6023" w:rsidRDefault="00AC6023" w:rsidP="00A10D06">
            <w:pPr>
              <w:jc w:val="center"/>
              <w:cnfStyle w:val="000000100000"/>
              <w:rPr>
                <w:rStyle w:val="Wyrnieniedelikatne"/>
                <w:rFonts w:asciiTheme="minorHAnsi" w:hAnsiTheme="minorHAnsi"/>
                <w:i w:val="0"/>
                <w:color w:val="auto"/>
                <w:sz w:val="20"/>
                <w:szCs w:val="20"/>
              </w:rPr>
            </w:pPr>
            <w:r>
              <w:rPr>
                <w:rStyle w:val="Wyrnieniedelikatne"/>
                <w:rFonts w:asciiTheme="minorHAnsi" w:hAnsiTheme="minorHAnsi"/>
                <w:i w:val="0"/>
                <w:color w:val="auto"/>
                <w:sz w:val="20"/>
                <w:szCs w:val="20"/>
              </w:rPr>
              <w:t>381,60</w:t>
            </w:r>
          </w:p>
        </w:tc>
        <w:tc>
          <w:tcPr>
            <w:tcW w:w="903" w:type="pct"/>
            <w:tcBorders>
              <w:top w:val="none" w:sz="0" w:space="0" w:color="auto"/>
              <w:left w:val="none" w:sz="0" w:space="0" w:color="auto"/>
              <w:bottom w:val="none" w:sz="0" w:space="0" w:color="auto"/>
              <w:right w:val="none" w:sz="0" w:space="0" w:color="auto"/>
            </w:tcBorders>
          </w:tcPr>
          <w:p w:rsidR="00AC6023" w:rsidRPr="00AC6023" w:rsidRDefault="00AC6023" w:rsidP="00A10D06">
            <w:pPr>
              <w:jc w:val="center"/>
              <w:cnfStyle w:val="000000100000"/>
              <w:rPr>
                <w:rFonts w:asciiTheme="minorHAnsi" w:hAnsiTheme="minorHAnsi"/>
                <w:sz w:val="20"/>
                <w:szCs w:val="20"/>
              </w:rPr>
            </w:pPr>
            <w:r>
              <w:rPr>
                <w:rFonts w:asciiTheme="minorHAnsi" w:hAnsiTheme="minorHAnsi"/>
                <w:sz w:val="20"/>
                <w:szCs w:val="20"/>
              </w:rPr>
              <w:t>284,22</w:t>
            </w:r>
          </w:p>
        </w:tc>
        <w:tc>
          <w:tcPr>
            <w:tcW w:w="903" w:type="pct"/>
            <w:tcBorders>
              <w:top w:val="none" w:sz="0" w:space="0" w:color="auto"/>
              <w:left w:val="none" w:sz="0" w:space="0" w:color="auto"/>
              <w:bottom w:val="none" w:sz="0" w:space="0" w:color="auto"/>
            </w:tcBorders>
          </w:tcPr>
          <w:p w:rsidR="00AC6023" w:rsidRPr="00AC6023" w:rsidRDefault="00AC6023" w:rsidP="00A10D06">
            <w:pPr>
              <w:jc w:val="center"/>
              <w:cnfStyle w:val="000000100000"/>
              <w:rPr>
                <w:rFonts w:asciiTheme="minorHAnsi" w:hAnsiTheme="minorHAnsi"/>
                <w:sz w:val="20"/>
                <w:szCs w:val="20"/>
              </w:rPr>
            </w:pPr>
            <w:r>
              <w:rPr>
                <w:rFonts w:asciiTheme="minorHAnsi" w:hAnsiTheme="minorHAnsi"/>
                <w:sz w:val="20"/>
                <w:szCs w:val="20"/>
              </w:rPr>
              <w:t>71,05</w:t>
            </w:r>
          </w:p>
        </w:tc>
      </w:tr>
      <w:tr w:rsidR="00C06DB9" w:rsidRPr="00774974" w:rsidTr="00C06DB9">
        <w:tc>
          <w:tcPr>
            <w:cnfStyle w:val="001000000000"/>
            <w:tcW w:w="1390" w:type="pct"/>
            <w:tcBorders>
              <w:left w:val="none" w:sz="0" w:space="0" w:color="auto"/>
              <w:bottom w:val="none" w:sz="0" w:space="0" w:color="auto"/>
              <w:right w:val="none" w:sz="0" w:space="0" w:color="auto"/>
            </w:tcBorders>
            <w:noWrap/>
          </w:tcPr>
          <w:p w:rsidR="002A0B6A" w:rsidRPr="00AC6023" w:rsidRDefault="002A0B6A" w:rsidP="00A10D06">
            <w:pPr>
              <w:jc w:val="left"/>
              <w:rPr>
                <w:rStyle w:val="Wyrnieniedelikatne"/>
                <w:rFonts w:asciiTheme="minorHAnsi" w:hAnsiTheme="minorHAnsi"/>
                <w:b/>
                <w:i w:val="0"/>
                <w:color w:val="auto"/>
                <w:sz w:val="20"/>
                <w:szCs w:val="20"/>
              </w:rPr>
            </w:pPr>
            <w:r w:rsidRPr="00AC6023">
              <w:rPr>
                <w:rStyle w:val="Wyrnieniedelikatne"/>
                <w:rFonts w:asciiTheme="minorHAnsi" w:hAnsiTheme="minorHAnsi"/>
                <w:b/>
                <w:i w:val="0"/>
                <w:color w:val="auto"/>
                <w:sz w:val="20"/>
                <w:szCs w:val="20"/>
              </w:rPr>
              <w:t>SUMA</w:t>
            </w:r>
          </w:p>
        </w:tc>
        <w:tc>
          <w:tcPr>
            <w:tcW w:w="902" w:type="pct"/>
          </w:tcPr>
          <w:p w:rsidR="002A0B6A" w:rsidRPr="00AC6023" w:rsidRDefault="00AC6023" w:rsidP="00A10D06">
            <w:pPr>
              <w:jc w:val="center"/>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37 400,52</w:t>
            </w:r>
          </w:p>
        </w:tc>
        <w:tc>
          <w:tcPr>
            <w:tcW w:w="902" w:type="pct"/>
          </w:tcPr>
          <w:p w:rsidR="002A0B6A" w:rsidRPr="00AC6023" w:rsidRDefault="00AC6023" w:rsidP="00A10D06">
            <w:pPr>
              <w:jc w:val="center"/>
              <w:cnfStyle w:val="000000000000"/>
              <w:rPr>
                <w:rStyle w:val="Wyrnieniedelikatne"/>
                <w:rFonts w:asciiTheme="minorHAnsi" w:hAnsiTheme="minorHAnsi"/>
                <w:b/>
                <w:i w:val="0"/>
                <w:color w:val="auto"/>
                <w:sz w:val="20"/>
                <w:szCs w:val="20"/>
              </w:rPr>
            </w:pPr>
            <w:r>
              <w:rPr>
                <w:rStyle w:val="Wyrnieniedelikatne"/>
                <w:rFonts w:asciiTheme="minorHAnsi" w:hAnsiTheme="minorHAnsi"/>
                <w:b/>
                <w:i w:val="0"/>
                <w:color w:val="auto"/>
                <w:sz w:val="20"/>
                <w:szCs w:val="20"/>
              </w:rPr>
              <w:t>36 833,50</w:t>
            </w:r>
          </w:p>
        </w:tc>
        <w:tc>
          <w:tcPr>
            <w:tcW w:w="903" w:type="pct"/>
          </w:tcPr>
          <w:p w:rsidR="002A0B6A" w:rsidRPr="00AC6023" w:rsidRDefault="00AC6023" w:rsidP="00A10D06">
            <w:pPr>
              <w:jc w:val="center"/>
              <w:cnfStyle w:val="000000000000"/>
              <w:rPr>
                <w:rFonts w:asciiTheme="minorHAnsi" w:hAnsiTheme="minorHAnsi"/>
                <w:b/>
                <w:color w:val="auto"/>
                <w:sz w:val="20"/>
                <w:szCs w:val="20"/>
              </w:rPr>
            </w:pPr>
            <w:r>
              <w:rPr>
                <w:rFonts w:asciiTheme="minorHAnsi" w:hAnsiTheme="minorHAnsi"/>
                <w:b/>
                <w:color w:val="auto"/>
                <w:sz w:val="20"/>
                <w:szCs w:val="20"/>
              </w:rPr>
              <w:t>29 920,42</w:t>
            </w:r>
          </w:p>
        </w:tc>
        <w:tc>
          <w:tcPr>
            <w:tcW w:w="903" w:type="pct"/>
          </w:tcPr>
          <w:p w:rsidR="002A0B6A" w:rsidRPr="00AC6023" w:rsidRDefault="00AC6023" w:rsidP="00A10D06">
            <w:pPr>
              <w:jc w:val="center"/>
              <w:cnfStyle w:val="000000000000"/>
              <w:rPr>
                <w:rFonts w:asciiTheme="minorHAnsi" w:hAnsiTheme="minorHAnsi"/>
                <w:b/>
                <w:color w:val="auto"/>
                <w:sz w:val="20"/>
                <w:szCs w:val="20"/>
              </w:rPr>
            </w:pPr>
            <w:r>
              <w:rPr>
                <w:rFonts w:asciiTheme="minorHAnsi" w:hAnsiTheme="minorHAnsi"/>
                <w:b/>
                <w:color w:val="auto"/>
                <w:sz w:val="20"/>
                <w:szCs w:val="20"/>
              </w:rPr>
              <w:t>7 480,10</w:t>
            </w:r>
          </w:p>
        </w:tc>
      </w:tr>
    </w:tbl>
    <w:p w:rsidR="002A0B6A" w:rsidRDefault="00C06DB9" w:rsidP="002A0B6A">
      <w:pPr>
        <w:rPr>
          <w:sz w:val="20"/>
          <w:szCs w:val="20"/>
        </w:rPr>
      </w:pPr>
      <w:r w:rsidRPr="00C06DB9">
        <w:rPr>
          <w:sz w:val="20"/>
          <w:szCs w:val="20"/>
        </w:rPr>
        <w:t>Źródło: Opracowanie własne na podstawie badań ankietowych</w:t>
      </w:r>
    </w:p>
    <w:p w:rsidR="00C06DB9" w:rsidRDefault="00C06DB9" w:rsidP="002A0B6A">
      <w:pPr>
        <w:rPr>
          <w:sz w:val="20"/>
          <w:szCs w:val="20"/>
        </w:rPr>
      </w:pPr>
    </w:p>
    <w:p w:rsidR="00C06DB9" w:rsidRDefault="000117A8" w:rsidP="00A10D06">
      <w:pPr>
        <w:pStyle w:val="Nagwek2"/>
        <w:numPr>
          <w:ilvl w:val="1"/>
          <w:numId w:val="1"/>
        </w:numPr>
      </w:pPr>
      <w:bookmarkStart w:id="97" w:name="_Toc438118398"/>
      <w:r>
        <w:t xml:space="preserve"> </w:t>
      </w:r>
      <w:r w:rsidR="00BD24DF">
        <w:t>Działania na rzecz osiągnięcia założonego celu</w:t>
      </w:r>
      <w:bookmarkEnd w:id="97"/>
    </w:p>
    <w:p w:rsidR="00BD24DF" w:rsidRDefault="00BD24DF" w:rsidP="004178E4">
      <w:pPr>
        <w:spacing w:line="240" w:lineRule="auto"/>
      </w:pPr>
    </w:p>
    <w:p w:rsidR="00F46A02" w:rsidRPr="006F2005" w:rsidRDefault="000D61B0" w:rsidP="00F46A02">
      <w:r>
        <w:t xml:space="preserve">Dzięki prowadzonym na obszarze gminy Herby badaniom ankietowym zidentyfikowano kluczowe obszary o wysokiej emisji. </w:t>
      </w:r>
      <w:r w:rsidR="00F46A02" w:rsidRPr="006D10B5">
        <w:t>Zostały przeanalizowane uwarunkowania i możl</w:t>
      </w:r>
      <w:r w:rsidR="00F46A02">
        <w:t xml:space="preserve">iwości redukcji zużycia energii wraz z oceną ich efektywności </w:t>
      </w:r>
      <w:r w:rsidR="00F46A02" w:rsidRPr="006D10B5">
        <w:t>ekologiczno</w:t>
      </w:r>
      <w:r w:rsidR="00F46A02">
        <w:t>-ekonomicznej. Wyniki pozwoliły</w:t>
      </w:r>
      <w:r w:rsidR="005C51DA">
        <w:t xml:space="preserve"> </w:t>
      </w:r>
      <w:r w:rsidR="00F46A02">
        <w:t>określić działania niezbędne</w:t>
      </w:r>
      <w:r w:rsidR="00F46A02" w:rsidRPr="006D10B5">
        <w:t xml:space="preserve"> dla osiągnięcia założonych celów. Podstawą</w:t>
      </w:r>
      <w:r w:rsidR="00F46A02">
        <w:t xml:space="preserve"> ich doboru </w:t>
      </w:r>
      <w:r w:rsidR="00F46A02" w:rsidRPr="006D10B5">
        <w:t xml:space="preserve">są również </w:t>
      </w:r>
      <w:r w:rsidR="00F46A02" w:rsidRPr="006F2005">
        <w:t xml:space="preserve">możliwości budżetowe gminy </w:t>
      </w:r>
      <w:r w:rsidR="00B07E7C" w:rsidRPr="006F2005">
        <w:t>Herby</w:t>
      </w:r>
      <w:r w:rsidR="004206EE" w:rsidRPr="006F2005">
        <w:t xml:space="preserve"> </w:t>
      </w:r>
      <w:r w:rsidR="00F46A02" w:rsidRPr="006F2005">
        <w:t>wynikające z wieloletniej prognozy finansowej.</w:t>
      </w:r>
    </w:p>
    <w:p w:rsidR="00F46A02" w:rsidRDefault="00F46A02" w:rsidP="00F46A02">
      <w:r w:rsidRPr="006D10B5">
        <w:lastRenderedPageBreak/>
        <w:t>Z uwagi na zmienność warunków otoczenia, a także fakt, iż każde z podejmowanych działań niesie ze sobą określone rezultaty</w:t>
      </w:r>
      <w:r>
        <w:t>, d</w:t>
      </w:r>
      <w:r w:rsidRPr="006D10B5">
        <w:t>oku</w:t>
      </w:r>
      <w:r>
        <w:t xml:space="preserve">ment strategiczny – PGN – </w:t>
      </w:r>
      <w:r w:rsidRPr="006D10B5">
        <w:t>może być systematycznie korygowany. Dlatego też wy</w:t>
      </w:r>
      <w:r>
        <w:t xml:space="preserve">kazane działania mają charakter kierunkowy i </w:t>
      </w:r>
      <w:r w:rsidRPr="006D10B5">
        <w:t xml:space="preserve">powinny zostać dostosowane do zmian w postępie technicznym, </w:t>
      </w:r>
      <w:r>
        <w:t>a także w odniesieniu d</w:t>
      </w:r>
      <w:r w:rsidR="00B07E7C">
        <w:t>o możliwości finansowych gminy Herby</w:t>
      </w:r>
      <w:r>
        <w:t xml:space="preserve">. </w:t>
      </w:r>
    </w:p>
    <w:p w:rsidR="00F46A02" w:rsidRPr="009F5F8F" w:rsidRDefault="00F46A02" w:rsidP="00F46A02">
      <w:pPr>
        <w:spacing w:line="240" w:lineRule="auto"/>
        <w:rPr>
          <w:sz w:val="16"/>
          <w:szCs w:val="16"/>
        </w:rPr>
      </w:pPr>
    </w:p>
    <w:p w:rsidR="00F46A02" w:rsidRPr="006D10B5" w:rsidRDefault="00F46A02" w:rsidP="00F46A02">
      <w:r w:rsidRPr="006D10B5">
        <w:t>Zaplanowane działania dotyczą:</w:t>
      </w:r>
    </w:p>
    <w:p w:rsidR="00F46A02" w:rsidRPr="006D10B5" w:rsidRDefault="00F46A02" w:rsidP="00E7342B">
      <w:pPr>
        <w:numPr>
          <w:ilvl w:val="0"/>
          <w:numId w:val="39"/>
        </w:numPr>
        <w:spacing w:before="120" w:after="120" w:line="276" w:lineRule="auto"/>
      </w:pPr>
      <w:r w:rsidRPr="006D10B5">
        <w:t>działań niskoemisyjnych,</w:t>
      </w:r>
    </w:p>
    <w:p w:rsidR="00F46A02" w:rsidRPr="006D10B5" w:rsidRDefault="00F46A02" w:rsidP="00E7342B">
      <w:pPr>
        <w:numPr>
          <w:ilvl w:val="0"/>
          <w:numId w:val="39"/>
        </w:numPr>
        <w:spacing w:before="120" w:after="120" w:line="276" w:lineRule="auto"/>
      </w:pPr>
      <w:r w:rsidRPr="006D10B5">
        <w:t>efektywnego wykorzystania zasobów,</w:t>
      </w:r>
    </w:p>
    <w:p w:rsidR="00F46A02" w:rsidRPr="006D10B5" w:rsidRDefault="00F46A02" w:rsidP="00E7342B">
      <w:pPr>
        <w:numPr>
          <w:ilvl w:val="0"/>
          <w:numId w:val="39"/>
        </w:numPr>
        <w:spacing w:before="120" w:after="120" w:line="276" w:lineRule="auto"/>
      </w:pPr>
      <w:r w:rsidRPr="006D10B5">
        <w:t>poprawy efektywności energetycznej,</w:t>
      </w:r>
    </w:p>
    <w:p w:rsidR="00F46A02" w:rsidRPr="006D10B5" w:rsidRDefault="00F46A02" w:rsidP="00E7342B">
      <w:pPr>
        <w:numPr>
          <w:ilvl w:val="0"/>
          <w:numId w:val="39"/>
        </w:numPr>
        <w:spacing w:before="120" w:after="120" w:line="276" w:lineRule="auto"/>
      </w:pPr>
      <w:r w:rsidRPr="006D10B5">
        <w:t>wykorzystania Odnawialnych Źródeł Energii,</w:t>
      </w:r>
    </w:p>
    <w:p w:rsidR="00F46A02" w:rsidRPr="006D10B5" w:rsidRDefault="00F46A02" w:rsidP="00E7342B">
      <w:pPr>
        <w:numPr>
          <w:ilvl w:val="0"/>
          <w:numId w:val="39"/>
        </w:numPr>
        <w:spacing w:before="120" w:after="120" w:line="276" w:lineRule="auto"/>
      </w:pPr>
      <w:r w:rsidRPr="006D10B5">
        <w:t>działań wpływających na zmiany postaw konsumpcyjnych użytkowników energii,</w:t>
      </w:r>
    </w:p>
    <w:p w:rsidR="00F46A02" w:rsidRPr="006D10B5" w:rsidRDefault="00F46A02" w:rsidP="00E7342B">
      <w:pPr>
        <w:numPr>
          <w:ilvl w:val="0"/>
          <w:numId w:val="39"/>
        </w:numPr>
        <w:spacing w:before="120" w:after="120" w:line="276" w:lineRule="auto"/>
      </w:pPr>
      <w:r w:rsidRPr="006D10B5">
        <w:t>działań nie inwestycyjnych.</w:t>
      </w:r>
    </w:p>
    <w:p w:rsidR="00F46A02" w:rsidRPr="009F5F8F" w:rsidRDefault="00F46A02" w:rsidP="00F46A02">
      <w:pPr>
        <w:spacing w:line="240" w:lineRule="auto"/>
        <w:rPr>
          <w:sz w:val="16"/>
          <w:szCs w:val="16"/>
        </w:rPr>
      </w:pPr>
    </w:p>
    <w:p w:rsidR="00F46A02" w:rsidRDefault="00F46A02" w:rsidP="00F46A02">
      <w:r w:rsidRPr="006D10B5">
        <w:t xml:space="preserve">W celu określenia podstawowych kierunków </w:t>
      </w:r>
      <w:r>
        <w:t>działań mających na celu poprawę</w:t>
      </w:r>
      <w:r w:rsidRPr="006D10B5">
        <w:t xml:space="preserve"> jakości powietrza</w:t>
      </w:r>
      <w:r>
        <w:t>,</w:t>
      </w:r>
      <w:r w:rsidRPr="006D10B5">
        <w:t xml:space="preserve"> p</w:t>
      </w:r>
      <w:r>
        <w:t>odjęto następujący tryb pracy:</w:t>
      </w:r>
    </w:p>
    <w:p w:rsidR="00F46A02" w:rsidRPr="00104AC0" w:rsidRDefault="00F46A02" w:rsidP="00F46A02">
      <w:pPr>
        <w:spacing w:line="240" w:lineRule="auto"/>
        <w:rPr>
          <w:sz w:val="16"/>
          <w:szCs w:val="16"/>
        </w:rPr>
      </w:pPr>
    </w:p>
    <w:p w:rsidR="00F46A02" w:rsidRPr="006D10B5" w:rsidRDefault="00F46A02" w:rsidP="00E7342B">
      <w:pPr>
        <w:numPr>
          <w:ilvl w:val="0"/>
          <w:numId w:val="40"/>
        </w:numPr>
        <w:spacing w:before="120" w:after="120" w:line="276" w:lineRule="auto"/>
      </w:pPr>
      <w:r>
        <w:t>Z</w:t>
      </w:r>
      <w:r w:rsidRPr="006D10B5">
        <w:t>identyfikowano główne przyczyny i źródła emisji CO</w:t>
      </w:r>
      <w:r w:rsidRPr="006D10B5">
        <w:rPr>
          <w:vertAlign w:val="subscript"/>
        </w:rPr>
        <w:t>2</w:t>
      </w:r>
      <w:r>
        <w:t>.</w:t>
      </w:r>
    </w:p>
    <w:p w:rsidR="00F46A02" w:rsidRPr="006D10B5" w:rsidRDefault="00F46A02" w:rsidP="00E7342B">
      <w:pPr>
        <w:numPr>
          <w:ilvl w:val="0"/>
          <w:numId w:val="40"/>
        </w:numPr>
        <w:spacing w:before="120" w:after="120"/>
      </w:pPr>
      <w:r>
        <w:t>W</w:t>
      </w:r>
      <w:r w:rsidRPr="006D10B5">
        <w:t>ykonano ogólnej analizy działań przyczyniających się do poprawy jakości powietrza i ich efekty</w:t>
      </w:r>
      <w:r>
        <w:t>.</w:t>
      </w:r>
    </w:p>
    <w:p w:rsidR="00F46A02" w:rsidRPr="006D10B5" w:rsidRDefault="00F46A02" w:rsidP="00E7342B">
      <w:pPr>
        <w:numPr>
          <w:ilvl w:val="0"/>
          <w:numId w:val="40"/>
        </w:numPr>
        <w:spacing w:before="120" w:after="120"/>
      </w:pPr>
      <w:r>
        <w:t xml:space="preserve">Dokonano wyboru </w:t>
      </w:r>
      <w:r w:rsidRPr="006D10B5">
        <w:t>możliwych kierunków działań dążących do osiągnięcia obniżenia emisji zanieczyszczeń powietrza, po rozpatrzeniu uwarunkowań lokalnych, społeczno-ekonomicznych i możliwości technicznych.</w:t>
      </w:r>
    </w:p>
    <w:p w:rsidR="00F46A02" w:rsidRPr="006D10B5" w:rsidRDefault="00F46A02" w:rsidP="00E7342B">
      <w:pPr>
        <w:numPr>
          <w:ilvl w:val="0"/>
          <w:numId w:val="40"/>
        </w:numPr>
        <w:spacing w:before="120" w:after="120" w:line="276" w:lineRule="auto"/>
      </w:pPr>
      <w:r w:rsidRPr="006D10B5">
        <w:t>Wyegzekwowano kierunki działań niezbędnych do ograniczenia CO</w:t>
      </w:r>
      <w:r w:rsidRPr="006D10B5">
        <w:rPr>
          <w:vertAlign w:val="subscript"/>
        </w:rPr>
        <w:t>2</w:t>
      </w:r>
      <w:r>
        <w:t>.</w:t>
      </w:r>
    </w:p>
    <w:p w:rsidR="00F46A02" w:rsidRPr="006D10B5" w:rsidRDefault="00F46A02" w:rsidP="00E7342B">
      <w:pPr>
        <w:numPr>
          <w:ilvl w:val="0"/>
          <w:numId w:val="40"/>
        </w:numPr>
        <w:spacing w:before="120" w:after="120"/>
      </w:pPr>
      <w:r w:rsidRPr="006D10B5">
        <w:t>Zawa</w:t>
      </w:r>
      <w:r>
        <w:t>rto kierunki działań niezbędne</w:t>
      </w:r>
      <w:r w:rsidRPr="006D10B5">
        <w:t xml:space="preserve"> do ograniczenia emisji CO</w:t>
      </w:r>
      <w:r w:rsidRPr="006D10B5">
        <w:rPr>
          <w:vertAlign w:val="subscript"/>
        </w:rPr>
        <w:t>2</w:t>
      </w:r>
      <w:r>
        <w:t>, zapisane</w:t>
      </w:r>
      <w:r w:rsidRPr="006D10B5">
        <w:t xml:space="preserve"> w polityce klimatycznej Unii Europejskiej, Polski (wzrost udziału OZE w ogólnym bilansie produkcji energii finalnej).</w:t>
      </w:r>
    </w:p>
    <w:p w:rsidR="00F46A02" w:rsidRPr="00D52F0C" w:rsidRDefault="00F46A02" w:rsidP="00F46A02">
      <w:pPr>
        <w:spacing w:line="240" w:lineRule="auto"/>
        <w:rPr>
          <w:sz w:val="16"/>
          <w:szCs w:val="16"/>
        </w:rPr>
      </w:pPr>
    </w:p>
    <w:p w:rsidR="00F46A02" w:rsidRPr="006F2005" w:rsidRDefault="00F46A02" w:rsidP="00F46A02">
      <w:r w:rsidRPr="006F2005">
        <w:lastRenderedPageBreak/>
        <w:t>Wdrożenie założonego trybu pracy będzie możliwe dzięki</w:t>
      </w:r>
      <w:r w:rsidR="005C51DA" w:rsidRPr="006F2005">
        <w:t xml:space="preserve"> </w:t>
      </w:r>
      <w:r w:rsidRPr="006F2005">
        <w:t>podejmowaniu działań inwestycyjnych, edukacyjnych i administracyjnych</w:t>
      </w:r>
      <w:r w:rsidR="005C51DA" w:rsidRPr="006F2005">
        <w:t xml:space="preserve"> </w:t>
      </w:r>
      <w:r w:rsidRPr="006F2005">
        <w:t xml:space="preserve">w zakresie zrównoważonej energii we wszystkich sektorach, a zwłaszcza w priorytetowych obszarach działania PGN. </w:t>
      </w:r>
    </w:p>
    <w:p w:rsidR="00F46A02" w:rsidRPr="00A22D73" w:rsidRDefault="00F46A02" w:rsidP="00F46A02">
      <w:pPr>
        <w:spacing w:line="240" w:lineRule="auto"/>
        <w:rPr>
          <w:sz w:val="16"/>
          <w:szCs w:val="16"/>
        </w:rPr>
      </w:pPr>
    </w:p>
    <w:p w:rsidR="00F46A02" w:rsidRPr="006D10B5" w:rsidRDefault="00F46A02" w:rsidP="00F46A02">
      <w:r w:rsidRPr="006D10B5">
        <w:t>Zakres kierunków działań zmierzających do realizacji redukcji emisji:</w:t>
      </w:r>
    </w:p>
    <w:p w:rsidR="00F46A02" w:rsidRPr="006D10B5" w:rsidRDefault="00F46A02" w:rsidP="00E7342B">
      <w:pPr>
        <w:numPr>
          <w:ilvl w:val="0"/>
          <w:numId w:val="38"/>
        </w:numPr>
        <w:spacing w:before="120" w:after="120" w:line="276" w:lineRule="auto"/>
      </w:pPr>
      <w:r>
        <w:t>t</w:t>
      </w:r>
      <w:r w:rsidRPr="006D10B5">
        <w:t>ermomodernizacja budynków</w:t>
      </w:r>
      <w:r>
        <w:t>,</w:t>
      </w:r>
    </w:p>
    <w:p w:rsidR="00F46A02" w:rsidRPr="006D10B5" w:rsidRDefault="00F46A02" w:rsidP="00E7342B">
      <w:pPr>
        <w:numPr>
          <w:ilvl w:val="0"/>
          <w:numId w:val="38"/>
        </w:numPr>
        <w:spacing w:before="120" w:after="120" w:line="276" w:lineRule="auto"/>
      </w:pPr>
      <w:r>
        <w:t>e</w:t>
      </w:r>
      <w:r w:rsidRPr="006D10B5">
        <w:t xml:space="preserve">fektywność energetyczna </w:t>
      </w:r>
      <w:r>
        <w:t>,</w:t>
      </w:r>
    </w:p>
    <w:p w:rsidR="00F46A02" w:rsidRPr="006D10B5" w:rsidRDefault="00F46A02" w:rsidP="00E7342B">
      <w:pPr>
        <w:numPr>
          <w:ilvl w:val="0"/>
          <w:numId w:val="38"/>
        </w:numPr>
        <w:spacing w:before="120" w:after="120" w:line="276" w:lineRule="auto"/>
      </w:pPr>
      <w:r>
        <w:t>i</w:t>
      </w:r>
      <w:r w:rsidRPr="006D10B5">
        <w:t>nstalacje oświetleniowe budynków</w:t>
      </w:r>
      <w:r>
        <w:t>,</w:t>
      </w:r>
    </w:p>
    <w:p w:rsidR="00F46A02" w:rsidRPr="006D10B5" w:rsidRDefault="00F46A02" w:rsidP="00E7342B">
      <w:pPr>
        <w:numPr>
          <w:ilvl w:val="0"/>
          <w:numId w:val="38"/>
        </w:numPr>
        <w:spacing w:before="120" w:after="120" w:line="276" w:lineRule="auto"/>
      </w:pPr>
      <w:r>
        <w:t>t</w:t>
      </w:r>
      <w:r w:rsidRPr="006D10B5">
        <w:t>ransport</w:t>
      </w:r>
      <w:r>
        <w:t>,</w:t>
      </w:r>
    </w:p>
    <w:p w:rsidR="00F46A02" w:rsidRPr="006D10B5" w:rsidRDefault="00F46A02" w:rsidP="00E7342B">
      <w:pPr>
        <w:numPr>
          <w:ilvl w:val="0"/>
          <w:numId w:val="38"/>
        </w:numPr>
        <w:spacing w:before="120" w:after="120" w:line="276" w:lineRule="auto"/>
      </w:pPr>
      <w:r>
        <w:t>w</w:t>
      </w:r>
      <w:r w:rsidRPr="006D10B5">
        <w:t>ykorzystanie odnawialnych źródeł energii</w:t>
      </w:r>
      <w:r>
        <w:t>,</w:t>
      </w:r>
    </w:p>
    <w:p w:rsidR="00F46A02" w:rsidRPr="006D10B5" w:rsidRDefault="00F46A02" w:rsidP="00E7342B">
      <w:pPr>
        <w:numPr>
          <w:ilvl w:val="0"/>
          <w:numId w:val="38"/>
        </w:numPr>
        <w:spacing w:before="120" w:after="120" w:line="276" w:lineRule="auto"/>
      </w:pPr>
      <w:r>
        <w:t>e</w:t>
      </w:r>
      <w:r w:rsidRPr="006D10B5">
        <w:t>dukacja społeczności, przedsiębiorców</w:t>
      </w:r>
      <w:r>
        <w:t>.</w:t>
      </w:r>
    </w:p>
    <w:p w:rsidR="004178E4" w:rsidRDefault="004178E4" w:rsidP="00BD24DF"/>
    <w:p w:rsidR="00F9550B" w:rsidRDefault="00B07E7C" w:rsidP="009E1745">
      <w:pPr>
        <w:pStyle w:val="Nagwek3"/>
        <w:numPr>
          <w:ilvl w:val="2"/>
          <w:numId w:val="1"/>
        </w:numPr>
      </w:pPr>
      <w:bookmarkStart w:id="98" w:name="_Toc429558623"/>
      <w:bookmarkStart w:id="99" w:name="_Toc429558763"/>
      <w:bookmarkStart w:id="100" w:name="_Toc429558831"/>
      <w:bookmarkStart w:id="101" w:name="_Toc438118399"/>
      <w:bookmarkEnd w:id="98"/>
      <w:bookmarkEnd w:id="99"/>
      <w:bookmarkEnd w:id="100"/>
      <w:r>
        <w:t>Termomodernizacje budynków</w:t>
      </w:r>
      <w:bookmarkEnd w:id="101"/>
    </w:p>
    <w:p w:rsidR="009E1745" w:rsidRDefault="009E1745" w:rsidP="00F9550B"/>
    <w:p w:rsidR="00F9550B" w:rsidRPr="00FF1221" w:rsidRDefault="00F9550B" w:rsidP="00F9550B">
      <w:r>
        <w:t xml:space="preserve">W  celu zmniejszenia zapotrzebowania zużycia energii cieplnej w obiektach budowlanych przeprowadza się termomodernizację, która obejmuje szereg działań  takich jak: </w:t>
      </w:r>
      <w:proofErr w:type="spellStart"/>
      <w:r>
        <w:t>docieplenie</w:t>
      </w:r>
      <w:proofErr w:type="spellEnd"/>
      <w:r>
        <w:t xml:space="preserve"> ścian zewnę</w:t>
      </w:r>
      <w:r w:rsidR="00E314E1">
        <w:t>trznych i stropów, wymianę okien</w:t>
      </w:r>
      <w:r>
        <w:t xml:space="preserve"> i wymianę lub modernizację systemów grzewczych. Redukcja strat ciepła jest istotnym elementem wpływu na zużycie energii i emisję CO</w:t>
      </w:r>
      <w:r w:rsidRPr="008B509F">
        <w:rPr>
          <w:vertAlign w:val="subscript"/>
        </w:rPr>
        <w:t>2</w:t>
      </w:r>
      <w:r>
        <w:t xml:space="preserve">. Tego typu inwestycje zwracają się w postaci mniejszych wydatków na ogrzewanie. </w:t>
      </w:r>
      <w:r w:rsidRPr="00FF1221">
        <w:t xml:space="preserve">Dodatkowo wpłyną one </w:t>
      </w:r>
      <w:r>
        <w:t xml:space="preserve">także </w:t>
      </w:r>
      <w:r w:rsidRPr="00FF1221">
        <w:t>na zwiększenie komfortu cieplnego uży</w:t>
      </w:r>
      <w:r>
        <w:t>tkowników oraz ugruntują pozycję</w:t>
      </w:r>
      <w:r w:rsidRPr="00FF1221">
        <w:t xml:space="preserve"> sektora publicznego jako lidera w racjonalnym gospodarowaniu energią. </w:t>
      </w:r>
    </w:p>
    <w:p w:rsidR="00F9550B" w:rsidRDefault="00F9550B" w:rsidP="00F9550B">
      <w:r w:rsidRPr="00FF1221">
        <w:t xml:space="preserve">Efektywność takiej </w:t>
      </w:r>
      <w:proofErr w:type="spellStart"/>
      <w:r w:rsidRPr="00FF1221">
        <w:t>termolokaty</w:t>
      </w:r>
      <w:proofErr w:type="spellEnd"/>
      <w:r w:rsidRPr="00FF1221">
        <w:t xml:space="preserve"> zależy od wy</w:t>
      </w:r>
      <w:r>
        <w:t>jściowego stanu budynku, zakresu</w:t>
      </w:r>
      <w:r w:rsidRPr="00FF1221">
        <w:t xml:space="preserve"> podjętych działań, jak też zastosowanych rozwiązań technicznych. Termomodernizacja budynków stanowi istotny segment ograniczenia zanieczyszczeń pochodzących z ogrzewania zarówno indywidualnego</w:t>
      </w:r>
      <w:r>
        <w:t>,</w:t>
      </w:r>
      <w:r w:rsidRPr="00FF1221">
        <w:t xml:space="preserve"> jak i zbiorowego. </w:t>
      </w:r>
      <w:r>
        <w:t>Poniższa tabela przedstawia</w:t>
      </w:r>
      <w:r w:rsidRPr="00FF1221">
        <w:t xml:space="preserve"> ilościowe efekty wybranych przedsięwzięć </w:t>
      </w:r>
      <w:proofErr w:type="spellStart"/>
      <w:r w:rsidRPr="00FF1221">
        <w:t>termomodernizacyjnych</w:t>
      </w:r>
      <w:proofErr w:type="spellEnd"/>
      <w:r w:rsidRPr="00FF1221">
        <w:t>.</w:t>
      </w:r>
    </w:p>
    <w:p w:rsidR="00F9550B" w:rsidRDefault="00F9550B" w:rsidP="00F9550B"/>
    <w:p w:rsidR="00F9550B" w:rsidRDefault="00F9550B" w:rsidP="00F9550B"/>
    <w:p w:rsidR="00F9550B" w:rsidRPr="00582635" w:rsidRDefault="00F9550B" w:rsidP="00F9550B">
      <w:pPr>
        <w:pStyle w:val="Legenda"/>
        <w:keepNext/>
        <w:rPr>
          <w:color w:val="auto"/>
        </w:rPr>
      </w:pPr>
      <w:bookmarkStart w:id="102" w:name="_Toc429388361"/>
      <w:bookmarkStart w:id="103" w:name="_Toc436586236"/>
      <w:r w:rsidRPr="00582635">
        <w:rPr>
          <w:color w:val="auto"/>
        </w:rPr>
        <w:lastRenderedPageBreak/>
        <w:t xml:space="preserve">Tabela </w:t>
      </w:r>
      <w:r w:rsidR="00844CE4" w:rsidRPr="00582635">
        <w:rPr>
          <w:color w:val="auto"/>
        </w:rPr>
        <w:fldChar w:fldCharType="begin"/>
      </w:r>
      <w:r w:rsidR="006E6F7F" w:rsidRPr="00582635">
        <w:rPr>
          <w:color w:val="auto"/>
        </w:rPr>
        <w:instrText xml:space="preserve"> SEQ Tabela \* ARABIC </w:instrText>
      </w:r>
      <w:r w:rsidR="00844CE4" w:rsidRPr="00582635">
        <w:rPr>
          <w:color w:val="auto"/>
        </w:rPr>
        <w:fldChar w:fldCharType="separate"/>
      </w:r>
      <w:r w:rsidR="005C42FD">
        <w:rPr>
          <w:noProof/>
          <w:color w:val="auto"/>
        </w:rPr>
        <w:t>16</w:t>
      </w:r>
      <w:r w:rsidR="00844CE4" w:rsidRPr="00582635">
        <w:rPr>
          <w:noProof/>
          <w:color w:val="auto"/>
        </w:rPr>
        <w:fldChar w:fldCharType="end"/>
      </w:r>
      <w:r w:rsidRPr="00582635">
        <w:rPr>
          <w:color w:val="auto"/>
        </w:rPr>
        <w:t xml:space="preserve"> Ilościowe efekty wybranych przedsięwzięć </w:t>
      </w:r>
      <w:proofErr w:type="spellStart"/>
      <w:r w:rsidRPr="00582635">
        <w:rPr>
          <w:color w:val="auto"/>
        </w:rPr>
        <w:t>termomodernizacyjnych</w:t>
      </w:r>
      <w:bookmarkEnd w:id="102"/>
      <w:bookmarkEnd w:id="103"/>
      <w:proofErr w:type="spellEnd"/>
    </w:p>
    <w:tbl>
      <w:tblPr>
        <w:tblStyle w:val="Jasnecieniowanieakcent16"/>
        <w:tblW w:w="4408" w:type="pct"/>
        <w:tblLayout w:type="fixed"/>
        <w:tblLook w:val="0660"/>
      </w:tblPr>
      <w:tblGrid>
        <w:gridCol w:w="5496"/>
        <w:gridCol w:w="2692"/>
      </w:tblGrid>
      <w:tr w:rsidR="00F9550B" w:rsidRPr="00F2713C" w:rsidTr="00A10D06">
        <w:trPr>
          <w:cnfStyle w:val="100000000000"/>
        </w:trPr>
        <w:tc>
          <w:tcPr>
            <w:tcW w:w="3356" w:type="pct"/>
            <w:noWrap/>
          </w:tcPr>
          <w:p w:rsidR="00F9550B" w:rsidRPr="00F2713C" w:rsidRDefault="00F9550B" w:rsidP="00A10D06">
            <w:pPr>
              <w:spacing w:line="240" w:lineRule="auto"/>
              <w:rPr>
                <w:sz w:val="20"/>
                <w:szCs w:val="20"/>
              </w:rPr>
            </w:pPr>
            <w:r>
              <w:rPr>
                <w:sz w:val="20"/>
                <w:szCs w:val="20"/>
              </w:rPr>
              <w:t>Sposób uzyskania oszczędności</w:t>
            </w:r>
          </w:p>
        </w:tc>
        <w:tc>
          <w:tcPr>
            <w:tcW w:w="1644" w:type="pct"/>
          </w:tcPr>
          <w:p w:rsidR="00F9550B" w:rsidRPr="00F2713C" w:rsidRDefault="00F9550B" w:rsidP="00A10D06">
            <w:pPr>
              <w:spacing w:line="240" w:lineRule="auto"/>
              <w:rPr>
                <w:sz w:val="20"/>
                <w:szCs w:val="20"/>
              </w:rPr>
            </w:pPr>
            <w:r>
              <w:rPr>
                <w:sz w:val="20"/>
                <w:szCs w:val="20"/>
              </w:rPr>
              <w:t>Obniżenie zużycia ciepła</w:t>
            </w:r>
          </w:p>
        </w:tc>
      </w:tr>
      <w:tr w:rsidR="00F9550B" w:rsidRPr="00F2713C" w:rsidTr="00A10D06">
        <w:tc>
          <w:tcPr>
            <w:tcW w:w="3356" w:type="pct"/>
            <w:tcBorders>
              <w:right w:val="single" w:sz="8" w:space="0" w:color="4F81BD" w:themeColor="accent1"/>
            </w:tcBorders>
            <w:noWrap/>
          </w:tcPr>
          <w:p w:rsidR="00F9550B" w:rsidRDefault="00F9550B" w:rsidP="00A10D06">
            <w:pPr>
              <w:spacing w:line="240" w:lineRule="auto"/>
              <w:jc w:val="left"/>
              <w:rPr>
                <w:sz w:val="20"/>
                <w:szCs w:val="20"/>
              </w:rPr>
            </w:pPr>
            <w:r>
              <w:rPr>
                <w:sz w:val="20"/>
                <w:szCs w:val="20"/>
              </w:rPr>
              <w:t>Wprowadzenie w węźle cieplnym automatyki i urządzeń sterujących.</w:t>
            </w:r>
          </w:p>
          <w:p w:rsidR="00F9550B" w:rsidRPr="00F2713C" w:rsidRDefault="00F9550B" w:rsidP="00A10D06">
            <w:pPr>
              <w:spacing w:line="240" w:lineRule="auto"/>
              <w:jc w:val="left"/>
              <w:rPr>
                <w:sz w:val="20"/>
                <w:szCs w:val="20"/>
              </w:rPr>
            </w:pPr>
          </w:p>
        </w:tc>
        <w:tc>
          <w:tcPr>
            <w:tcW w:w="1644" w:type="pct"/>
            <w:tcBorders>
              <w:top w:val="single" w:sz="8" w:space="0" w:color="4F81BD" w:themeColor="accent1"/>
              <w:left w:val="single" w:sz="8" w:space="0" w:color="4F81BD" w:themeColor="accent1"/>
              <w:bottom w:val="nil"/>
            </w:tcBorders>
          </w:tcPr>
          <w:p w:rsidR="00F9550B" w:rsidRPr="00F2713C" w:rsidRDefault="00F9550B" w:rsidP="00A10D06">
            <w:pPr>
              <w:spacing w:line="240" w:lineRule="auto"/>
              <w:jc w:val="center"/>
              <w:rPr>
                <w:rStyle w:val="Wyrnieniedelikatne"/>
                <w:i w:val="0"/>
                <w:color w:val="1F497D" w:themeColor="text2"/>
                <w:sz w:val="20"/>
                <w:szCs w:val="20"/>
              </w:rPr>
            </w:pPr>
            <w:r>
              <w:rPr>
                <w:rStyle w:val="Wyrnieniedelikatne"/>
                <w:color w:val="1F497D" w:themeColor="text2"/>
                <w:sz w:val="20"/>
                <w:szCs w:val="20"/>
              </w:rPr>
              <w:t>5 ÷ 15 %</w:t>
            </w:r>
          </w:p>
        </w:tc>
      </w:tr>
      <w:tr w:rsidR="00F9550B" w:rsidRPr="00F2713C" w:rsidTr="00A10D06">
        <w:tc>
          <w:tcPr>
            <w:tcW w:w="3356" w:type="pct"/>
            <w:tcBorders>
              <w:right w:val="single" w:sz="8" w:space="0" w:color="4F81BD" w:themeColor="accent1"/>
            </w:tcBorders>
            <w:noWrap/>
          </w:tcPr>
          <w:p w:rsidR="00F9550B" w:rsidRDefault="00F9550B" w:rsidP="00A10D06">
            <w:pPr>
              <w:spacing w:line="240" w:lineRule="auto"/>
              <w:jc w:val="left"/>
              <w:rPr>
                <w:sz w:val="20"/>
                <w:szCs w:val="20"/>
              </w:rPr>
            </w:pPr>
            <w:r>
              <w:rPr>
                <w:sz w:val="20"/>
                <w:szCs w:val="20"/>
              </w:rPr>
              <w:t xml:space="preserve">Wprowadzenie hermetyzacji instalacji, przeprowadzenie </w:t>
            </w:r>
          </w:p>
          <w:p w:rsidR="00F9550B" w:rsidRDefault="00F9550B" w:rsidP="00A10D06">
            <w:pPr>
              <w:spacing w:line="240" w:lineRule="auto"/>
              <w:jc w:val="left"/>
              <w:rPr>
                <w:sz w:val="20"/>
                <w:szCs w:val="20"/>
              </w:rPr>
            </w:pPr>
            <w:r>
              <w:rPr>
                <w:sz w:val="20"/>
                <w:szCs w:val="20"/>
              </w:rPr>
              <w:t xml:space="preserve">regulacji hydraulicznej i zamontowanie zaworów </w:t>
            </w:r>
          </w:p>
          <w:p w:rsidR="00F9550B" w:rsidRDefault="00F9550B" w:rsidP="00A10D06">
            <w:pPr>
              <w:spacing w:line="240" w:lineRule="auto"/>
              <w:jc w:val="left"/>
              <w:rPr>
                <w:sz w:val="20"/>
                <w:szCs w:val="20"/>
              </w:rPr>
            </w:pPr>
            <w:r>
              <w:rPr>
                <w:sz w:val="20"/>
                <w:szCs w:val="20"/>
              </w:rPr>
              <w:t>w pomieszczeniach.</w:t>
            </w:r>
          </w:p>
          <w:p w:rsidR="00F9550B" w:rsidRPr="00F2713C" w:rsidRDefault="00F9550B" w:rsidP="00A10D06">
            <w:pPr>
              <w:spacing w:line="240" w:lineRule="auto"/>
              <w:jc w:val="left"/>
              <w:rPr>
                <w:sz w:val="20"/>
                <w:szCs w:val="20"/>
              </w:rPr>
            </w:pPr>
          </w:p>
        </w:tc>
        <w:tc>
          <w:tcPr>
            <w:tcW w:w="1644" w:type="pct"/>
            <w:tcBorders>
              <w:top w:val="nil"/>
              <w:left w:val="single" w:sz="8" w:space="0" w:color="4F81BD" w:themeColor="accent1"/>
              <w:bottom w:val="nil"/>
            </w:tcBorders>
          </w:tcPr>
          <w:p w:rsidR="00F9550B" w:rsidRPr="00F2713C" w:rsidRDefault="00F9550B" w:rsidP="00A10D06">
            <w:pPr>
              <w:pStyle w:val="DecimalAligned"/>
              <w:spacing w:line="240" w:lineRule="auto"/>
              <w:jc w:val="center"/>
              <w:rPr>
                <w:color w:val="1F497D" w:themeColor="text2"/>
                <w:sz w:val="20"/>
                <w:szCs w:val="20"/>
              </w:rPr>
            </w:pPr>
            <w:r>
              <w:rPr>
                <w:color w:val="1F497D" w:themeColor="text2"/>
                <w:sz w:val="20"/>
                <w:szCs w:val="20"/>
              </w:rPr>
              <w:t xml:space="preserve">10 </w:t>
            </w:r>
            <w:r>
              <w:rPr>
                <w:rFonts w:ascii="Calibri" w:hAnsi="Calibri"/>
                <w:color w:val="1F497D" w:themeColor="text2"/>
                <w:sz w:val="20"/>
                <w:szCs w:val="20"/>
              </w:rPr>
              <w:t>÷</w:t>
            </w:r>
            <w:r>
              <w:rPr>
                <w:color w:val="1F497D" w:themeColor="text2"/>
                <w:sz w:val="20"/>
                <w:szCs w:val="20"/>
              </w:rPr>
              <w:t xml:space="preserve"> 20 %</w:t>
            </w:r>
          </w:p>
        </w:tc>
      </w:tr>
      <w:tr w:rsidR="00F9550B" w:rsidRPr="00F2713C" w:rsidTr="00A10D06">
        <w:tc>
          <w:tcPr>
            <w:tcW w:w="3356" w:type="pct"/>
            <w:tcBorders>
              <w:right w:val="single" w:sz="8" w:space="0" w:color="4F81BD" w:themeColor="accent1"/>
            </w:tcBorders>
            <w:noWrap/>
          </w:tcPr>
          <w:p w:rsidR="00F9550B" w:rsidRDefault="00F9550B" w:rsidP="00A10D06">
            <w:pPr>
              <w:spacing w:line="240" w:lineRule="auto"/>
              <w:rPr>
                <w:sz w:val="20"/>
                <w:szCs w:val="20"/>
              </w:rPr>
            </w:pPr>
            <w:r>
              <w:rPr>
                <w:sz w:val="20"/>
                <w:szCs w:val="20"/>
              </w:rPr>
              <w:t>Wprowadzenie podzielników kosztów.</w:t>
            </w:r>
          </w:p>
          <w:p w:rsidR="00F9550B" w:rsidRPr="00F2713C" w:rsidRDefault="00F9550B" w:rsidP="00A10D06">
            <w:pPr>
              <w:spacing w:line="240" w:lineRule="auto"/>
              <w:rPr>
                <w:sz w:val="20"/>
                <w:szCs w:val="20"/>
              </w:rPr>
            </w:pPr>
          </w:p>
        </w:tc>
        <w:tc>
          <w:tcPr>
            <w:tcW w:w="1644" w:type="pct"/>
            <w:tcBorders>
              <w:top w:val="nil"/>
              <w:left w:val="single" w:sz="8" w:space="0" w:color="4F81BD" w:themeColor="accent1"/>
              <w:bottom w:val="nil"/>
            </w:tcBorders>
          </w:tcPr>
          <w:p w:rsidR="00F9550B" w:rsidRPr="00F2713C" w:rsidRDefault="00F9550B" w:rsidP="00A10D06">
            <w:pPr>
              <w:pStyle w:val="DecimalAligned"/>
              <w:spacing w:line="240" w:lineRule="auto"/>
              <w:jc w:val="center"/>
              <w:rPr>
                <w:color w:val="1F497D" w:themeColor="text2"/>
                <w:sz w:val="20"/>
                <w:szCs w:val="20"/>
              </w:rPr>
            </w:pPr>
            <w:r>
              <w:rPr>
                <w:color w:val="1F497D" w:themeColor="text2"/>
                <w:sz w:val="20"/>
                <w:szCs w:val="20"/>
              </w:rPr>
              <w:t>10 %</w:t>
            </w:r>
          </w:p>
        </w:tc>
      </w:tr>
      <w:tr w:rsidR="00F9550B" w:rsidRPr="00F2713C" w:rsidTr="00A10D06">
        <w:tc>
          <w:tcPr>
            <w:tcW w:w="3356" w:type="pct"/>
            <w:tcBorders>
              <w:right w:val="single" w:sz="8" w:space="0" w:color="4F81BD" w:themeColor="accent1"/>
            </w:tcBorders>
            <w:noWrap/>
          </w:tcPr>
          <w:p w:rsidR="00F9550B" w:rsidRDefault="00F9550B" w:rsidP="00A10D06">
            <w:pPr>
              <w:spacing w:line="240" w:lineRule="auto"/>
              <w:rPr>
                <w:sz w:val="20"/>
                <w:szCs w:val="20"/>
              </w:rPr>
            </w:pPr>
            <w:r>
              <w:rPr>
                <w:sz w:val="20"/>
                <w:szCs w:val="20"/>
              </w:rPr>
              <w:t>Wprowadzenie ekranów za grzejnikami.</w:t>
            </w:r>
          </w:p>
          <w:p w:rsidR="00F9550B" w:rsidRPr="00F2713C" w:rsidRDefault="00F9550B" w:rsidP="00A10D06">
            <w:pPr>
              <w:spacing w:line="240" w:lineRule="auto"/>
              <w:rPr>
                <w:sz w:val="20"/>
                <w:szCs w:val="20"/>
              </w:rPr>
            </w:pPr>
          </w:p>
        </w:tc>
        <w:tc>
          <w:tcPr>
            <w:tcW w:w="1644" w:type="pct"/>
            <w:tcBorders>
              <w:top w:val="nil"/>
              <w:left w:val="single" w:sz="8" w:space="0" w:color="4F81BD" w:themeColor="accent1"/>
              <w:bottom w:val="nil"/>
            </w:tcBorders>
          </w:tcPr>
          <w:p w:rsidR="00F9550B" w:rsidRPr="00F2713C" w:rsidRDefault="00F9550B" w:rsidP="00A10D06">
            <w:pPr>
              <w:pStyle w:val="DecimalAligned"/>
              <w:spacing w:line="240" w:lineRule="auto"/>
              <w:jc w:val="center"/>
              <w:rPr>
                <w:color w:val="1F497D" w:themeColor="text2"/>
                <w:sz w:val="20"/>
                <w:szCs w:val="20"/>
              </w:rPr>
            </w:pPr>
            <w:r>
              <w:rPr>
                <w:color w:val="1F497D" w:themeColor="text2"/>
                <w:sz w:val="20"/>
                <w:szCs w:val="20"/>
              </w:rPr>
              <w:t xml:space="preserve">2 </w:t>
            </w:r>
            <w:r>
              <w:rPr>
                <w:rFonts w:ascii="Calibri" w:hAnsi="Calibri"/>
                <w:color w:val="1F497D" w:themeColor="text2"/>
                <w:sz w:val="20"/>
                <w:szCs w:val="20"/>
              </w:rPr>
              <w:t>÷</w:t>
            </w:r>
            <w:r>
              <w:rPr>
                <w:color w:val="1F497D" w:themeColor="text2"/>
                <w:sz w:val="20"/>
                <w:szCs w:val="20"/>
              </w:rPr>
              <w:t xml:space="preserve"> 3 %</w:t>
            </w:r>
          </w:p>
        </w:tc>
      </w:tr>
      <w:tr w:rsidR="00F9550B" w:rsidRPr="00F2713C" w:rsidTr="00A10D06">
        <w:tc>
          <w:tcPr>
            <w:tcW w:w="3356" w:type="pct"/>
            <w:tcBorders>
              <w:right w:val="single" w:sz="8" w:space="0" w:color="4F81BD" w:themeColor="accent1"/>
            </w:tcBorders>
            <w:noWrap/>
          </w:tcPr>
          <w:p w:rsidR="00F9550B" w:rsidRDefault="00F9550B" w:rsidP="00A10D06">
            <w:pPr>
              <w:spacing w:line="240" w:lineRule="auto"/>
              <w:rPr>
                <w:sz w:val="20"/>
                <w:szCs w:val="20"/>
              </w:rPr>
            </w:pPr>
            <w:r>
              <w:rPr>
                <w:sz w:val="20"/>
                <w:szCs w:val="20"/>
              </w:rPr>
              <w:t>Uszczelnianie drzwi i okien.</w:t>
            </w:r>
          </w:p>
          <w:p w:rsidR="00F9550B" w:rsidRPr="00F2713C" w:rsidRDefault="00F9550B" w:rsidP="00A10D06">
            <w:pPr>
              <w:spacing w:line="240" w:lineRule="auto"/>
              <w:rPr>
                <w:sz w:val="20"/>
                <w:szCs w:val="20"/>
              </w:rPr>
            </w:pPr>
          </w:p>
        </w:tc>
        <w:tc>
          <w:tcPr>
            <w:tcW w:w="1644" w:type="pct"/>
            <w:tcBorders>
              <w:top w:val="nil"/>
              <w:left w:val="single" w:sz="8" w:space="0" w:color="4F81BD" w:themeColor="accent1"/>
              <w:bottom w:val="nil"/>
            </w:tcBorders>
          </w:tcPr>
          <w:p w:rsidR="00F9550B" w:rsidRPr="00F2713C" w:rsidRDefault="00F9550B" w:rsidP="00A10D06">
            <w:pPr>
              <w:pStyle w:val="DecimalAligned"/>
              <w:spacing w:line="240" w:lineRule="auto"/>
              <w:jc w:val="center"/>
              <w:rPr>
                <w:color w:val="1F497D" w:themeColor="text2"/>
                <w:sz w:val="20"/>
                <w:szCs w:val="20"/>
              </w:rPr>
            </w:pPr>
            <w:r>
              <w:rPr>
                <w:color w:val="1F497D" w:themeColor="text2"/>
                <w:sz w:val="20"/>
                <w:szCs w:val="20"/>
              </w:rPr>
              <w:t xml:space="preserve">3 </w:t>
            </w:r>
            <w:r>
              <w:rPr>
                <w:rFonts w:ascii="Calibri" w:hAnsi="Calibri"/>
                <w:color w:val="1F497D" w:themeColor="text2"/>
                <w:sz w:val="20"/>
                <w:szCs w:val="20"/>
              </w:rPr>
              <w:t>÷</w:t>
            </w:r>
            <w:r>
              <w:rPr>
                <w:color w:val="1F497D" w:themeColor="text2"/>
                <w:sz w:val="20"/>
                <w:szCs w:val="20"/>
              </w:rPr>
              <w:t xml:space="preserve"> 5 %</w:t>
            </w:r>
          </w:p>
        </w:tc>
      </w:tr>
      <w:tr w:rsidR="00F9550B" w:rsidRPr="00F2713C" w:rsidTr="00A10D06">
        <w:tc>
          <w:tcPr>
            <w:tcW w:w="3356" w:type="pct"/>
            <w:tcBorders>
              <w:bottom w:val="nil"/>
              <w:right w:val="single" w:sz="8" w:space="0" w:color="4F81BD" w:themeColor="accent1"/>
            </w:tcBorders>
            <w:noWrap/>
          </w:tcPr>
          <w:p w:rsidR="00F9550B" w:rsidRDefault="00F9550B" w:rsidP="00A10D06">
            <w:pPr>
              <w:spacing w:line="240" w:lineRule="auto"/>
              <w:rPr>
                <w:sz w:val="20"/>
                <w:szCs w:val="20"/>
              </w:rPr>
            </w:pPr>
            <w:r>
              <w:rPr>
                <w:sz w:val="20"/>
                <w:szCs w:val="20"/>
              </w:rPr>
              <w:t>Wymiana okien na okna o niższym współczynniku przenikania ciepła.</w:t>
            </w:r>
          </w:p>
          <w:p w:rsidR="00F9550B" w:rsidRPr="00F2713C" w:rsidRDefault="00F9550B" w:rsidP="00A10D06">
            <w:pPr>
              <w:spacing w:line="240" w:lineRule="auto"/>
              <w:rPr>
                <w:sz w:val="20"/>
                <w:szCs w:val="20"/>
              </w:rPr>
            </w:pPr>
          </w:p>
        </w:tc>
        <w:tc>
          <w:tcPr>
            <w:tcW w:w="1644" w:type="pct"/>
            <w:tcBorders>
              <w:top w:val="nil"/>
              <w:left w:val="single" w:sz="8" w:space="0" w:color="4F81BD" w:themeColor="accent1"/>
              <w:bottom w:val="nil"/>
            </w:tcBorders>
          </w:tcPr>
          <w:p w:rsidR="00F9550B" w:rsidRPr="00F2713C" w:rsidRDefault="00F9550B" w:rsidP="00A10D06">
            <w:pPr>
              <w:pStyle w:val="DecimalAligned"/>
              <w:spacing w:line="240" w:lineRule="auto"/>
              <w:jc w:val="center"/>
              <w:rPr>
                <w:color w:val="1F497D" w:themeColor="text2"/>
                <w:sz w:val="20"/>
                <w:szCs w:val="20"/>
              </w:rPr>
            </w:pPr>
            <w:r>
              <w:rPr>
                <w:color w:val="1F497D" w:themeColor="text2"/>
                <w:sz w:val="20"/>
                <w:szCs w:val="20"/>
              </w:rPr>
              <w:t xml:space="preserve">10 </w:t>
            </w:r>
            <w:r>
              <w:rPr>
                <w:rFonts w:ascii="Calibri" w:hAnsi="Calibri"/>
                <w:color w:val="1F497D" w:themeColor="text2"/>
                <w:sz w:val="20"/>
                <w:szCs w:val="20"/>
              </w:rPr>
              <w:t>÷</w:t>
            </w:r>
            <w:r>
              <w:rPr>
                <w:color w:val="1F497D" w:themeColor="text2"/>
                <w:sz w:val="20"/>
                <w:szCs w:val="20"/>
              </w:rPr>
              <w:t xml:space="preserve"> 15 %</w:t>
            </w:r>
          </w:p>
        </w:tc>
      </w:tr>
      <w:tr w:rsidR="00F9550B" w:rsidRPr="00F2713C" w:rsidTr="00A10D06">
        <w:trPr>
          <w:cnfStyle w:val="010000000000"/>
        </w:trPr>
        <w:tc>
          <w:tcPr>
            <w:tcW w:w="3356" w:type="pct"/>
            <w:tcBorders>
              <w:top w:val="nil"/>
              <w:right w:val="single" w:sz="8" w:space="0" w:color="4F81BD" w:themeColor="accent1"/>
            </w:tcBorders>
            <w:noWrap/>
          </w:tcPr>
          <w:p w:rsidR="00F9550B" w:rsidRPr="00F2713C" w:rsidRDefault="00F9550B" w:rsidP="00A10D06">
            <w:pPr>
              <w:spacing w:line="240" w:lineRule="auto"/>
              <w:rPr>
                <w:b w:val="0"/>
                <w:sz w:val="20"/>
                <w:szCs w:val="20"/>
              </w:rPr>
            </w:pPr>
            <w:r w:rsidRPr="00F2713C">
              <w:rPr>
                <w:b w:val="0"/>
                <w:sz w:val="20"/>
                <w:szCs w:val="20"/>
              </w:rPr>
              <w:t>Izolacja zewnętrznych przegród budowlanych.</w:t>
            </w:r>
          </w:p>
        </w:tc>
        <w:tc>
          <w:tcPr>
            <w:tcW w:w="1644" w:type="pct"/>
            <w:tcBorders>
              <w:top w:val="nil"/>
              <w:left w:val="single" w:sz="8" w:space="0" w:color="4F81BD" w:themeColor="accent1"/>
            </w:tcBorders>
          </w:tcPr>
          <w:p w:rsidR="00F9550B" w:rsidRPr="00F2713C" w:rsidRDefault="00F9550B" w:rsidP="00A10D06">
            <w:pPr>
              <w:spacing w:line="240" w:lineRule="auto"/>
              <w:jc w:val="center"/>
              <w:rPr>
                <w:rStyle w:val="Wyrnieniedelikatne"/>
                <w:b w:val="0"/>
                <w:i w:val="0"/>
                <w:color w:val="1F497D" w:themeColor="text2"/>
                <w:sz w:val="20"/>
                <w:szCs w:val="20"/>
              </w:rPr>
            </w:pPr>
            <w:r w:rsidRPr="00F2713C">
              <w:rPr>
                <w:b w:val="0"/>
                <w:color w:val="1F497D" w:themeColor="text2"/>
                <w:sz w:val="20"/>
                <w:szCs w:val="20"/>
              </w:rPr>
              <w:t xml:space="preserve">10 </w:t>
            </w:r>
            <w:r w:rsidRPr="00F2713C">
              <w:rPr>
                <w:rFonts w:ascii="Calibri" w:hAnsi="Calibri"/>
                <w:b w:val="0"/>
                <w:color w:val="1F497D" w:themeColor="text2"/>
                <w:sz w:val="20"/>
                <w:szCs w:val="20"/>
              </w:rPr>
              <w:t>÷</w:t>
            </w:r>
            <w:r w:rsidRPr="00F2713C">
              <w:rPr>
                <w:b w:val="0"/>
                <w:color w:val="1F497D" w:themeColor="text2"/>
                <w:sz w:val="20"/>
                <w:szCs w:val="20"/>
              </w:rPr>
              <w:t xml:space="preserve"> 15 %</w:t>
            </w:r>
          </w:p>
        </w:tc>
      </w:tr>
    </w:tbl>
    <w:p w:rsidR="00F9550B" w:rsidRPr="008A4CF6" w:rsidRDefault="00F9550B" w:rsidP="00F9550B">
      <w:pPr>
        <w:spacing w:line="240" w:lineRule="auto"/>
        <w:rPr>
          <w:bCs/>
          <w:sz w:val="20"/>
          <w:szCs w:val="20"/>
        </w:rPr>
      </w:pPr>
      <w:r w:rsidRPr="008A4CF6">
        <w:rPr>
          <w:sz w:val="20"/>
          <w:szCs w:val="20"/>
        </w:rPr>
        <w:t xml:space="preserve">Źródło: </w:t>
      </w:r>
      <w:r w:rsidRPr="008A4CF6">
        <w:rPr>
          <w:bCs/>
          <w:sz w:val="20"/>
          <w:szCs w:val="20"/>
        </w:rPr>
        <w:t xml:space="preserve">Dr hab. inż. Jan </w:t>
      </w:r>
      <w:proofErr w:type="spellStart"/>
      <w:r w:rsidRPr="008A4CF6">
        <w:rPr>
          <w:bCs/>
          <w:sz w:val="20"/>
          <w:szCs w:val="20"/>
        </w:rPr>
        <w:t>Norwisz</w:t>
      </w:r>
      <w:proofErr w:type="spellEnd"/>
      <w:r w:rsidRPr="008A4CF6">
        <w:rPr>
          <w:bCs/>
          <w:sz w:val="20"/>
          <w:szCs w:val="20"/>
        </w:rPr>
        <w:t>, dr inż. Aleksander D. Panek Poprawa efektywności użytkowania ciepła grzewczego elementem wdrażania zasad zrównoważonego rozwoju</w:t>
      </w:r>
    </w:p>
    <w:p w:rsidR="00B07E7C" w:rsidRDefault="00B07E7C" w:rsidP="00B07E7C"/>
    <w:p w:rsidR="0093059D" w:rsidRDefault="0093059D" w:rsidP="0093059D">
      <w:pPr>
        <w:pStyle w:val="Nagwek3"/>
        <w:numPr>
          <w:ilvl w:val="2"/>
          <w:numId w:val="1"/>
        </w:numPr>
      </w:pPr>
      <w:bookmarkStart w:id="104" w:name="_Toc438118400"/>
      <w:r>
        <w:t>Efektywność energetyczna</w:t>
      </w:r>
      <w:bookmarkEnd w:id="104"/>
    </w:p>
    <w:p w:rsidR="00C52F39" w:rsidRDefault="00C52F39" w:rsidP="00C52F39"/>
    <w:p w:rsidR="004D5D91" w:rsidRDefault="004D5D91" w:rsidP="004D5D91">
      <w:r w:rsidRPr="009F4183">
        <w:t xml:space="preserve">Zgodnie z ustawą z dnia 15 kwietnia 2011 r. (Dz. U. nr 94, poz. 551 z </w:t>
      </w:r>
      <w:proofErr w:type="spellStart"/>
      <w:r w:rsidRPr="009F4183">
        <w:t>późn.zm</w:t>
      </w:r>
      <w:proofErr w:type="spellEnd"/>
      <w:r w:rsidRPr="009F4183">
        <w:t xml:space="preserve">) o efektywności energetycznej, określenie </w:t>
      </w:r>
      <w:r>
        <w:t>„</w:t>
      </w:r>
      <w:r w:rsidRPr="009F4183">
        <w:t>efektywność energetyczna</w:t>
      </w:r>
      <w:r>
        <w:t>”</w:t>
      </w:r>
      <w:r w:rsidRPr="009F4183">
        <w:t xml:space="preserve"> oznacza stosunek uzyskanej wielkości efektu użytkowego danego obiektu, urządzenia technicznego lub instalacji, w typowych warunkach ich użytkowania lub eksploatacji, do ilości zużycia energii przez ten obiekt, urządzenie techniczne lub instalację, niezbędnej do uzyskania tego efektu.</w:t>
      </w:r>
    </w:p>
    <w:p w:rsidR="004D5D91" w:rsidRDefault="004D5D91" w:rsidP="004D5D91">
      <w:r>
        <w:t xml:space="preserve">Na terenie gminy </w:t>
      </w:r>
      <w:r w:rsidR="00073304">
        <w:t>Herby</w:t>
      </w:r>
      <w:r>
        <w:t xml:space="preserve"> rozpoznano kilka obszarów, w których tkwi potencjał poprawy efektywności energetycznej. Możemy zaliczyć do nich:</w:t>
      </w:r>
    </w:p>
    <w:p w:rsidR="004D5D91" w:rsidRPr="00463BC3" w:rsidRDefault="004D5D91" w:rsidP="00DB52BF">
      <w:pPr>
        <w:numPr>
          <w:ilvl w:val="0"/>
          <w:numId w:val="41"/>
        </w:numPr>
        <w:spacing w:before="120" w:after="120" w:line="276" w:lineRule="auto"/>
      </w:pPr>
      <w:r w:rsidRPr="00463BC3">
        <w:t>termomodernizacja budynków,</w:t>
      </w:r>
    </w:p>
    <w:p w:rsidR="004D5D91" w:rsidRDefault="004D5D91" w:rsidP="00E7342B">
      <w:pPr>
        <w:numPr>
          <w:ilvl w:val="0"/>
          <w:numId w:val="41"/>
        </w:numPr>
        <w:spacing w:before="120" w:after="120"/>
      </w:pPr>
      <w:r w:rsidRPr="00463BC3">
        <w:t xml:space="preserve">promocji i wymianie oświetlenia na energooszczędne w budynkach (pod warunkiem zachowania komfortu świetlnego zgodnego z przepisami). </w:t>
      </w:r>
    </w:p>
    <w:p w:rsidR="00754B2B" w:rsidRPr="009205E4" w:rsidRDefault="009205E4" w:rsidP="00B563DD">
      <w:pPr>
        <w:rPr>
          <w:color w:val="FF0000"/>
          <w:szCs w:val="23"/>
        </w:rPr>
      </w:pPr>
      <w:r w:rsidRPr="00B563DD">
        <w:rPr>
          <w:szCs w:val="23"/>
        </w:rPr>
        <w:t>W 2015 r. z budżetu Gminy Herby dofinansowano termomodernizację 6 budy</w:t>
      </w:r>
      <w:r w:rsidR="00B563DD">
        <w:rPr>
          <w:szCs w:val="23"/>
        </w:rPr>
        <w:t>nków wielorodzinnych po 15.000,00</w:t>
      </w:r>
      <w:r w:rsidRPr="00B563DD">
        <w:rPr>
          <w:szCs w:val="23"/>
        </w:rPr>
        <w:t xml:space="preserve"> zł do każdego.</w:t>
      </w:r>
    </w:p>
    <w:p w:rsidR="00DB52BF" w:rsidRDefault="00DB52BF" w:rsidP="00754B2B">
      <w:pPr>
        <w:spacing w:line="240" w:lineRule="auto"/>
        <w:rPr>
          <w:sz w:val="16"/>
          <w:szCs w:val="16"/>
        </w:rPr>
      </w:pPr>
    </w:p>
    <w:p w:rsidR="00DB52BF" w:rsidRPr="008746C4" w:rsidRDefault="00DB52BF" w:rsidP="004D5D91">
      <w:pPr>
        <w:spacing w:line="240" w:lineRule="auto"/>
        <w:ind w:left="720"/>
        <w:rPr>
          <w:sz w:val="16"/>
          <w:szCs w:val="16"/>
        </w:rPr>
      </w:pPr>
    </w:p>
    <w:p w:rsidR="0093059D" w:rsidRPr="00B563DD" w:rsidRDefault="0093059D" w:rsidP="0093059D">
      <w:pPr>
        <w:pStyle w:val="Nagwek3"/>
        <w:numPr>
          <w:ilvl w:val="2"/>
          <w:numId w:val="1"/>
        </w:numPr>
      </w:pPr>
      <w:bookmarkStart w:id="105" w:name="_Toc438118401"/>
      <w:r w:rsidRPr="00B563DD">
        <w:lastRenderedPageBreak/>
        <w:t>Instalacje oświetleniowe</w:t>
      </w:r>
      <w:r w:rsidR="00FA6FE5" w:rsidRPr="00B563DD">
        <w:t xml:space="preserve"> i oświetlenie uliczne</w:t>
      </w:r>
      <w:bookmarkEnd w:id="105"/>
    </w:p>
    <w:p w:rsidR="004D5D91" w:rsidRPr="00721D9E" w:rsidRDefault="004D5D91" w:rsidP="004D5D91">
      <w:pPr>
        <w:pStyle w:val="Nagwek3"/>
        <w:spacing w:line="240" w:lineRule="auto"/>
        <w:rPr>
          <w:rFonts w:asciiTheme="minorHAnsi" w:eastAsiaTheme="minorHAnsi" w:hAnsiTheme="minorHAnsi" w:cstheme="minorBidi"/>
          <w:b w:val="0"/>
          <w:bCs w:val="0"/>
          <w:color w:val="auto"/>
          <w:sz w:val="16"/>
          <w:szCs w:val="16"/>
        </w:rPr>
      </w:pPr>
    </w:p>
    <w:p w:rsidR="00FA6FE5" w:rsidRPr="00B563DD" w:rsidRDefault="00FA6FE5" w:rsidP="00FA6FE5">
      <w:r w:rsidRPr="006F2005">
        <w:t>Oświetlenie uliczne ma istotne znaczenie dla bezpieczeństwa ruchu drogowego.</w:t>
      </w:r>
      <w:r w:rsidR="005C51DA" w:rsidRPr="006F2005">
        <w:t xml:space="preserve"> </w:t>
      </w:r>
      <w:r w:rsidRPr="006F2005">
        <w:t>W Gminie Herby</w:t>
      </w:r>
      <w:r w:rsidRPr="00B563DD">
        <w:t xml:space="preserve"> w 90% zostało ono zmodernizowane na oświetlenie LED-owe. Do wymiany pozostało 118 lamp oświetleniowych z łącznej ilości 1137 szt.  </w:t>
      </w:r>
    </w:p>
    <w:p w:rsidR="00FA6FE5" w:rsidRPr="00FA6FE5" w:rsidRDefault="00FA6FE5" w:rsidP="00FA6FE5">
      <w:pPr>
        <w:rPr>
          <w:color w:val="FF0000"/>
        </w:rPr>
      </w:pPr>
      <w:r w:rsidRPr="00B563DD">
        <w:t>Gmina ze względu na swój wiejski charakter, niewielką liczbę mieszkańców oraz umiarkowane nasycenie ruchu samochodowego nie planuje w przyszłości wprowadzenia inteligentnego systemu zarządzania oświetleniem ulicznym, gdyż zastosowane oświetlenie LED-owe generuje bardzo duże oszczędności i  nie ma  potrzeby zastosowania takiego systemu.</w:t>
      </w:r>
    </w:p>
    <w:p w:rsidR="004D5D91" w:rsidRPr="000B62CF" w:rsidRDefault="004D5D91" w:rsidP="004D5D91">
      <w:r w:rsidRPr="000B62CF">
        <w:t>Dla budynków w zależności od przeznaczenia, potrzeby oświetleniowe pochłaniają różną część energii elektrycznej jaka jest dostarczana dla budynku. W budynkach mieszkalnych zapotrzebowanie na energię elektryczną potrzebną na oświetl</w:t>
      </w:r>
      <w:r>
        <w:t>enie może pochłonąć do 25%, a w </w:t>
      </w:r>
      <w:r w:rsidRPr="000B62CF">
        <w:t>budynkach uży</w:t>
      </w:r>
      <w:r>
        <w:t xml:space="preserve">teczności </w:t>
      </w:r>
      <w:r w:rsidRPr="000B62CF">
        <w:t xml:space="preserve">publicznej nawet do 50% łącznego zużycia energii w tych budynkach. </w:t>
      </w:r>
    </w:p>
    <w:p w:rsidR="004D5D91" w:rsidRDefault="004D5D91" w:rsidP="004D5D91">
      <w:r>
        <w:t xml:space="preserve">W poniższych tabelach </w:t>
      </w:r>
      <w:r w:rsidRPr="000B62CF">
        <w:t>zaprezentowano wartości graniczne parametrów światła oraz zestawienie oszczędności energii elektrycznej, wynikające z wymiany różnych źródeł światła.</w:t>
      </w:r>
    </w:p>
    <w:p w:rsidR="004D5D91" w:rsidRPr="00582635" w:rsidRDefault="004D5D91" w:rsidP="007B6D31">
      <w:pPr>
        <w:pStyle w:val="Legenda"/>
        <w:keepNext/>
        <w:ind w:firstLine="0"/>
        <w:rPr>
          <w:color w:val="auto"/>
        </w:rPr>
      </w:pPr>
      <w:bookmarkStart w:id="106" w:name="_Toc429388362"/>
      <w:bookmarkStart w:id="107" w:name="_Toc436586237"/>
      <w:r w:rsidRPr="00582635">
        <w:rPr>
          <w:color w:val="auto"/>
        </w:rPr>
        <w:t xml:space="preserve">Tabela </w:t>
      </w:r>
      <w:r w:rsidR="00844CE4" w:rsidRPr="00582635">
        <w:rPr>
          <w:color w:val="auto"/>
        </w:rPr>
        <w:fldChar w:fldCharType="begin"/>
      </w:r>
      <w:r w:rsidR="006E6F7F" w:rsidRPr="00582635">
        <w:rPr>
          <w:color w:val="auto"/>
        </w:rPr>
        <w:instrText xml:space="preserve"> SEQ Tabela \* ARABIC </w:instrText>
      </w:r>
      <w:r w:rsidR="00844CE4" w:rsidRPr="00582635">
        <w:rPr>
          <w:color w:val="auto"/>
        </w:rPr>
        <w:fldChar w:fldCharType="separate"/>
      </w:r>
      <w:r w:rsidR="005C42FD">
        <w:rPr>
          <w:noProof/>
          <w:color w:val="auto"/>
        </w:rPr>
        <w:t>17</w:t>
      </w:r>
      <w:r w:rsidR="00844CE4" w:rsidRPr="00582635">
        <w:rPr>
          <w:noProof/>
          <w:color w:val="auto"/>
        </w:rPr>
        <w:fldChar w:fldCharType="end"/>
      </w:r>
      <w:r w:rsidRPr="00582635">
        <w:rPr>
          <w:color w:val="auto"/>
        </w:rPr>
        <w:t xml:space="preserve"> Zestawienie granicznych parametrów źródeł światła do ogólnych celów oświetleniowych</w:t>
      </w:r>
      <w:bookmarkEnd w:id="106"/>
      <w:bookmarkEnd w:id="107"/>
    </w:p>
    <w:tbl>
      <w:tblPr>
        <w:tblStyle w:val="Jasnecieniowanieakcent17"/>
        <w:tblW w:w="5000" w:type="pct"/>
        <w:tblLayout w:type="fixed"/>
        <w:tblLook w:val="0660"/>
      </w:tblPr>
      <w:tblGrid>
        <w:gridCol w:w="2296"/>
        <w:gridCol w:w="1748"/>
        <w:gridCol w:w="1748"/>
        <w:gridCol w:w="1748"/>
        <w:gridCol w:w="1748"/>
      </w:tblGrid>
      <w:tr w:rsidR="004D5D91" w:rsidTr="00A10D06">
        <w:trPr>
          <w:cnfStyle w:val="100000000000"/>
        </w:trPr>
        <w:tc>
          <w:tcPr>
            <w:tcW w:w="1236" w:type="pct"/>
            <w:noWrap/>
          </w:tcPr>
          <w:p w:rsidR="004D5D91" w:rsidRPr="00763E86" w:rsidRDefault="004D5D91" w:rsidP="00A10D06">
            <w:pPr>
              <w:spacing w:line="240" w:lineRule="auto"/>
              <w:rPr>
                <w:sz w:val="20"/>
                <w:szCs w:val="20"/>
              </w:rPr>
            </w:pPr>
            <w:r w:rsidRPr="00763E86">
              <w:rPr>
                <w:sz w:val="20"/>
                <w:szCs w:val="20"/>
              </w:rPr>
              <w:t>Rodzaj oświetlenia</w:t>
            </w:r>
          </w:p>
        </w:tc>
        <w:tc>
          <w:tcPr>
            <w:tcW w:w="941" w:type="pct"/>
          </w:tcPr>
          <w:p w:rsidR="004D5D91" w:rsidRPr="00763E86" w:rsidRDefault="004D5D91" w:rsidP="00A10D06">
            <w:pPr>
              <w:spacing w:line="240" w:lineRule="auto"/>
              <w:rPr>
                <w:sz w:val="20"/>
                <w:szCs w:val="20"/>
              </w:rPr>
            </w:pPr>
            <w:r w:rsidRPr="00763E86">
              <w:rPr>
                <w:sz w:val="20"/>
                <w:szCs w:val="20"/>
              </w:rPr>
              <w:t>Moc źródła (W)</w:t>
            </w:r>
          </w:p>
        </w:tc>
        <w:tc>
          <w:tcPr>
            <w:tcW w:w="941" w:type="pct"/>
          </w:tcPr>
          <w:p w:rsidR="004D5D91" w:rsidRPr="00763E86" w:rsidRDefault="004D5D91" w:rsidP="00A10D06">
            <w:pPr>
              <w:spacing w:line="240" w:lineRule="auto"/>
              <w:rPr>
                <w:sz w:val="20"/>
                <w:szCs w:val="20"/>
              </w:rPr>
            </w:pPr>
            <w:r w:rsidRPr="00763E86">
              <w:rPr>
                <w:sz w:val="20"/>
                <w:szCs w:val="20"/>
              </w:rPr>
              <w:t>Skuteczność  oświetlenia (</w:t>
            </w:r>
            <w:proofErr w:type="spellStart"/>
            <w:r w:rsidRPr="00763E86">
              <w:rPr>
                <w:sz w:val="20"/>
                <w:szCs w:val="20"/>
              </w:rPr>
              <w:t>lm</w:t>
            </w:r>
            <w:proofErr w:type="spellEnd"/>
            <w:r w:rsidRPr="00763E86">
              <w:rPr>
                <w:sz w:val="20"/>
                <w:szCs w:val="20"/>
              </w:rPr>
              <w:t>/W)</w:t>
            </w:r>
          </w:p>
        </w:tc>
        <w:tc>
          <w:tcPr>
            <w:tcW w:w="941" w:type="pct"/>
          </w:tcPr>
          <w:p w:rsidR="004D5D91" w:rsidRPr="00763E86" w:rsidRDefault="004D5D91" w:rsidP="00A10D06">
            <w:pPr>
              <w:spacing w:line="240" w:lineRule="auto"/>
              <w:rPr>
                <w:sz w:val="20"/>
                <w:szCs w:val="20"/>
              </w:rPr>
            </w:pPr>
            <w:r w:rsidRPr="00763E86">
              <w:rPr>
                <w:sz w:val="20"/>
                <w:szCs w:val="20"/>
              </w:rPr>
              <w:t>Sprawność (%)</w:t>
            </w:r>
          </w:p>
        </w:tc>
        <w:tc>
          <w:tcPr>
            <w:tcW w:w="941" w:type="pct"/>
          </w:tcPr>
          <w:p w:rsidR="004D5D91" w:rsidRPr="00763E86" w:rsidRDefault="004D5D91" w:rsidP="00A10D06">
            <w:pPr>
              <w:spacing w:line="240" w:lineRule="auto"/>
              <w:rPr>
                <w:sz w:val="20"/>
                <w:szCs w:val="20"/>
              </w:rPr>
            </w:pPr>
            <w:r w:rsidRPr="00763E86">
              <w:rPr>
                <w:sz w:val="20"/>
                <w:szCs w:val="20"/>
              </w:rPr>
              <w:t>Trwałość (h)</w:t>
            </w:r>
          </w:p>
        </w:tc>
      </w:tr>
      <w:tr w:rsidR="004D5D91" w:rsidRPr="00763E86" w:rsidTr="00A10D06">
        <w:tc>
          <w:tcPr>
            <w:tcW w:w="1236" w:type="pct"/>
            <w:noWrap/>
            <w:vAlign w:val="bottom"/>
          </w:tcPr>
          <w:p w:rsidR="004D5D91" w:rsidRPr="00763E86" w:rsidRDefault="004D5D91" w:rsidP="00A10D06">
            <w:pPr>
              <w:jc w:val="left"/>
              <w:rPr>
                <w:sz w:val="20"/>
                <w:szCs w:val="20"/>
              </w:rPr>
            </w:pPr>
            <w:r w:rsidRPr="00763E86">
              <w:rPr>
                <w:sz w:val="20"/>
                <w:szCs w:val="20"/>
              </w:rPr>
              <w:t>Żarówki zwykłe</w:t>
            </w:r>
          </w:p>
        </w:tc>
        <w:tc>
          <w:tcPr>
            <w:tcW w:w="941" w:type="pct"/>
            <w:vAlign w:val="bottom"/>
          </w:tcPr>
          <w:p w:rsidR="004D5D91" w:rsidRPr="00763E86" w:rsidRDefault="004D5D91" w:rsidP="00A10D06">
            <w:pPr>
              <w:pStyle w:val="DecimalAligned"/>
              <w:tabs>
                <w:tab w:val="clear" w:pos="360"/>
              </w:tabs>
              <w:jc w:val="center"/>
              <w:rPr>
                <w:sz w:val="20"/>
                <w:szCs w:val="20"/>
              </w:rPr>
            </w:pPr>
            <w:r w:rsidRPr="00763E86">
              <w:rPr>
                <w:sz w:val="20"/>
                <w:szCs w:val="20"/>
              </w:rPr>
              <w:t>10</w:t>
            </w:r>
            <w:r>
              <w:rPr>
                <w:sz w:val="20"/>
                <w:szCs w:val="20"/>
              </w:rPr>
              <w:t>–</w:t>
            </w:r>
            <w:r w:rsidRPr="00763E86">
              <w:rPr>
                <w:sz w:val="20"/>
                <w:szCs w:val="20"/>
              </w:rPr>
              <w:t>1500</w:t>
            </w:r>
          </w:p>
        </w:tc>
        <w:tc>
          <w:tcPr>
            <w:tcW w:w="941" w:type="pct"/>
            <w:vAlign w:val="bottom"/>
          </w:tcPr>
          <w:p w:rsidR="004D5D91" w:rsidRPr="00763E86" w:rsidRDefault="004D5D91" w:rsidP="00A10D06">
            <w:pPr>
              <w:pStyle w:val="DecimalAligned"/>
              <w:tabs>
                <w:tab w:val="clear" w:pos="360"/>
              </w:tabs>
              <w:jc w:val="center"/>
              <w:rPr>
                <w:sz w:val="20"/>
                <w:szCs w:val="20"/>
              </w:rPr>
            </w:pPr>
            <w:r w:rsidRPr="00763E86">
              <w:rPr>
                <w:sz w:val="20"/>
                <w:szCs w:val="20"/>
              </w:rPr>
              <w:t>5</w:t>
            </w:r>
            <w:r>
              <w:rPr>
                <w:sz w:val="20"/>
                <w:szCs w:val="20"/>
              </w:rPr>
              <w:t>–</w:t>
            </w:r>
            <w:r w:rsidRPr="00763E86">
              <w:rPr>
                <w:sz w:val="20"/>
                <w:szCs w:val="20"/>
              </w:rPr>
              <w:t>20</w:t>
            </w:r>
          </w:p>
        </w:tc>
        <w:tc>
          <w:tcPr>
            <w:tcW w:w="941" w:type="pct"/>
            <w:vAlign w:val="bottom"/>
          </w:tcPr>
          <w:p w:rsidR="004D5D91" w:rsidRPr="00763E86" w:rsidRDefault="004D5D91" w:rsidP="00A10D06">
            <w:pPr>
              <w:pStyle w:val="DecimalAligned"/>
              <w:tabs>
                <w:tab w:val="clear" w:pos="360"/>
              </w:tabs>
              <w:jc w:val="center"/>
              <w:rPr>
                <w:sz w:val="20"/>
                <w:szCs w:val="20"/>
              </w:rPr>
            </w:pPr>
            <w:r w:rsidRPr="00763E86">
              <w:rPr>
                <w:sz w:val="20"/>
                <w:szCs w:val="20"/>
              </w:rPr>
              <w:t>1,2</w:t>
            </w:r>
            <w:r>
              <w:rPr>
                <w:sz w:val="20"/>
                <w:szCs w:val="20"/>
              </w:rPr>
              <w:t>–</w:t>
            </w:r>
            <w:r w:rsidRPr="00763E86">
              <w:rPr>
                <w:sz w:val="20"/>
                <w:szCs w:val="20"/>
              </w:rPr>
              <w:t>2,5</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500–</w:t>
            </w:r>
            <w:r w:rsidRPr="00763E86">
              <w:rPr>
                <w:sz w:val="20"/>
                <w:szCs w:val="20"/>
              </w:rPr>
              <w:t>2000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Żarówki halogenowe</w:t>
            </w:r>
          </w:p>
        </w:tc>
        <w:tc>
          <w:tcPr>
            <w:tcW w:w="941" w:type="pct"/>
            <w:vAlign w:val="bottom"/>
          </w:tcPr>
          <w:p w:rsidR="004D5D91" w:rsidRPr="00D62768" w:rsidRDefault="004D5D91" w:rsidP="00A10D06">
            <w:pPr>
              <w:pStyle w:val="DecimalAligned"/>
              <w:tabs>
                <w:tab w:val="clear" w:pos="360"/>
              </w:tabs>
              <w:jc w:val="center"/>
              <w:rPr>
                <w:sz w:val="20"/>
                <w:szCs w:val="20"/>
              </w:rPr>
            </w:pPr>
            <w:r w:rsidRPr="00D62768">
              <w:rPr>
                <w:sz w:val="20"/>
                <w:szCs w:val="20"/>
              </w:rPr>
              <w:t>5 – 150 (≤24 V)</w:t>
            </w:r>
          </w:p>
          <w:p w:rsidR="004D5D91" w:rsidRPr="00763E86" w:rsidRDefault="004D5D91" w:rsidP="00A10D06">
            <w:pPr>
              <w:pStyle w:val="DecimalAligned"/>
              <w:tabs>
                <w:tab w:val="clear" w:pos="360"/>
              </w:tabs>
              <w:jc w:val="center"/>
              <w:rPr>
                <w:sz w:val="20"/>
                <w:szCs w:val="20"/>
              </w:rPr>
            </w:pPr>
            <w:r w:rsidRPr="00D62768">
              <w:rPr>
                <w:sz w:val="20"/>
                <w:szCs w:val="20"/>
              </w:rPr>
              <w:t>60 – 2000 (230 V)</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5–25</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2,5–5,0</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1000–4000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Świetlówki tradycyjne</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20–200</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40–95</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7–10</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6000–20000</w:t>
            </w:r>
          </w:p>
        </w:tc>
      </w:tr>
      <w:tr w:rsidR="004D5D91" w:rsidRPr="00763E86" w:rsidTr="00A10D06">
        <w:tc>
          <w:tcPr>
            <w:tcW w:w="1236" w:type="pct"/>
            <w:noWrap/>
            <w:vAlign w:val="bottom"/>
          </w:tcPr>
          <w:p w:rsidR="004D5D91" w:rsidRPr="00763E86" w:rsidRDefault="004D5D91" w:rsidP="00A10D06">
            <w:pPr>
              <w:spacing w:line="240" w:lineRule="auto"/>
              <w:jc w:val="left"/>
              <w:rPr>
                <w:sz w:val="20"/>
                <w:szCs w:val="20"/>
              </w:rPr>
            </w:pPr>
            <w:r>
              <w:rPr>
                <w:sz w:val="20"/>
                <w:szCs w:val="20"/>
              </w:rPr>
              <w:t>Świetlówki energooszczędne</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18–95</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70–100</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9–12</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6000–20000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Świetlówki kompaktowe</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5–55</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50–82</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8–10</w:t>
            </w:r>
          </w:p>
        </w:tc>
        <w:tc>
          <w:tcPr>
            <w:tcW w:w="941" w:type="pct"/>
            <w:vAlign w:val="bottom"/>
          </w:tcPr>
          <w:p w:rsidR="004D5D91" w:rsidRPr="00763E86" w:rsidRDefault="004D5D91" w:rsidP="00A10D06">
            <w:pPr>
              <w:pStyle w:val="DecimalAligned"/>
              <w:tabs>
                <w:tab w:val="clear" w:pos="360"/>
              </w:tabs>
              <w:jc w:val="center"/>
              <w:rPr>
                <w:sz w:val="20"/>
                <w:szCs w:val="20"/>
              </w:rPr>
            </w:pPr>
            <w:r>
              <w:rPr>
                <w:sz w:val="20"/>
                <w:szCs w:val="20"/>
              </w:rPr>
              <w:t>5000–20000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Rtęciówki wysokoprężne</w:t>
            </w:r>
          </w:p>
        </w:tc>
        <w:tc>
          <w:tcPr>
            <w:tcW w:w="941" w:type="pct"/>
            <w:vAlign w:val="bottom"/>
          </w:tcPr>
          <w:p w:rsidR="004D5D91" w:rsidRPr="00D62768" w:rsidRDefault="004D5D91" w:rsidP="00A10D06">
            <w:pPr>
              <w:jc w:val="center"/>
              <w:rPr>
                <w:rStyle w:val="Wyrnieniedelikatne"/>
                <w:i w:val="0"/>
                <w:color w:val="548DD4" w:themeColor="text2" w:themeTint="99"/>
                <w:sz w:val="20"/>
                <w:szCs w:val="20"/>
              </w:rPr>
            </w:pPr>
            <w:r w:rsidRPr="00D62768">
              <w:rPr>
                <w:rStyle w:val="Wyrnieniedelikatne"/>
                <w:color w:val="548DD4" w:themeColor="text2" w:themeTint="99"/>
                <w:sz w:val="20"/>
                <w:szCs w:val="20"/>
              </w:rPr>
              <w:t>50</w:t>
            </w:r>
          </w:p>
        </w:tc>
        <w:tc>
          <w:tcPr>
            <w:tcW w:w="941" w:type="pct"/>
            <w:vAlign w:val="bottom"/>
          </w:tcPr>
          <w:p w:rsidR="004D5D91" w:rsidRPr="00D62768" w:rsidRDefault="004D5D91" w:rsidP="00A10D06">
            <w:pPr>
              <w:jc w:val="center"/>
              <w:rPr>
                <w:sz w:val="20"/>
                <w:szCs w:val="20"/>
              </w:rPr>
            </w:pPr>
            <w:r>
              <w:rPr>
                <w:sz w:val="20"/>
                <w:szCs w:val="20"/>
              </w:rPr>
              <w:t>30–70</w:t>
            </w:r>
          </w:p>
        </w:tc>
        <w:tc>
          <w:tcPr>
            <w:tcW w:w="941" w:type="pct"/>
            <w:vAlign w:val="bottom"/>
          </w:tcPr>
          <w:p w:rsidR="004D5D91" w:rsidRPr="00D62768" w:rsidRDefault="004D5D91" w:rsidP="00A10D06">
            <w:pPr>
              <w:jc w:val="center"/>
              <w:rPr>
                <w:sz w:val="20"/>
                <w:szCs w:val="20"/>
              </w:rPr>
            </w:pPr>
            <w:r>
              <w:rPr>
                <w:sz w:val="20"/>
                <w:szCs w:val="20"/>
              </w:rPr>
              <w:t>8–10</w:t>
            </w:r>
          </w:p>
        </w:tc>
        <w:tc>
          <w:tcPr>
            <w:tcW w:w="941" w:type="pct"/>
            <w:vAlign w:val="bottom"/>
          </w:tcPr>
          <w:p w:rsidR="004D5D91" w:rsidRPr="00D62768" w:rsidRDefault="004D5D91" w:rsidP="00A10D06">
            <w:pPr>
              <w:jc w:val="center"/>
              <w:rPr>
                <w:sz w:val="20"/>
                <w:szCs w:val="20"/>
              </w:rPr>
            </w:pPr>
            <w:r>
              <w:rPr>
                <w:sz w:val="20"/>
                <w:szCs w:val="20"/>
              </w:rPr>
              <w:t>3000–24000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Lampy rtęciowo-żarowe</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100–1250</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30–70</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8–10</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3000–24000</w:t>
            </w:r>
          </w:p>
        </w:tc>
      </w:tr>
      <w:tr w:rsidR="004D5D91" w:rsidRPr="00763E86" w:rsidTr="00A10D06">
        <w:tc>
          <w:tcPr>
            <w:tcW w:w="1236" w:type="pct"/>
            <w:noWrap/>
            <w:vAlign w:val="bottom"/>
          </w:tcPr>
          <w:p w:rsidR="004D5D91" w:rsidRPr="00763E86" w:rsidRDefault="004D5D91" w:rsidP="00A10D06">
            <w:pPr>
              <w:jc w:val="left"/>
              <w:rPr>
                <w:sz w:val="20"/>
                <w:szCs w:val="20"/>
              </w:rPr>
            </w:pPr>
            <w:r>
              <w:rPr>
                <w:sz w:val="20"/>
                <w:szCs w:val="20"/>
              </w:rPr>
              <w:t>Lampy halogenkowe</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30</w:t>
            </w:r>
            <w:r>
              <w:rPr>
                <w:rFonts w:ascii="Calibri" w:hAnsi="Calibri"/>
                <w:sz w:val="20"/>
                <w:szCs w:val="20"/>
              </w:rPr>
              <w:t>–</w:t>
            </w:r>
            <w:r>
              <w:rPr>
                <w:sz w:val="20"/>
                <w:szCs w:val="20"/>
              </w:rPr>
              <w:t>3500</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50</w:t>
            </w:r>
            <w:r>
              <w:rPr>
                <w:rFonts w:ascii="Calibri" w:hAnsi="Calibri"/>
                <w:sz w:val="20"/>
                <w:szCs w:val="20"/>
              </w:rPr>
              <w:t>–</w:t>
            </w:r>
            <w:r>
              <w:rPr>
                <w:sz w:val="20"/>
                <w:szCs w:val="20"/>
              </w:rPr>
              <w:t>125</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3</w:t>
            </w:r>
            <w:r>
              <w:rPr>
                <w:rFonts w:ascii="Calibri" w:hAnsi="Calibri"/>
                <w:sz w:val="20"/>
                <w:szCs w:val="20"/>
              </w:rPr>
              <w:t>–</w:t>
            </w:r>
            <w:r>
              <w:rPr>
                <w:sz w:val="20"/>
                <w:szCs w:val="20"/>
              </w:rPr>
              <w:t>4</w:t>
            </w:r>
          </w:p>
        </w:tc>
        <w:tc>
          <w:tcPr>
            <w:tcW w:w="941" w:type="pct"/>
            <w:vAlign w:val="bottom"/>
          </w:tcPr>
          <w:p w:rsidR="004D5D91" w:rsidRPr="00D62768" w:rsidRDefault="004D5D91" w:rsidP="00A10D06">
            <w:pPr>
              <w:pStyle w:val="DecimalAligned"/>
              <w:tabs>
                <w:tab w:val="clear" w:pos="360"/>
              </w:tabs>
              <w:jc w:val="center"/>
              <w:rPr>
                <w:sz w:val="20"/>
                <w:szCs w:val="20"/>
              </w:rPr>
            </w:pPr>
            <w:r>
              <w:rPr>
                <w:sz w:val="20"/>
                <w:szCs w:val="20"/>
              </w:rPr>
              <w:t>1000–20000</w:t>
            </w:r>
          </w:p>
        </w:tc>
      </w:tr>
      <w:tr w:rsidR="004D5D91" w:rsidRPr="00763E86" w:rsidTr="00A10D06">
        <w:tc>
          <w:tcPr>
            <w:tcW w:w="1236" w:type="pct"/>
            <w:tcBorders>
              <w:bottom w:val="nil"/>
            </w:tcBorders>
            <w:noWrap/>
            <w:vAlign w:val="bottom"/>
          </w:tcPr>
          <w:p w:rsidR="004D5D91" w:rsidRPr="00763E86" w:rsidRDefault="004D5D91" w:rsidP="00A10D06">
            <w:pPr>
              <w:jc w:val="left"/>
              <w:rPr>
                <w:sz w:val="20"/>
                <w:szCs w:val="20"/>
              </w:rPr>
            </w:pPr>
            <w:r>
              <w:rPr>
                <w:sz w:val="20"/>
                <w:szCs w:val="20"/>
              </w:rPr>
              <w:t>Sodówki wysokoprężne</w:t>
            </w:r>
          </w:p>
        </w:tc>
        <w:tc>
          <w:tcPr>
            <w:tcW w:w="941" w:type="pct"/>
            <w:tcBorders>
              <w:bottom w:val="nil"/>
            </w:tcBorders>
            <w:vAlign w:val="bottom"/>
          </w:tcPr>
          <w:p w:rsidR="004D5D91" w:rsidRPr="00D62768" w:rsidRDefault="004D5D91" w:rsidP="00A10D06">
            <w:pPr>
              <w:pStyle w:val="DecimalAligned"/>
              <w:tabs>
                <w:tab w:val="clear" w:pos="360"/>
              </w:tabs>
              <w:jc w:val="center"/>
              <w:rPr>
                <w:sz w:val="20"/>
                <w:szCs w:val="20"/>
              </w:rPr>
            </w:pPr>
            <w:r>
              <w:rPr>
                <w:sz w:val="20"/>
                <w:szCs w:val="20"/>
              </w:rPr>
              <w:t>35</w:t>
            </w:r>
            <w:r>
              <w:rPr>
                <w:rFonts w:ascii="Calibri" w:hAnsi="Calibri"/>
                <w:sz w:val="20"/>
                <w:szCs w:val="20"/>
              </w:rPr>
              <w:t>–</w:t>
            </w:r>
            <w:r>
              <w:rPr>
                <w:sz w:val="20"/>
                <w:szCs w:val="20"/>
              </w:rPr>
              <w:t>1000</w:t>
            </w:r>
          </w:p>
        </w:tc>
        <w:tc>
          <w:tcPr>
            <w:tcW w:w="941" w:type="pct"/>
            <w:tcBorders>
              <w:bottom w:val="nil"/>
            </w:tcBorders>
            <w:vAlign w:val="bottom"/>
          </w:tcPr>
          <w:p w:rsidR="004D5D91" w:rsidRPr="00D62768" w:rsidRDefault="004D5D91" w:rsidP="00A10D06">
            <w:pPr>
              <w:pStyle w:val="DecimalAligned"/>
              <w:tabs>
                <w:tab w:val="clear" w:pos="360"/>
              </w:tabs>
              <w:jc w:val="center"/>
              <w:rPr>
                <w:sz w:val="20"/>
                <w:szCs w:val="20"/>
              </w:rPr>
            </w:pPr>
            <w:r>
              <w:rPr>
                <w:sz w:val="20"/>
                <w:szCs w:val="20"/>
              </w:rPr>
              <w:t>50</w:t>
            </w:r>
            <w:r>
              <w:rPr>
                <w:rFonts w:ascii="Calibri" w:hAnsi="Calibri"/>
                <w:sz w:val="20"/>
                <w:szCs w:val="20"/>
              </w:rPr>
              <w:t>–</w:t>
            </w:r>
            <w:r>
              <w:rPr>
                <w:sz w:val="20"/>
                <w:szCs w:val="20"/>
              </w:rPr>
              <w:t>150</w:t>
            </w:r>
          </w:p>
        </w:tc>
        <w:tc>
          <w:tcPr>
            <w:tcW w:w="941" w:type="pct"/>
            <w:tcBorders>
              <w:bottom w:val="nil"/>
            </w:tcBorders>
            <w:vAlign w:val="bottom"/>
          </w:tcPr>
          <w:p w:rsidR="004D5D91" w:rsidRPr="00D62768" w:rsidRDefault="004D5D91" w:rsidP="00A10D06">
            <w:pPr>
              <w:pStyle w:val="DecimalAligned"/>
              <w:tabs>
                <w:tab w:val="clear" w:pos="360"/>
              </w:tabs>
              <w:jc w:val="center"/>
              <w:rPr>
                <w:sz w:val="20"/>
                <w:szCs w:val="20"/>
              </w:rPr>
            </w:pPr>
            <w:r>
              <w:rPr>
                <w:sz w:val="20"/>
                <w:szCs w:val="20"/>
              </w:rPr>
              <w:t>8</w:t>
            </w:r>
            <w:r>
              <w:rPr>
                <w:rFonts w:ascii="Calibri" w:hAnsi="Calibri"/>
                <w:sz w:val="20"/>
                <w:szCs w:val="20"/>
              </w:rPr>
              <w:t>–</w:t>
            </w:r>
            <w:r>
              <w:rPr>
                <w:sz w:val="20"/>
                <w:szCs w:val="20"/>
              </w:rPr>
              <w:t>15</w:t>
            </w:r>
          </w:p>
        </w:tc>
        <w:tc>
          <w:tcPr>
            <w:tcW w:w="941" w:type="pct"/>
            <w:tcBorders>
              <w:bottom w:val="nil"/>
            </w:tcBorders>
            <w:vAlign w:val="bottom"/>
          </w:tcPr>
          <w:p w:rsidR="004D5D91" w:rsidRPr="00D62768" w:rsidRDefault="004D5D91" w:rsidP="00A10D06">
            <w:pPr>
              <w:pStyle w:val="DecimalAligned"/>
              <w:tabs>
                <w:tab w:val="clear" w:pos="360"/>
              </w:tabs>
              <w:jc w:val="center"/>
              <w:rPr>
                <w:sz w:val="20"/>
                <w:szCs w:val="20"/>
              </w:rPr>
            </w:pPr>
            <w:r>
              <w:rPr>
                <w:sz w:val="20"/>
                <w:szCs w:val="20"/>
              </w:rPr>
              <w:t>3000</w:t>
            </w:r>
            <w:r>
              <w:rPr>
                <w:rFonts w:ascii="Calibri" w:hAnsi="Calibri"/>
                <w:sz w:val="20"/>
                <w:szCs w:val="20"/>
              </w:rPr>
              <w:t>–</w:t>
            </w:r>
            <w:r>
              <w:rPr>
                <w:sz w:val="20"/>
                <w:szCs w:val="20"/>
              </w:rPr>
              <w:t>24000</w:t>
            </w:r>
          </w:p>
        </w:tc>
      </w:tr>
      <w:tr w:rsidR="004D5D91" w:rsidRPr="005D7BF5" w:rsidTr="00A10D06">
        <w:trPr>
          <w:cnfStyle w:val="010000000000"/>
        </w:trPr>
        <w:tc>
          <w:tcPr>
            <w:tcW w:w="1236" w:type="pct"/>
            <w:tcBorders>
              <w:top w:val="nil"/>
            </w:tcBorders>
            <w:noWrap/>
            <w:vAlign w:val="bottom"/>
          </w:tcPr>
          <w:p w:rsidR="004D5D91" w:rsidRPr="005D7BF5" w:rsidRDefault="004D5D91" w:rsidP="00A10D06">
            <w:pPr>
              <w:jc w:val="left"/>
              <w:rPr>
                <w:b w:val="0"/>
                <w:sz w:val="20"/>
                <w:szCs w:val="20"/>
              </w:rPr>
            </w:pPr>
            <w:r w:rsidRPr="005D7BF5">
              <w:rPr>
                <w:b w:val="0"/>
                <w:sz w:val="20"/>
                <w:szCs w:val="20"/>
              </w:rPr>
              <w:t>Sodówki niskoprężne</w:t>
            </w:r>
          </w:p>
        </w:tc>
        <w:tc>
          <w:tcPr>
            <w:tcW w:w="941" w:type="pct"/>
            <w:tcBorders>
              <w:top w:val="nil"/>
            </w:tcBorders>
            <w:vAlign w:val="bottom"/>
          </w:tcPr>
          <w:p w:rsidR="004D5D91" w:rsidRPr="005D7BF5" w:rsidRDefault="004D5D91" w:rsidP="00A10D06">
            <w:pPr>
              <w:pStyle w:val="DecimalAligned"/>
              <w:tabs>
                <w:tab w:val="clear" w:pos="360"/>
              </w:tabs>
              <w:jc w:val="center"/>
              <w:rPr>
                <w:b w:val="0"/>
                <w:sz w:val="20"/>
                <w:szCs w:val="20"/>
              </w:rPr>
            </w:pPr>
            <w:r w:rsidRPr="005D7BF5">
              <w:rPr>
                <w:b w:val="0"/>
                <w:sz w:val="20"/>
                <w:szCs w:val="20"/>
              </w:rPr>
              <w:t>15</w:t>
            </w:r>
            <w:r w:rsidRPr="005D7BF5">
              <w:rPr>
                <w:rFonts w:ascii="Calibri" w:hAnsi="Calibri"/>
                <w:b w:val="0"/>
                <w:sz w:val="20"/>
                <w:szCs w:val="20"/>
              </w:rPr>
              <w:t>–</w:t>
            </w:r>
            <w:r w:rsidRPr="005D7BF5">
              <w:rPr>
                <w:b w:val="0"/>
                <w:sz w:val="20"/>
                <w:szCs w:val="20"/>
              </w:rPr>
              <w:t>200</w:t>
            </w:r>
          </w:p>
        </w:tc>
        <w:tc>
          <w:tcPr>
            <w:tcW w:w="941" w:type="pct"/>
            <w:tcBorders>
              <w:top w:val="nil"/>
            </w:tcBorders>
            <w:vAlign w:val="bottom"/>
          </w:tcPr>
          <w:p w:rsidR="004D5D91" w:rsidRPr="005D7BF5" w:rsidRDefault="004D5D91" w:rsidP="00A10D06">
            <w:pPr>
              <w:pStyle w:val="DecimalAligned"/>
              <w:tabs>
                <w:tab w:val="clear" w:pos="360"/>
              </w:tabs>
              <w:jc w:val="center"/>
              <w:rPr>
                <w:b w:val="0"/>
                <w:sz w:val="20"/>
                <w:szCs w:val="20"/>
              </w:rPr>
            </w:pPr>
            <w:r w:rsidRPr="005D7BF5">
              <w:rPr>
                <w:b w:val="0"/>
                <w:sz w:val="20"/>
                <w:szCs w:val="20"/>
              </w:rPr>
              <w:t>100</w:t>
            </w:r>
            <w:r w:rsidRPr="005D7BF5">
              <w:rPr>
                <w:rFonts w:ascii="Calibri" w:hAnsi="Calibri"/>
                <w:b w:val="0"/>
                <w:sz w:val="20"/>
                <w:szCs w:val="20"/>
              </w:rPr>
              <w:t>–</w:t>
            </w:r>
            <w:r w:rsidRPr="005D7BF5">
              <w:rPr>
                <w:b w:val="0"/>
                <w:sz w:val="20"/>
                <w:szCs w:val="20"/>
              </w:rPr>
              <w:t>200</w:t>
            </w:r>
          </w:p>
        </w:tc>
        <w:tc>
          <w:tcPr>
            <w:tcW w:w="941" w:type="pct"/>
            <w:tcBorders>
              <w:top w:val="nil"/>
            </w:tcBorders>
            <w:vAlign w:val="bottom"/>
          </w:tcPr>
          <w:p w:rsidR="004D5D91" w:rsidRPr="005D7BF5" w:rsidRDefault="004D5D91" w:rsidP="00A10D06">
            <w:pPr>
              <w:pStyle w:val="DecimalAligned"/>
              <w:tabs>
                <w:tab w:val="clear" w:pos="360"/>
              </w:tabs>
              <w:jc w:val="center"/>
              <w:rPr>
                <w:b w:val="0"/>
                <w:sz w:val="20"/>
                <w:szCs w:val="20"/>
              </w:rPr>
            </w:pPr>
            <w:r w:rsidRPr="005D7BF5">
              <w:rPr>
                <w:b w:val="0"/>
                <w:sz w:val="20"/>
                <w:szCs w:val="20"/>
              </w:rPr>
              <w:t>14</w:t>
            </w:r>
            <w:r w:rsidRPr="005D7BF5">
              <w:rPr>
                <w:rFonts w:ascii="Calibri" w:hAnsi="Calibri"/>
                <w:b w:val="0"/>
                <w:sz w:val="20"/>
                <w:szCs w:val="20"/>
              </w:rPr>
              <w:t>–</w:t>
            </w:r>
            <w:r w:rsidRPr="005D7BF5">
              <w:rPr>
                <w:b w:val="0"/>
                <w:sz w:val="20"/>
                <w:szCs w:val="20"/>
              </w:rPr>
              <w:t>18</w:t>
            </w:r>
          </w:p>
        </w:tc>
        <w:tc>
          <w:tcPr>
            <w:tcW w:w="941" w:type="pct"/>
            <w:tcBorders>
              <w:top w:val="nil"/>
            </w:tcBorders>
            <w:vAlign w:val="bottom"/>
          </w:tcPr>
          <w:p w:rsidR="004D5D91" w:rsidRPr="005D7BF5" w:rsidRDefault="004D5D91" w:rsidP="00A10D06">
            <w:pPr>
              <w:pStyle w:val="DecimalAligned"/>
              <w:tabs>
                <w:tab w:val="clear" w:pos="360"/>
              </w:tabs>
              <w:jc w:val="center"/>
              <w:rPr>
                <w:b w:val="0"/>
                <w:sz w:val="20"/>
                <w:szCs w:val="20"/>
              </w:rPr>
            </w:pPr>
            <w:r w:rsidRPr="005D7BF5">
              <w:rPr>
                <w:b w:val="0"/>
                <w:sz w:val="20"/>
                <w:szCs w:val="20"/>
              </w:rPr>
              <w:t>8000</w:t>
            </w:r>
            <w:r w:rsidRPr="005D7BF5">
              <w:rPr>
                <w:rFonts w:ascii="Calibri" w:hAnsi="Calibri"/>
                <w:b w:val="0"/>
                <w:sz w:val="20"/>
                <w:szCs w:val="20"/>
              </w:rPr>
              <w:t>–</w:t>
            </w:r>
            <w:r w:rsidRPr="005D7BF5">
              <w:rPr>
                <w:b w:val="0"/>
                <w:sz w:val="20"/>
                <w:szCs w:val="20"/>
              </w:rPr>
              <w:t>18000</w:t>
            </w:r>
          </w:p>
        </w:tc>
      </w:tr>
    </w:tbl>
    <w:p w:rsidR="00B563DD" w:rsidRDefault="004D5D91" w:rsidP="00B563DD">
      <w:pPr>
        <w:pStyle w:val="Tekstprzypisudolnego"/>
      </w:pPr>
      <w:r w:rsidRPr="005D7BF5">
        <w:rPr>
          <w:rStyle w:val="Wyrnieniedelikatne"/>
        </w:rPr>
        <w:t xml:space="preserve">Źródło: </w:t>
      </w:r>
      <w:proofErr w:type="spellStart"/>
      <w:r w:rsidRPr="005D7BF5">
        <w:t>Przygrodzki</w:t>
      </w:r>
      <w:proofErr w:type="spellEnd"/>
      <w:r w:rsidRPr="005D7BF5">
        <w:t xml:space="preserve"> A.: Oszczędność energii elektrycznej w Termomodernizacja budynków dla poprawy jakości środowiska pod redakcją </w:t>
      </w:r>
      <w:proofErr w:type="spellStart"/>
      <w:r w:rsidRPr="005D7BF5">
        <w:t>Norwisza</w:t>
      </w:r>
      <w:proofErr w:type="spellEnd"/>
      <w:r w:rsidRPr="005D7BF5">
        <w:t xml:space="preserve"> J. Biblioteka Fundacji Poszanowania Energii. Gliwice 2004.</w:t>
      </w:r>
      <w:bookmarkStart w:id="108" w:name="_Toc429388363"/>
      <w:bookmarkStart w:id="109" w:name="_Toc436586238"/>
    </w:p>
    <w:p w:rsidR="00B563DD" w:rsidRDefault="00B563DD" w:rsidP="00B563DD">
      <w:pPr>
        <w:pStyle w:val="Tekstprzypisudolnego"/>
      </w:pPr>
    </w:p>
    <w:p w:rsidR="004D5D91" w:rsidRPr="00582635" w:rsidRDefault="004D5D91" w:rsidP="007B6D31">
      <w:pPr>
        <w:pStyle w:val="Legenda"/>
        <w:keepNext/>
        <w:ind w:firstLine="0"/>
        <w:rPr>
          <w:color w:val="auto"/>
        </w:rPr>
      </w:pPr>
      <w:r w:rsidRPr="00582635">
        <w:rPr>
          <w:color w:val="auto"/>
        </w:rPr>
        <w:lastRenderedPageBreak/>
        <w:t xml:space="preserve">Tabela </w:t>
      </w:r>
      <w:r w:rsidR="00844CE4" w:rsidRPr="00582635">
        <w:rPr>
          <w:color w:val="auto"/>
        </w:rPr>
        <w:fldChar w:fldCharType="begin"/>
      </w:r>
      <w:r w:rsidR="006E6F7F" w:rsidRPr="00582635">
        <w:rPr>
          <w:color w:val="auto"/>
        </w:rPr>
        <w:instrText xml:space="preserve"> SEQ Tabela \* ARABIC </w:instrText>
      </w:r>
      <w:r w:rsidR="00844CE4" w:rsidRPr="00582635">
        <w:rPr>
          <w:color w:val="auto"/>
        </w:rPr>
        <w:fldChar w:fldCharType="separate"/>
      </w:r>
      <w:r w:rsidR="005C42FD">
        <w:rPr>
          <w:noProof/>
          <w:color w:val="auto"/>
        </w:rPr>
        <w:t>18</w:t>
      </w:r>
      <w:r w:rsidR="00844CE4" w:rsidRPr="00582635">
        <w:rPr>
          <w:noProof/>
          <w:color w:val="auto"/>
        </w:rPr>
        <w:fldChar w:fldCharType="end"/>
      </w:r>
      <w:r w:rsidRPr="00582635">
        <w:rPr>
          <w:color w:val="auto"/>
        </w:rPr>
        <w:t xml:space="preserve"> Oszczędności energii elektrycznej, wynikające z wymiany różnych źródeł światła</w:t>
      </w:r>
      <w:bookmarkEnd w:id="108"/>
      <w:bookmarkEnd w:id="109"/>
    </w:p>
    <w:tbl>
      <w:tblPr>
        <w:tblStyle w:val="Jasnecieniowanieakcent17"/>
        <w:tblW w:w="4543" w:type="pct"/>
        <w:tblLayout w:type="fixed"/>
        <w:tblLook w:val="0660"/>
      </w:tblPr>
      <w:tblGrid>
        <w:gridCol w:w="3229"/>
        <w:gridCol w:w="2690"/>
        <w:gridCol w:w="2520"/>
      </w:tblGrid>
      <w:tr w:rsidR="004D5D91" w:rsidRPr="002B5A76" w:rsidTr="00A10D06">
        <w:trPr>
          <w:cnfStyle w:val="100000000000"/>
        </w:trPr>
        <w:tc>
          <w:tcPr>
            <w:tcW w:w="1913" w:type="pct"/>
            <w:noWrap/>
            <w:vAlign w:val="center"/>
          </w:tcPr>
          <w:p w:rsidR="004D5D91" w:rsidRPr="0090562F" w:rsidRDefault="004D5D91" w:rsidP="00A10D06">
            <w:pPr>
              <w:spacing w:line="240" w:lineRule="auto"/>
              <w:jc w:val="left"/>
              <w:rPr>
                <w:b w:val="0"/>
                <w:sz w:val="20"/>
                <w:szCs w:val="20"/>
              </w:rPr>
            </w:pPr>
            <w:r w:rsidRPr="0090562F">
              <w:rPr>
                <w:sz w:val="20"/>
                <w:szCs w:val="20"/>
              </w:rPr>
              <w:t>Źródło stare</w:t>
            </w:r>
          </w:p>
        </w:tc>
        <w:tc>
          <w:tcPr>
            <w:tcW w:w="1594" w:type="pct"/>
            <w:vAlign w:val="center"/>
          </w:tcPr>
          <w:p w:rsidR="004D5D91" w:rsidRPr="0090562F" w:rsidRDefault="004D5D91" w:rsidP="00A10D06">
            <w:pPr>
              <w:spacing w:line="240" w:lineRule="auto"/>
              <w:jc w:val="left"/>
              <w:rPr>
                <w:b w:val="0"/>
                <w:sz w:val="20"/>
                <w:szCs w:val="20"/>
              </w:rPr>
            </w:pPr>
            <w:r w:rsidRPr="0090562F">
              <w:rPr>
                <w:sz w:val="20"/>
                <w:szCs w:val="20"/>
              </w:rPr>
              <w:t>Źródło nowe</w:t>
            </w:r>
          </w:p>
        </w:tc>
        <w:tc>
          <w:tcPr>
            <w:tcW w:w="1493" w:type="pct"/>
            <w:vAlign w:val="center"/>
          </w:tcPr>
          <w:p w:rsidR="004D5D91" w:rsidRPr="0090562F" w:rsidRDefault="004D5D91" w:rsidP="00A10D06">
            <w:pPr>
              <w:spacing w:line="240" w:lineRule="auto"/>
              <w:jc w:val="center"/>
              <w:rPr>
                <w:b w:val="0"/>
                <w:sz w:val="20"/>
                <w:szCs w:val="20"/>
              </w:rPr>
            </w:pPr>
            <w:r w:rsidRPr="0090562F">
              <w:rPr>
                <w:sz w:val="20"/>
                <w:szCs w:val="20"/>
              </w:rPr>
              <w:t>Oszczędność energii elektrycznej, %</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 W,</w:t>
            </w:r>
          </w:p>
          <w:p w:rsidR="004D5D91" w:rsidRPr="0090562F" w:rsidRDefault="004D5D91" w:rsidP="00A10D06">
            <w:pPr>
              <w:spacing w:line="240" w:lineRule="auto"/>
              <w:jc w:val="left"/>
              <w:rPr>
                <w:sz w:val="20"/>
                <w:szCs w:val="20"/>
              </w:rPr>
            </w:pPr>
            <w:r w:rsidRPr="0090562F">
              <w:rPr>
                <w:sz w:val="20"/>
                <w:szCs w:val="20"/>
              </w:rPr>
              <w:t xml:space="preserve">1250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Świetlówka Φ38 mm, 40 W, 2650 </w:t>
            </w:r>
            <w:proofErr w:type="spellStart"/>
            <w:r w:rsidRPr="0090562F">
              <w:rPr>
                <w:sz w:val="20"/>
                <w:szCs w:val="20"/>
              </w:rPr>
              <w:t>lm</w:t>
            </w:r>
            <w:proofErr w:type="spellEnd"/>
            <w:r w:rsidRPr="0090562F">
              <w:rPr>
                <w:sz w:val="20"/>
                <w:szCs w:val="20"/>
              </w:rPr>
              <w:t>, 6000 h</w:t>
            </w:r>
          </w:p>
        </w:tc>
        <w:tc>
          <w:tcPr>
            <w:tcW w:w="1493" w:type="pct"/>
            <w:vAlign w:val="center"/>
          </w:tcPr>
          <w:p w:rsidR="004D5D91" w:rsidRPr="0090562F" w:rsidRDefault="004D5D91" w:rsidP="00A10D06">
            <w:pPr>
              <w:spacing w:line="240" w:lineRule="auto"/>
              <w:ind w:firstLine="33"/>
              <w:jc w:val="center"/>
              <w:rPr>
                <w:sz w:val="20"/>
                <w:szCs w:val="20"/>
              </w:rPr>
            </w:pPr>
            <w:r w:rsidRPr="0090562F">
              <w:rPr>
                <w:sz w:val="20"/>
                <w:szCs w:val="20"/>
              </w:rPr>
              <w:t>76,4</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 W,</w:t>
            </w:r>
          </w:p>
          <w:p w:rsidR="004D5D91" w:rsidRPr="0090562F" w:rsidRDefault="004D5D91" w:rsidP="00A10D06">
            <w:pPr>
              <w:spacing w:line="240" w:lineRule="auto"/>
              <w:jc w:val="left"/>
              <w:rPr>
                <w:sz w:val="20"/>
                <w:szCs w:val="20"/>
              </w:rPr>
            </w:pPr>
            <w:r w:rsidRPr="0090562F">
              <w:rPr>
                <w:sz w:val="20"/>
                <w:szCs w:val="20"/>
              </w:rPr>
              <w:t xml:space="preserve">1250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Świetlówka Φ26 mm, 36 W, 3000 </w:t>
            </w:r>
            <w:proofErr w:type="spellStart"/>
            <w:r w:rsidRPr="0090562F">
              <w:rPr>
                <w:sz w:val="20"/>
                <w:szCs w:val="20"/>
              </w:rPr>
              <w:t>lm</w:t>
            </w:r>
            <w:proofErr w:type="spellEnd"/>
            <w:r w:rsidRPr="0090562F">
              <w:rPr>
                <w:sz w:val="20"/>
                <w:szCs w:val="20"/>
              </w:rPr>
              <w:t>, 7500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80,8</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 W,</w:t>
            </w:r>
          </w:p>
          <w:p w:rsidR="004D5D91" w:rsidRPr="0090562F" w:rsidRDefault="004D5D91" w:rsidP="00A10D06">
            <w:pPr>
              <w:spacing w:line="240" w:lineRule="auto"/>
              <w:jc w:val="left"/>
              <w:rPr>
                <w:sz w:val="20"/>
                <w:szCs w:val="20"/>
              </w:rPr>
            </w:pPr>
            <w:r w:rsidRPr="0090562F">
              <w:rPr>
                <w:sz w:val="20"/>
                <w:szCs w:val="20"/>
              </w:rPr>
              <w:t xml:space="preserve">1250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Świetlówka Φ26 mm, 32 W, 3300 </w:t>
            </w:r>
            <w:proofErr w:type="spellStart"/>
            <w:r w:rsidRPr="0090562F">
              <w:rPr>
                <w:sz w:val="20"/>
                <w:szCs w:val="20"/>
              </w:rPr>
              <w:t>lm</w:t>
            </w:r>
            <w:proofErr w:type="spellEnd"/>
            <w:r w:rsidRPr="0090562F">
              <w:rPr>
                <w:sz w:val="20"/>
                <w:szCs w:val="20"/>
              </w:rPr>
              <w:t>, 10000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85,9</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 W,</w:t>
            </w:r>
          </w:p>
          <w:p w:rsidR="004D5D91" w:rsidRPr="0090562F" w:rsidRDefault="004D5D91" w:rsidP="00A10D06">
            <w:pPr>
              <w:spacing w:line="240" w:lineRule="auto"/>
              <w:jc w:val="left"/>
              <w:rPr>
                <w:sz w:val="20"/>
                <w:szCs w:val="20"/>
              </w:rPr>
            </w:pPr>
            <w:r w:rsidRPr="0090562F">
              <w:rPr>
                <w:sz w:val="20"/>
                <w:szCs w:val="20"/>
              </w:rPr>
              <w:t xml:space="preserve">1250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Świetlówka kompaktowa 20 W, 1200 </w:t>
            </w:r>
            <w:proofErr w:type="spellStart"/>
            <w:r w:rsidRPr="0090562F">
              <w:rPr>
                <w:sz w:val="20"/>
                <w:szCs w:val="20"/>
              </w:rPr>
              <w:t>lm</w:t>
            </w:r>
            <w:proofErr w:type="spellEnd"/>
            <w:r w:rsidRPr="0090562F">
              <w:rPr>
                <w:sz w:val="20"/>
                <w:szCs w:val="20"/>
              </w:rPr>
              <w:t>, 8000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79,2</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1000 W,</w:t>
            </w:r>
          </w:p>
          <w:p w:rsidR="004D5D91" w:rsidRPr="0090562F" w:rsidRDefault="004D5D91" w:rsidP="00A10D06">
            <w:pPr>
              <w:spacing w:line="240" w:lineRule="auto"/>
              <w:jc w:val="left"/>
              <w:rPr>
                <w:sz w:val="20"/>
                <w:szCs w:val="20"/>
              </w:rPr>
            </w:pPr>
            <w:r w:rsidRPr="0090562F">
              <w:rPr>
                <w:sz w:val="20"/>
                <w:szCs w:val="20"/>
              </w:rPr>
              <w:t xml:space="preserve">18600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Rtęciówka 250 W, 11500 </w:t>
            </w:r>
            <w:proofErr w:type="spellStart"/>
            <w:r w:rsidRPr="0090562F">
              <w:rPr>
                <w:sz w:val="20"/>
                <w:szCs w:val="20"/>
              </w:rPr>
              <w:t>lm</w:t>
            </w:r>
            <w:proofErr w:type="spellEnd"/>
            <w:r w:rsidRPr="0090562F">
              <w:rPr>
                <w:sz w:val="20"/>
                <w:szCs w:val="20"/>
              </w:rPr>
              <w:t xml:space="preserve"> 6000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43,8</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300 W,</w:t>
            </w:r>
          </w:p>
          <w:p w:rsidR="004D5D91" w:rsidRPr="0090562F" w:rsidRDefault="004D5D91" w:rsidP="00A10D06">
            <w:pPr>
              <w:spacing w:line="240" w:lineRule="auto"/>
              <w:jc w:val="left"/>
              <w:rPr>
                <w:sz w:val="20"/>
                <w:szCs w:val="20"/>
              </w:rPr>
            </w:pPr>
            <w:r w:rsidRPr="0090562F">
              <w:rPr>
                <w:sz w:val="20"/>
                <w:szCs w:val="20"/>
              </w:rPr>
              <w:t xml:space="preserve">4610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Lampa rtęciowo – żarowa 250W, 5000 </w:t>
            </w:r>
            <w:proofErr w:type="spellStart"/>
            <w:r w:rsidRPr="0090562F">
              <w:rPr>
                <w:sz w:val="20"/>
                <w:szCs w:val="20"/>
              </w:rPr>
              <w:t>lm</w:t>
            </w:r>
            <w:proofErr w:type="spellEnd"/>
            <w:r w:rsidRPr="0090562F">
              <w:rPr>
                <w:sz w:val="20"/>
                <w:szCs w:val="20"/>
              </w:rPr>
              <w:t>, 4000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23,2</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Żarówka zwykła 100 W,</w:t>
            </w:r>
          </w:p>
          <w:p w:rsidR="004D5D91" w:rsidRPr="0090562F" w:rsidRDefault="004D5D91" w:rsidP="00A10D06">
            <w:pPr>
              <w:spacing w:line="240" w:lineRule="auto"/>
              <w:jc w:val="left"/>
              <w:rPr>
                <w:sz w:val="20"/>
                <w:szCs w:val="20"/>
              </w:rPr>
            </w:pPr>
            <w:r w:rsidRPr="0090562F">
              <w:rPr>
                <w:sz w:val="20"/>
                <w:szCs w:val="20"/>
              </w:rPr>
              <w:t xml:space="preserve">1250 </w:t>
            </w:r>
            <w:proofErr w:type="spellStart"/>
            <w:r w:rsidRPr="0090562F">
              <w:rPr>
                <w:sz w:val="20"/>
                <w:szCs w:val="20"/>
              </w:rPr>
              <w:t>lm</w:t>
            </w:r>
            <w:proofErr w:type="spellEnd"/>
            <w:r w:rsidRPr="0090562F">
              <w:rPr>
                <w:sz w:val="20"/>
                <w:szCs w:val="20"/>
              </w:rPr>
              <w:t>, 1000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Sodówka 70 W, 6500 </w:t>
            </w:r>
            <w:proofErr w:type="spellStart"/>
            <w:r w:rsidRPr="0090562F">
              <w:rPr>
                <w:sz w:val="20"/>
                <w:szCs w:val="20"/>
              </w:rPr>
              <w:t>lm</w:t>
            </w:r>
            <w:proofErr w:type="spellEnd"/>
            <w:r w:rsidRPr="0090562F">
              <w:rPr>
                <w:sz w:val="20"/>
                <w:szCs w:val="20"/>
              </w:rPr>
              <w:t>, 5000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83,8%</w:t>
            </w:r>
          </w:p>
        </w:tc>
      </w:tr>
      <w:tr w:rsidR="004D5D91" w:rsidTr="00A10D06">
        <w:tc>
          <w:tcPr>
            <w:tcW w:w="1913" w:type="pct"/>
            <w:noWrap/>
            <w:vAlign w:val="center"/>
          </w:tcPr>
          <w:p w:rsidR="004D5D91" w:rsidRPr="0090562F" w:rsidRDefault="004D5D91" w:rsidP="00A10D06">
            <w:pPr>
              <w:spacing w:line="240" w:lineRule="auto"/>
              <w:jc w:val="left"/>
              <w:rPr>
                <w:sz w:val="20"/>
                <w:szCs w:val="20"/>
              </w:rPr>
            </w:pPr>
            <w:r w:rsidRPr="0090562F">
              <w:rPr>
                <w:sz w:val="20"/>
                <w:szCs w:val="20"/>
              </w:rPr>
              <w:t xml:space="preserve">Rtęciówka 250 W, 11500 </w:t>
            </w:r>
            <w:proofErr w:type="spellStart"/>
            <w:r w:rsidRPr="0090562F">
              <w:rPr>
                <w:sz w:val="20"/>
                <w:szCs w:val="20"/>
              </w:rPr>
              <w:t>lm</w:t>
            </w:r>
            <w:proofErr w:type="spellEnd"/>
            <w:r w:rsidRPr="0090562F">
              <w:rPr>
                <w:sz w:val="20"/>
                <w:szCs w:val="20"/>
              </w:rPr>
              <w:t>, 6000 h</w:t>
            </w:r>
          </w:p>
        </w:tc>
        <w:tc>
          <w:tcPr>
            <w:tcW w:w="1594" w:type="pct"/>
            <w:vAlign w:val="center"/>
          </w:tcPr>
          <w:p w:rsidR="004D5D91" w:rsidRPr="0090562F" w:rsidRDefault="004D5D91" w:rsidP="00A10D06">
            <w:pPr>
              <w:spacing w:line="240" w:lineRule="auto"/>
              <w:jc w:val="left"/>
              <w:rPr>
                <w:sz w:val="20"/>
                <w:szCs w:val="20"/>
              </w:rPr>
            </w:pPr>
            <w:r w:rsidRPr="0090562F">
              <w:rPr>
                <w:sz w:val="20"/>
                <w:szCs w:val="20"/>
              </w:rPr>
              <w:t xml:space="preserve">Sodówka 250 W, 27000 </w:t>
            </w:r>
            <w:proofErr w:type="spellStart"/>
            <w:r w:rsidRPr="0090562F">
              <w:rPr>
                <w:sz w:val="20"/>
                <w:szCs w:val="20"/>
              </w:rPr>
              <w:t>lm</w:t>
            </w:r>
            <w:proofErr w:type="spellEnd"/>
            <w:r w:rsidRPr="0090562F">
              <w:rPr>
                <w:sz w:val="20"/>
                <w:szCs w:val="20"/>
              </w:rPr>
              <w:t>, 15000 h</w:t>
            </w:r>
          </w:p>
        </w:tc>
        <w:tc>
          <w:tcPr>
            <w:tcW w:w="1493" w:type="pct"/>
            <w:vAlign w:val="center"/>
          </w:tcPr>
          <w:p w:rsidR="004D5D91" w:rsidRPr="0090562F" w:rsidRDefault="004D5D91" w:rsidP="00A10D06">
            <w:pPr>
              <w:spacing w:line="240" w:lineRule="auto"/>
              <w:jc w:val="center"/>
              <w:rPr>
                <w:sz w:val="20"/>
                <w:szCs w:val="20"/>
              </w:rPr>
            </w:pPr>
            <w:r w:rsidRPr="0090562F">
              <w:rPr>
                <w:sz w:val="20"/>
                <w:szCs w:val="20"/>
              </w:rPr>
              <w:t>55,8%</w:t>
            </w:r>
          </w:p>
        </w:tc>
      </w:tr>
      <w:tr w:rsidR="004D5D91" w:rsidTr="00A10D06">
        <w:tc>
          <w:tcPr>
            <w:tcW w:w="1913" w:type="pct"/>
            <w:tcBorders>
              <w:bottom w:val="nil"/>
            </w:tcBorders>
            <w:noWrap/>
            <w:vAlign w:val="center"/>
          </w:tcPr>
          <w:p w:rsidR="004D5D91" w:rsidRPr="0090562F" w:rsidRDefault="004D5D91" w:rsidP="00A10D06">
            <w:pPr>
              <w:spacing w:line="240" w:lineRule="auto"/>
              <w:jc w:val="left"/>
              <w:rPr>
                <w:sz w:val="20"/>
                <w:szCs w:val="20"/>
              </w:rPr>
            </w:pPr>
            <w:r w:rsidRPr="0090562F">
              <w:rPr>
                <w:sz w:val="20"/>
                <w:szCs w:val="20"/>
              </w:rPr>
              <w:t xml:space="preserve">Rtęciówka 250 W, 11500 </w:t>
            </w:r>
            <w:proofErr w:type="spellStart"/>
            <w:r w:rsidRPr="0090562F">
              <w:rPr>
                <w:sz w:val="20"/>
                <w:szCs w:val="20"/>
              </w:rPr>
              <w:t>lm</w:t>
            </w:r>
            <w:proofErr w:type="spellEnd"/>
            <w:r w:rsidRPr="0090562F">
              <w:rPr>
                <w:sz w:val="20"/>
                <w:szCs w:val="20"/>
              </w:rPr>
              <w:t>, 6000 h</w:t>
            </w:r>
          </w:p>
        </w:tc>
        <w:tc>
          <w:tcPr>
            <w:tcW w:w="1594" w:type="pct"/>
            <w:tcBorders>
              <w:bottom w:val="nil"/>
            </w:tcBorders>
            <w:vAlign w:val="center"/>
          </w:tcPr>
          <w:p w:rsidR="004D5D91" w:rsidRPr="0090562F" w:rsidRDefault="004D5D91" w:rsidP="00A10D06">
            <w:pPr>
              <w:spacing w:line="240" w:lineRule="auto"/>
              <w:jc w:val="left"/>
              <w:rPr>
                <w:sz w:val="20"/>
                <w:szCs w:val="20"/>
              </w:rPr>
            </w:pPr>
            <w:r w:rsidRPr="0090562F">
              <w:rPr>
                <w:sz w:val="20"/>
                <w:szCs w:val="20"/>
              </w:rPr>
              <w:t xml:space="preserve">Lampa halogenkowa HGI-T-250, 250 W, 1900 </w:t>
            </w:r>
            <w:proofErr w:type="spellStart"/>
            <w:r w:rsidRPr="0090562F">
              <w:rPr>
                <w:sz w:val="20"/>
                <w:szCs w:val="20"/>
              </w:rPr>
              <w:t>lm</w:t>
            </w:r>
            <w:proofErr w:type="spellEnd"/>
            <w:r w:rsidRPr="0090562F">
              <w:rPr>
                <w:sz w:val="20"/>
                <w:szCs w:val="20"/>
              </w:rPr>
              <w:t>, 5000 h</w:t>
            </w:r>
          </w:p>
        </w:tc>
        <w:tc>
          <w:tcPr>
            <w:tcW w:w="1493" w:type="pct"/>
            <w:tcBorders>
              <w:bottom w:val="nil"/>
            </w:tcBorders>
            <w:vAlign w:val="center"/>
          </w:tcPr>
          <w:p w:rsidR="004D5D91" w:rsidRPr="0090562F" w:rsidRDefault="004D5D91" w:rsidP="00A10D06">
            <w:pPr>
              <w:spacing w:line="240" w:lineRule="auto"/>
              <w:jc w:val="center"/>
              <w:rPr>
                <w:sz w:val="20"/>
                <w:szCs w:val="20"/>
              </w:rPr>
            </w:pPr>
            <w:r w:rsidRPr="0090562F">
              <w:rPr>
                <w:sz w:val="20"/>
                <w:szCs w:val="20"/>
              </w:rPr>
              <w:t>38,6%</w:t>
            </w:r>
          </w:p>
        </w:tc>
      </w:tr>
      <w:tr w:rsidR="004D5D91" w:rsidRPr="002B5A76" w:rsidTr="00A10D06">
        <w:trPr>
          <w:cnfStyle w:val="010000000000"/>
        </w:trPr>
        <w:tc>
          <w:tcPr>
            <w:tcW w:w="1913" w:type="pct"/>
            <w:tcBorders>
              <w:top w:val="nil"/>
            </w:tcBorders>
            <w:noWrap/>
            <w:vAlign w:val="center"/>
          </w:tcPr>
          <w:p w:rsidR="004D5D91" w:rsidRPr="0090562F" w:rsidRDefault="004D5D91" w:rsidP="00A10D06">
            <w:pPr>
              <w:spacing w:line="240" w:lineRule="auto"/>
              <w:jc w:val="left"/>
              <w:rPr>
                <w:b w:val="0"/>
                <w:sz w:val="20"/>
                <w:szCs w:val="20"/>
              </w:rPr>
            </w:pPr>
            <w:r w:rsidRPr="0090562F">
              <w:rPr>
                <w:b w:val="0"/>
                <w:sz w:val="20"/>
                <w:szCs w:val="20"/>
              </w:rPr>
              <w:t xml:space="preserve">Świetlówka Φ38 mm, 40 W, 2650 </w:t>
            </w:r>
            <w:proofErr w:type="spellStart"/>
            <w:r w:rsidRPr="0090562F">
              <w:rPr>
                <w:b w:val="0"/>
                <w:sz w:val="20"/>
                <w:szCs w:val="20"/>
              </w:rPr>
              <w:t>lm</w:t>
            </w:r>
            <w:proofErr w:type="spellEnd"/>
            <w:r w:rsidRPr="0090562F">
              <w:rPr>
                <w:b w:val="0"/>
                <w:sz w:val="20"/>
                <w:szCs w:val="20"/>
              </w:rPr>
              <w:t>, 6000 h</w:t>
            </w:r>
          </w:p>
        </w:tc>
        <w:tc>
          <w:tcPr>
            <w:tcW w:w="1594" w:type="pct"/>
            <w:tcBorders>
              <w:top w:val="nil"/>
            </w:tcBorders>
            <w:vAlign w:val="center"/>
          </w:tcPr>
          <w:p w:rsidR="004D5D91" w:rsidRPr="0090562F" w:rsidRDefault="004D5D91" w:rsidP="00A10D06">
            <w:pPr>
              <w:spacing w:line="240" w:lineRule="auto"/>
              <w:jc w:val="left"/>
              <w:rPr>
                <w:b w:val="0"/>
                <w:sz w:val="20"/>
                <w:szCs w:val="20"/>
              </w:rPr>
            </w:pPr>
            <w:r w:rsidRPr="0090562F">
              <w:rPr>
                <w:b w:val="0"/>
                <w:sz w:val="20"/>
                <w:szCs w:val="20"/>
              </w:rPr>
              <w:t xml:space="preserve">Świetlówka Φ26 mm, 36 W, 3000 </w:t>
            </w:r>
            <w:proofErr w:type="spellStart"/>
            <w:r w:rsidRPr="0090562F">
              <w:rPr>
                <w:b w:val="0"/>
                <w:sz w:val="20"/>
                <w:szCs w:val="20"/>
              </w:rPr>
              <w:t>lm</w:t>
            </w:r>
            <w:proofErr w:type="spellEnd"/>
            <w:r w:rsidRPr="0090562F">
              <w:rPr>
                <w:b w:val="0"/>
                <w:sz w:val="20"/>
                <w:szCs w:val="20"/>
              </w:rPr>
              <w:t>, 7500 h</w:t>
            </w:r>
          </w:p>
        </w:tc>
        <w:tc>
          <w:tcPr>
            <w:tcW w:w="1493" w:type="pct"/>
            <w:tcBorders>
              <w:top w:val="nil"/>
            </w:tcBorders>
            <w:vAlign w:val="center"/>
          </w:tcPr>
          <w:p w:rsidR="004D5D91" w:rsidRPr="0090562F" w:rsidRDefault="004D5D91" w:rsidP="00A10D06">
            <w:pPr>
              <w:spacing w:line="240" w:lineRule="auto"/>
              <w:jc w:val="center"/>
              <w:rPr>
                <w:b w:val="0"/>
                <w:sz w:val="20"/>
                <w:szCs w:val="20"/>
              </w:rPr>
            </w:pPr>
            <w:r w:rsidRPr="0090562F">
              <w:rPr>
                <w:b w:val="0"/>
                <w:sz w:val="20"/>
                <w:szCs w:val="20"/>
              </w:rPr>
              <w:t>18,8%</w:t>
            </w:r>
          </w:p>
        </w:tc>
      </w:tr>
    </w:tbl>
    <w:p w:rsidR="004D5D91" w:rsidRPr="00073304" w:rsidRDefault="004D5D91" w:rsidP="00073304">
      <w:pPr>
        <w:spacing w:line="240" w:lineRule="auto"/>
        <w:rPr>
          <w:sz w:val="20"/>
          <w:szCs w:val="20"/>
        </w:rPr>
      </w:pPr>
      <w:r w:rsidRPr="002B5A76">
        <w:rPr>
          <w:sz w:val="20"/>
          <w:szCs w:val="20"/>
        </w:rPr>
        <w:t xml:space="preserve">Źródło: </w:t>
      </w:r>
      <w:proofErr w:type="spellStart"/>
      <w:r w:rsidRPr="002B5A76">
        <w:rPr>
          <w:sz w:val="20"/>
          <w:szCs w:val="20"/>
        </w:rPr>
        <w:t>Przygrodzki</w:t>
      </w:r>
      <w:proofErr w:type="spellEnd"/>
      <w:r w:rsidRPr="002B5A76">
        <w:rPr>
          <w:sz w:val="20"/>
          <w:szCs w:val="20"/>
        </w:rPr>
        <w:t xml:space="preserve"> A.: Oszczędność energii elektrycznej w Termomodernizacja budynków dla poprawy jakości środowiska pod redakcją </w:t>
      </w:r>
      <w:proofErr w:type="spellStart"/>
      <w:r w:rsidRPr="002B5A76">
        <w:rPr>
          <w:sz w:val="20"/>
          <w:szCs w:val="20"/>
        </w:rPr>
        <w:t>Norwisza</w:t>
      </w:r>
      <w:proofErr w:type="spellEnd"/>
      <w:r w:rsidRPr="002B5A76">
        <w:rPr>
          <w:sz w:val="20"/>
          <w:szCs w:val="20"/>
        </w:rPr>
        <w:t xml:space="preserve"> J. Biblioteka Fundacji Poszanowania Energii. Gliwice 2004.</w:t>
      </w:r>
    </w:p>
    <w:p w:rsidR="00A07B07" w:rsidRDefault="00A07B07" w:rsidP="004D5D91"/>
    <w:p w:rsidR="004D5D91" w:rsidRDefault="00937113" w:rsidP="004D5D91">
      <w:r>
        <w:t>Tabela</w:t>
      </w:r>
      <w:r w:rsidR="004D5D91">
        <w:t xml:space="preserve"> </w:t>
      </w:r>
      <w:r>
        <w:t>1</w:t>
      </w:r>
      <w:r w:rsidR="004D5D91">
        <w:t xml:space="preserve">9 przedstawia możliwości zmniejszenia zużycia energii, które osiągają znaczne wartości wskutek występowania w Polsce przestarzałych technologii użytkowania energii. </w:t>
      </w:r>
    </w:p>
    <w:p w:rsidR="004D5D91" w:rsidRPr="00582635" w:rsidRDefault="004D5D91" w:rsidP="00C4489C">
      <w:pPr>
        <w:pStyle w:val="Legenda"/>
        <w:keepNext/>
        <w:ind w:firstLine="0"/>
        <w:rPr>
          <w:color w:val="auto"/>
        </w:rPr>
      </w:pPr>
      <w:bookmarkStart w:id="110" w:name="_Toc429388364"/>
      <w:bookmarkStart w:id="111" w:name="_Toc436586239"/>
      <w:r w:rsidRPr="00582635">
        <w:rPr>
          <w:color w:val="auto"/>
        </w:rPr>
        <w:t xml:space="preserve">Tabela </w:t>
      </w:r>
      <w:r w:rsidR="00844CE4" w:rsidRPr="00582635">
        <w:rPr>
          <w:color w:val="auto"/>
        </w:rPr>
        <w:fldChar w:fldCharType="begin"/>
      </w:r>
      <w:r w:rsidR="006E6F7F" w:rsidRPr="00582635">
        <w:rPr>
          <w:color w:val="auto"/>
        </w:rPr>
        <w:instrText xml:space="preserve"> SEQ Tabela \* ARABIC </w:instrText>
      </w:r>
      <w:r w:rsidR="00844CE4" w:rsidRPr="00582635">
        <w:rPr>
          <w:color w:val="auto"/>
        </w:rPr>
        <w:fldChar w:fldCharType="separate"/>
      </w:r>
      <w:r w:rsidR="005C42FD">
        <w:rPr>
          <w:noProof/>
          <w:color w:val="auto"/>
        </w:rPr>
        <w:t>19</w:t>
      </w:r>
      <w:r w:rsidR="00844CE4" w:rsidRPr="00582635">
        <w:rPr>
          <w:noProof/>
          <w:color w:val="auto"/>
        </w:rPr>
        <w:fldChar w:fldCharType="end"/>
      </w:r>
      <w:r w:rsidRPr="00582635">
        <w:rPr>
          <w:color w:val="auto"/>
        </w:rPr>
        <w:t xml:space="preserve"> Możliwości oszczędności energii elektrycznej na poziomie użytkownika finalnego</w:t>
      </w:r>
      <w:bookmarkEnd w:id="110"/>
      <w:bookmarkEnd w:id="111"/>
    </w:p>
    <w:tbl>
      <w:tblPr>
        <w:tblStyle w:val="Jasnecieniowanieakcent17"/>
        <w:tblW w:w="4675" w:type="pct"/>
        <w:tblLook w:val="0660"/>
      </w:tblPr>
      <w:tblGrid>
        <w:gridCol w:w="5210"/>
        <w:gridCol w:w="3474"/>
      </w:tblGrid>
      <w:tr w:rsidR="004D5D91" w:rsidTr="00A10D06">
        <w:trPr>
          <w:cnfStyle w:val="100000000000"/>
        </w:trPr>
        <w:tc>
          <w:tcPr>
            <w:tcW w:w="3000" w:type="pct"/>
            <w:noWrap/>
            <w:vAlign w:val="center"/>
          </w:tcPr>
          <w:p w:rsidR="004D5D91" w:rsidRPr="00471A99" w:rsidRDefault="004D5D91" w:rsidP="00A10D06">
            <w:pPr>
              <w:spacing w:line="240" w:lineRule="auto"/>
              <w:jc w:val="left"/>
              <w:rPr>
                <w:b w:val="0"/>
                <w:sz w:val="20"/>
                <w:szCs w:val="20"/>
              </w:rPr>
            </w:pPr>
            <w:r w:rsidRPr="00471A99">
              <w:rPr>
                <w:sz w:val="20"/>
                <w:szCs w:val="20"/>
              </w:rPr>
              <w:t>Odbiorca</w:t>
            </w:r>
          </w:p>
        </w:tc>
        <w:tc>
          <w:tcPr>
            <w:tcW w:w="2000" w:type="pct"/>
            <w:vAlign w:val="center"/>
          </w:tcPr>
          <w:p w:rsidR="004D5D91" w:rsidRPr="00471A99" w:rsidRDefault="004D5D91" w:rsidP="00A10D06">
            <w:pPr>
              <w:spacing w:line="240" w:lineRule="auto"/>
              <w:jc w:val="left"/>
              <w:rPr>
                <w:b w:val="0"/>
                <w:sz w:val="20"/>
                <w:szCs w:val="20"/>
              </w:rPr>
            </w:pPr>
            <w:r w:rsidRPr="00471A99">
              <w:rPr>
                <w:sz w:val="20"/>
                <w:szCs w:val="20"/>
              </w:rPr>
              <w:t>Możliwość zaoszczędzenia energii elektrycznej, %</w:t>
            </w:r>
          </w:p>
        </w:tc>
      </w:tr>
      <w:tr w:rsidR="004D5D91" w:rsidRPr="00174E78" w:rsidTr="00A10D06">
        <w:tc>
          <w:tcPr>
            <w:tcW w:w="3000" w:type="pct"/>
            <w:noWrap/>
            <w:vAlign w:val="center"/>
          </w:tcPr>
          <w:p w:rsidR="004D5D91" w:rsidRPr="00174E78" w:rsidRDefault="004D5D91" w:rsidP="00A10D06">
            <w:pPr>
              <w:spacing w:line="240" w:lineRule="auto"/>
              <w:jc w:val="left"/>
              <w:rPr>
                <w:sz w:val="20"/>
                <w:szCs w:val="20"/>
              </w:rPr>
            </w:pPr>
            <w:r w:rsidRPr="00174E78">
              <w:rPr>
                <w:sz w:val="20"/>
                <w:szCs w:val="20"/>
              </w:rPr>
              <w:t>Przemysł, w tym:</w:t>
            </w:r>
          </w:p>
          <w:p w:rsidR="004D5D91" w:rsidRPr="00174E78" w:rsidRDefault="004D5D91" w:rsidP="00E7342B">
            <w:pPr>
              <w:numPr>
                <w:ilvl w:val="0"/>
                <w:numId w:val="42"/>
              </w:numPr>
              <w:spacing w:line="240" w:lineRule="auto"/>
              <w:ind w:left="275" w:hanging="275"/>
              <w:jc w:val="left"/>
              <w:rPr>
                <w:sz w:val="20"/>
                <w:szCs w:val="20"/>
              </w:rPr>
            </w:pPr>
            <w:r w:rsidRPr="00174E78">
              <w:rPr>
                <w:sz w:val="20"/>
                <w:szCs w:val="20"/>
              </w:rPr>
              <w:t xml:space="preserve">piece </w:t>
            </w:r>
            <w:proofErr w:type="spellStart"/>
            <w:r w:rsidRPr="00174E78">
              <w:rPr>
                <w:sz w:val="20"/>
                <w:szCs w:val="20"/>
              </w:rPr>
              <w:t>topielne</w:t>
            </w:r>
            <w:proofErr w:type="spellEnd"/>
            <w:r w:rsidRPr="00174E78">
              <w:rPr>
                <w:sz w:val="20"/>
                <w:szCs w:val="20"/>
              </w:rPr>
              <w:t xml:space="preserve"> w metalurgii,</w:t>
            </w:r>
          </w:p>
          <w:p w:rsidR="004D5D91" w:rsidRPr="00174E78" w:rsidRDefault="004D5D91" w:rsidP="00E7342B">
            <w:pPr>
              <w:numPr>
                <w:ilvl w:val="0"/>
                <w:numId w:val="42"/>
              </w:numPr>
              <w:spacing w:line="240" w:lineRule="auto"/>
              <w:ind w:left="275" w:hanging="275"/>
              <w:jc w:val="left"/>
              <w:rPr>
                <w:sz w:val="20"/>
                <w:szCs w:val="20"/>
              </w:rPr>
            </w:pPr>
            <w:r w:rsidRPr="00174E78">
              <w:rPr>
                <w:sz w:val="20"/>
                <w:szCs w:val="20"/>
              </w:rPr>
              <w:t>procesy elektrolityczne,</w:t>
            </w:r>
          </w:p>
          <w:p w:rsidR="004D5D91" w:rsidRPr="00174E78" w:rsidRDefault="004D5D91" w:rsidP="00E7342B">
            <w:pPr>
              <w:numPr>
                <w:ilvl w:val="0"/>
                <w:numId w:val="42"/>
              </w:numPr>
              <w:spacing w:line="240" w:lineRule="auto"/>
              <w:ind w:left="275" w:hanging="275"/>
              <w:jc w:val="left"/>
              <w:rPr>
                <w:sz w:val="20"/>
                <w:szCs w:val="20"/>
              </w:rPr>
            </w:pPr>
            <w:r w:rsidRPr="00174E78">
              <w:rPr>
                <w:sz w:val="20"/>
                <w:szCs w:val="20"/>
              </w:rPr>
              <w:t>napędy,</w:t>
            </w:r>
          </w:p>
          <w:p w:rsidR="004D5D91" w:rsidRPr="00174E78" w:rsidRDefault="004D5D91" w:rsidP="00E7342B">
            <w:pPr>
              <w:numPr>
                <w:ilvl w:val="0"/>
                <w:numId w:val="42"/>
              </w:numPr>
              <w:spacing w:line="240" w:lineRule="auto"/>
              <w:ind w:left="275" w:hanging="275"/>
              <w:jc w:val="left"/>
              <w:rPr>
                <w:sz w:val="20"/>
                <w:szCs w:val="20"/>
              </w:rPr>
            </w:pPr>
            <w:r w:rsidRPr="00174E78">
              <w:rPr>
                <w:sz w:val="20"/>
                <w:szCs w:val="20"/>
              </w:rPr>
              <w:t>oświetlenie,</w:t>
            </w:r>
          </w:p>
          <w:p w:rsidR="004D5D91" w:rsidRPr="00174E78" w:rsidRDefault="004D5D91" w:rsidP="00E7342B">
            <w:pPr>
              <w:numPr>
                <w:ilvl w:val="0"/>
                <w:numId w:val="42"/>
              </w:numPr>
              <w:spacing w:line="240" w:lineRule="auto"/>
              <w:ind w:left="275" w:hanging="275"/>
              <w:jc w:val="left"/>
              <w:rPr>
                <w:sz w:val="20"/>
                <w:szCs w:val="20"/>
              </w:rPr>
            </w:pPr>
            <w:r w:rsidRPr="00174E78">
              <w:rPr>
                <w:sz w:val="20"/>
                <w:szCs w:val="20"/>
              </w:rPr>
              <w:t>inne.</w:t>
            </w:r>
          </w:p>
        </w:tc>
        <w:tc>
          <w:tcPr>
            <w:tcW w:w="2000" w:type="pct"/>
            <w:vAlign w:val="center"/>
          </w:tcPr>
          <w:p w:rsidR="004D5D91" w:rsidRPr="00174E78" w:rsidRDefault="004D5D91" w:rsidP="00A10D06">
            <w:pPr>
              <w:spacing w:line="240" w:lineRule="auto"/>
              <w:jc w:val="left"/>
              <w:rPr>
                <w:sz w:val="20"/>
                <w:szCs w:val="20"/>
              </w:rPr>
            </w:pPr>
          </w:p>
          <w:p w:rsidR="004D5D91" w:rsidRPr="00174E78" w:rsidRDefault="004D5D91" w:rsidP="00A10D06">
            <w:pPr>
              <w:spacing w:line="240" w:lineRule="auto"/>
              <w:jc w:val="left"/>
              <w:rPr>
                <w:sz w:val="20"/>
                <w:szCs w:val="20"/>
              </w:rPr>
            </w:pPr>
            <w:r w:rsidRPr="00174E78">
              <w:rPr>
                <w:sz w:val="20"/>
                <w:szCs w:val="20"/>
              </w:rPr>
              <w:t>30 – 45%</w:t>
            </w:r>
          </w:p>
          <w:p w:rsidR="004D5D91" w:rsidRPr="00174E78" w:rsidRDefault="004D5D91" w:rsidP="00A10D06">
            <w:pPr>
              <w:spacing w:line="240" w:lineRule="auto"/>
              <w:jc w:val="left"/>
              <w:rPr>
                <w:sz w:val="20"/>
                <w:szCs w:val="20"/>
              </w:rPr>
            </w:pPr>
            <w:r w:rsidRPr="00174E78">
              <w:rPr>
                <w:sz w:val="20"/>
                <w:szCs w:val="20"/>
              </w:rPr>
              <w:t>5 – 15%</w:t>
            </w:r>
          </w:p>
          <w:p w:rsidR="004D5D91" w:rsidRPr="00174E78" w:rsidRDefault="004D5D91" w:rsidP="00A10D06">
            <w:pPr>
              <w:spacing w:line="240" w:lineRule="auto"/>
              <w:jc w:val="left"/>
              <w:rPr>
                <w:sz w:val="20"/>
                <w:szCs w:val="20"/>
              </w:rPr>
            </w:pPr>
            <w:r w:rsidRPr="00174E78">
              <w:rPr>
                <w:sz w:val="20"/>
                <w:szCs w:val="20"/>
              </w:rPr>
              <w:t>10 – 50%</w:t>
            </w:r>
          </w:p>
          <w:p w:rsidR="004D5D91" w:rsidRPr="00174E78" w:rsidRDefault="004D5D91" w:rsidP="00A10D06">
            <w:pPr>
              <w:spacing w:line="240" w:lineRule="auto"/>
              <w:jc w:val="left"/>
              <w:rPr>
                <w:sz w:val="20"/>
                <w:szCs w:val="20"/>
              </w:rPr>
            </w:pPr>
            <w:r w:rsidRPr="00174E78">
              <w:rPr>
                <w:sz w:val="20"/>
                <w:szCs w:val="20"/>
              </w:rPr>
              <w:t>20 – 80%</w:t>
            </w:r>
          </w:p>
          <w:p w:rsidR="004D5D91" w:rsidRPr="00174E78" w:rsidRDefault="004D5D91" w:rsidP="00A10D06">
            <w:pPr>
              <w:spacing w:line="240" w:lineRule="auto"/>
              <w:jc w:val="left"/>
              <w:rPr>
                <w:sz w:val="20"/>
                <w:szCs w:val="20"/>
              </w:rPr>
            </w:pPr>
            <w:r w:rsidRPr="00174E78">
              <w:rPr>
                <w:sz w:val="20"/>
                <w:szCs w:val="20"/>
              </w:rPr>
              <w:t>20 – 30%</w:t>
            </w:r>
          </w:p>
        </w:tc>
      </w:tr>
      <w:tr w:rsidR="004D5D91" w:rsidRPr="00174E78" w:rsidTr="00A10D06">
        <w:tc>
          <w:tcPr>
            <w:tcW w:w="3000" w:type="pct"/>
            <w:noWrap/>
            <w:vAlign w:val="center"/>
          </w:tcPr>
          <w:p w:rsidR="004D5D91" w:rsidRPr="00174E78" w:rsidRDefault="004D5D91" w:rsidP="00A10D06">
            <w:pPr>
              <w:spacing w:line="240" w:lineRule="auto"/>
              <w:jc w:val="left"/>
              <w:rPr>
                <w:sz w:val="20"/>
                <w:szCs w:val="20"/>
              </w:rPr>
            </w:pPr>
            <w:r w:rsidRPr="00174E78">
              <w:rPr>
                <w:sz w:val="20"/>
                <w:szCs w:val="20"/>
              </w:rPr>
              <w:t>Transport szynowy, kolejowy i miejski</w:t>
            </w:r>
          </w:p>
        </w:tc>
        <w:tc>
          <w:tcPr>
            <w:tcW w:w="2000" w:type="pct"/>
            <w:vAlign w:val="center"/>
          </w:tcPr>
          <w:p w:rsidR="004D5D91" w:rsidRPr="00174E78" w:rsidRDefault="004D5D91" w:rsidP="00A10D06">
            <w:pPr>
              <w:spacing w:line="240" w:lineRule="auto"/>
              <w:jc w:val="left"/>
              <w:rPr>
                <w:sz w:val="20"/>
                <w:szCs w:val="20"/>
              </w:rPr>
            </w:pPr>
            <w:r w:rsidRPr="00174E78">
              <w:rPr>
                <w:sz w:val="20"/>
                <w:szCs w:val="20"/>
              </w:rPr>
              <w:t>10 -  20%</w:t>
            </w:r>
          </w:p>
        </w:tc>
      </w:tr>
      <w:tr w:rsidR="004D5D91" w:rsidRPr="00174E78" w:rsidTr="00A10D06">
        <w:tc>
          <w:tcPr>
            <w:tcW w:w="3000" w:type="pct"/>
            <w:noWrap/>
            <w:vAlign w:val="center"/>
          </w:tcPr>
          <w:p w:rsidR="004D5D91" w:rsidRPr="00174E78" w:rsidRDefault="004D5D91" w:rsidP="00A10D06">
            <w:pPr>
              <w:spacing w:line="240" w:lineRule="auto"/>
              <w:jc w:val="left"/>
              <w:rPr>
                <w:sz w:val="20"/>
                <w:szCs w:val="20"/>
              </w:rPr>
            </w:pPr>
            <w:r w:rsidRPr="00174E78">
              <w:rPr>
                <w:sz w:val="20"/>
                <w:szCs w:val="20"/>
              </w:rPr>
              <w:t>Gospodarstwa domowe, w tym:</w:t>
            </w:r>
          </w:p>
          <w:p w:rsidR="004D5D91" w:rsidRPr="00174E78" w:rsidRDefault="004D5D91" w:rsidP="00E7342B">
            <w:pPr>
              <w:numPr>
                <w:ilvl w:val="0"/>
                <w:numId w:val="43"/>
              </w:numPr>
              <w:spacing w:line="240" w:lineRule="auto"/>
              <w:ind w:left="275" w:hanging="284"/>
              <w:jc w:val="left"/>
              <w:rPr>
                <w:sz w:val="20"/>
                <w:szCs w:val="20"/>
              </w:rPr>
            </w:pPr>
            <w:r w:rsidRPr="00174E78">
              <w:rPr>
                <w:sz w:val="20"/>
                <w:szCs w:val="20"/>
              </w:rPr>
              <w:t>oświetlenie,</w:t>
            </w:r>
          </w:p>
          <w:p w:rsidR="004D5D91" w:rsidRPr="00174E78" w:rsidRDefault="004D5D91" w:rsidP="00E7342B">
            <w:pPr>
              <w:numPr>
                <w:ilvl w:val="0"/>
                <w:numId w:val="43"/>
              </w:numPr>
              <w:spacing w:line="240" w:lineRule="auto"/>
              <w:ind w:left="275" w:hanging="284"/>
              <w:jc w:val="left"/>
              <w:rPr>
                <w:sz w:val="20"/>
                <w:szCs w:val="20"/>
              </w:rPr>
            </w:pPr>
            <w:r w:rsidRPr="00174E78">
              <w:rPr>
                <w:sz w:val="20"/>
                <w:szCs w:val="20"/>
              </w:rPr>
              <w:t>przechowywanie żywności,</w:t>
            </w:r>
          </w:p>
          <w:p w:rsidR="004D5D91" w:rsidRPr="00174E78" w:rsidRDefault="004D5D91" w:rsidP="00E7342B">
            <w:pPr>
              <w:numPr>
                <w:ilvl w:val="0"/>
                <w:numId w:val="43"/>
              </w:numPr>
              <w:spacing w:line="240" w:lineRule="auto"/>
              <w:ind w:left="275" w:hanging="284"/>
              <w:jc w:val="left"/>
              <w:rPr>
                <w:sz w:val="20"/>
                <w:szCs w:val="20"/>
              </w:rPr>
            </w:pPr>
            <w:r w:rsidRPr="00174E78">
              <w:rPr>
                <w:sz w:val="20"/>
                <w:szCs w:val="20"/>
              </w:rPr>
              <w:t>utrzymywanie czystości (pralki, odkurzacze),</w:t>
            </w:r>
          </w:p>
          <w:p w:rsidR="004D5D91" w:rsidRPr="00174E78" w:rsidRDefault="004D5D91" w:rsidP="00E7342B">
            <w:pPr>
              <w:numPr>
                <w:ilvl w:val="0"/>
                <w:numId w:val="43"/>
              </w:numPr>
              <w:spacing w:line="240" w:lineRule="auto"/>
              <w:ind w:left="275" w:hanging="284"/>
              <w:jc w:val="left"/>
              <w:rPr>
                <w:sz w:val="20"/>
                <w:szCs w:val="20"/>
              </w:rPr>
            </w:pPr>
            <w:r w:rsidRPr="00174E78">
              <w:rPr>
                <w:sz w:val="20"/>
                <w:szCs w:val="20"/>
              </w:rPr>
              <w:t>inne.</w:t>
            </w:r>
          </w:p>
        </w:tc>
        <w:tc>
          <w:tcPr>
            <w:tcW w:w="2000" w:type="pct"/>
            <w:vAlign w:val="center"/>
          </w:tcPr>
          <w:p w:rsidR="004D5D91" w:rsidRPr="00174E78" w:rsidRDefault="004D5D91" w:rsidP="00A10D06">
            <w:pPr>
              <w:spacing w:line="240" w:lineRule="auto"/>
              <w:jc w:val="left"/>
              <w:rPr>
                <w:sz w:val="20"/>
                <w:szCs w:val="20"/>
              </w:rPr>
            </w:pPr>
          </w:p>
          <w:p w:rsidR="004D5D91" w:rsidRPr="00174E78" w:rsidRDefault="004D5D91" w:rsidP="00A10D06">
            <w:pPr>
              <w:spacing w:line="240" w:lineRule="auto"/>
              <w:jc w:val="left"/>
              <w:rPr>
                <w:sz w:val="20"/>
                <w:szCs w:val="20"/>
              </w:rPr>
            </w:pPr>
            <w:r w:rsidRPr="00174E78">
              <w:rPr>
                <w:sz w:val="20"/>
                <w:szCs w:val="20"/>
              </w:rPr>
              <w:t>20 – 80%</w:t>
            </w:r>
          </w:p>
          <w:p w:rsidR="004D5D91" w:rsidRPr="00174E78" w:rsidRDefault="004D5D91" w:rsidP="00A10D06">
            <w:pPr>
              <w:spacing w:line="240" w:lineRule="auto"/>
              <w:jc w:val="left"/>
              <w:rPr>
                <w:sz w:val="20"/>
                <w:szCs w:val="20"/>
              </w:rPr>
            </w:pPr>
            <w:r w:rsidRPr="00174E78">
              <w:rPr>
                <w:sz w:val="20"/>
                <w:szCs w:val="20"/>
              </w:rPr>
              <w:t>20 – 50%</w:t>
            </w:r>
          </w:p>
          <w:p w:rsidR="004D5D91" w:rsidRPr="00174E78" w:rsidRDefault="004D5D91" w:rsidP="00A10D06">
            <w:pPr>
              <w:spacing w:line="240" w:lineRule="auto"/>
              <w:jc w:val="left"/>
              <w:rPr>
                <w:sz w:val="20"/>
                <w:szCs w:val="20"/>
              </w:rPr>
            </w:pPr>
            <w:r w:rsidRPr="00174E78">
              <w:rPr>
                <w:sz w:val="20"/>
                <w:szCs w:val="20"/>
              </w:rPr>
              <w:t>10 – 30%</w:t>
            </w:r>
          </w:p>
          <w:p w:rsidR="004D5D91" w:rsidRPr="00174E78" w:rsidRDefault="004D5D91" w:rsidP="00A10D06">
            <w:pPr>
              <w:spacing w:line="240" w:lineRule="auto"/>
              <w:jc w:val="left"/>
              <w:rPr>
                <w:sz w:val="20"/>
                <w:szCs w:val="20"/>
              </w:rPr>
            </w:pPr>
            <w:r w:rsidRPr="00174E78">
              <w:rPr>
                <w:sz w:val="20"/>
                <w:szCs w:val="20"/>
              </w:rPr>
              <w:t>10 – 30%</w:t>
            </w:r>
          </w:p>
        </w:tc>
      </w:tr>
      <w:tr w:rsidR="004D5D91" w:rsidRPr="00174E78" w:rsidTr="00A10D06">
        <w:trPr>
          <w:cnfStyle w:val="010000000000"/>
        </w:trPr>
        <w:tc>
          <w:tcPr>
            <w:tcW w:w="3000" w:type="pct"/>
            <w:noWrap/>
            <w:vAlign w:val="center"/>
          </w:tcPr>
          <w:p w:rsidR="004D5D91" w:rsidRPr="00174E78" w:rsidRDefault="004D5D91" w:rsidP="00A10D06">
            <w:pPr>
              <w:spacing w:line="240" w:lineRule="auto"/>
              <w:jc w:val="left"/>
              <w:rPr>
                <w:b w:val="0"/>
                <w:sz w:val="20"/>
                <w:szCs w:val="20"/>
              </w:rPr>
            </w:pPr>
            <w:r w:rsidRPr="00174E78">
              <w:rPr>
                <w:b w:val="0"/>
                <w:sz w:val="20"/>
                <w:szCs w:val="20"/>
              </w:rPr>
              <w:t>Budynki i inni odbiorcy użyteczności publicznej:</w:t>
            </w:r>
          </w:p>
          <w:p w:rsidR="004D5D91" w:rsidRPr="00174E78" w:rsidRDefault="004D5D91" w:rsidP="00E7342B">
            <w:pPr>
              <w:numPr>
                <w:ilvl w:val="0"/>
                <w:numId w:val="44"/>
              </w:numPr>
              <w:spacing w:line="240" w:lineRule="auto"/>
              <w:ind w:left="275" w:hanging="275"/>
              <w:jc w:val="left"/>
              <w:rPr>
                <w:b w:val="0"/>
                <w:sz w:val="20"/>
                <w:szCs w:val="20"/>
              </w:rPr>
            </w:pPr>
            <w:r w:rsidRPr="00174E78">
              <w:rPr>
                <w:b w:val="0"/>
                <w:sz w:val="20"/>
                <w:szCs w:val="20"/>
              </w:rPr>
              <w:t>oświetlenie budynków,</w:t>
            </w:r>
          </w:p>
          <w:p w:rsidR="004D5D91" w:rsidRPr="00174E78" w:rsidRDefault="004D5D91" w:rsidP="00E7342B">
            <w:pPr>
              <w:numPr>
                <w:ilvl w:val="0"/>
                <w:numId w:val="44"/>
              </w:numPr>
              <w:spacing w:line="240" w:lineRule="auto"/>
              <w:ind w:left="275" w:hanging="275"/>
              <w:jc w:val="left"/>
              <w:rPr>
                <w:b w:val="0"/>
                <w:sz w:val="20"/>
                <w:szCs w:val="20"/>
              </w:rPr>
            </w:pPr>
            <w:r w:rsidRPr="00174E78">
              <w:rPr>
                <w:b w:val="0"/>
                <w:sz w:val="20"/>
                <w:szCs w:val="20"/>
              </w:rPr>
              <w:t>napędy sieci ciepłowniczych,</w:t>
            </w:r>
          </w:p>
          <w:p w:rsidR="004D5D91" w:rsidRPr="00174E78" w:rsidRDefault="004D5D91" w:rsidP="00E7342B">
            <w:pPr>
              <w:numPr>
                <w:ilvl w:val="0"/>
                <w:numId w:val="44"/>
              </w:numPr>
              <w:spacing w:line="240" w:lineRule="auto"/>
              <w:ind w:left="275" w:hanging="275"/>
              <w:jc w:val="left"/>
              <w:rPr>
                <w:b w:val="0"/>
                <w:sz w:val="20"/>
                <w:szCs w:val="20"/>
              </w:rPr>
            </w:pPr>
            <w:r w:rsidRPr="00174E78">
              <w:rPr>
                <w:b w:val="0"/>
                <w:sz w:val="20"/>
                <w:szCs w:val="20"/>
              </w:rPr>
              <w:t>oświetlenie ulic.</w:t>
            </w:r>
          </w:p>
        </w:tc>
        <w:tc>
          <w:tcPr>
            <w:tcW w:w="2000" w:type="pct"/>
            <w:vAlign w:val="center"/>
          </w:tcPr>
          <w:p w:rsidR="004D5D91" w:rsidRPr="00174E78" w:rsidRDefault="004D5D91" w:rsidP="00A10D06">
            <w:pPr>
              <w:spacing w:line="240" w:lineRule="auto"/>
              <w:jc w:val="left"/>
              <w:rPr>
                <w:b w:val="0"/>
                <w:sz w:val="20"/>
                <w:szCs w:val="20"/>
              </w:rPr>
            </w:pPr>
          </w:p>
          <w:p w:rsidR="004D5D91" w:rsidRPr="00174E78" w:rsidRDefault="004D5D91" w:rsidP="00A10D06">
            <w:pPr>
              <w:spacing w:line="240" w:lineRule="auto"/>
              <w:jc w:val="left"/>
              <w:rPr>
                <w:b w:val="0"/>
                <w:sz w:val="20"/>
                <w:szCs w:val="20"/>
              </w:rPr>
            </w:pPr>
            <w:r w:rsidRPr="00174E78">
              <w:rPr>
                <w:b w:val="0"/>
                <w:sz w:val="20"/>
                <w:szCs w:val="20"/>
              </w:rPr>
              <w:t>15 – 80%</w:t>
            </w:r>
          </w:p>
          <w:p w:rsidR="004D5D91" w:rsidRPr="00174E78" w:rsidRDefault="004D5D91" w:rsidP="00A10D06">
            <w:pPr>
              <w:spacing w:line="240" w:lineRule="auto"/>
              <w:jc w:val="left"/>
              <w:rPr>
                <w:b w:val="0"/>
                <w:sz w:val="20"/>
                <w:szCs w:val="20"/>
              </w:rPr>
            </w:pPr>
            <w:r w:rsidRPr="00174E78">
              <w:rPr>
                <w:b w:val="0"/>
                <w:sz w:val="20"/>
                <w:szCs w:val="20"/>
              </w:rPr>
              <w:t>20 – 55%</w:t>
            </w:r>
          </w:p>
          <w:p w:rsidR="004D5D91" w:rsidRPr="00174E78" w:rsidRDefault="004D5D91" w:rsidP="00A10D06">
            <w:pPr>
              <w:spacing w:line="240" w:lineRule="auto"/>
              <w:jc w:val="left"/>
              <w:rPr>
                <w:b w:val="0"/>
                <w:sz w:val="20"/>
                <w:szCs w:val="20"/>
              </w:rPr>
            </w:pPr>
            <w:r w:rsidRPr="00174E78">
              <w:rPr>
                <w:b w:val="0"/>
                <w:sz w:val="20"/>
                <w:szCs w:val="20"/>
              </w:rPr>
              <w:t>20 – 40%</w:t>
            </w:r>
          </w:p>
        </w:tc>
      </w:tr>
    </w:tbl>
    <w:p w:rsidR="004D5D91" w:rsidRDefault="004D5D91" w:rsidP="004D5D91">
      <w:pPr>
        <w:spacing w:line="240" w:lineRule="auto"/>
        <w:jc w:val="left"/>
        <w:rPr>
          <w:sz w:val="20"/>
          <w:szCs w:val="20"/>
        </w:rPr>
      </w:pPr>
      <w:r w:rsidRPr="00174E78">
        <w:rPr>
          <w:sz w:val="20"/>
          <w:szCs w:val="20"/>
        </w:rPr>
        <w:t xml:space="preserve">Źródło: </w:t>
      </w:r>
      <w:proofErr w:type="spellStart"/>
      <w:r w:rsidRPr="00174E78">
        <w:rPr>
          <w:sz w:val="20"/>
          <w:szCs w:val="20"/>
        </w:rPr>
        <w:t>Przygrodzki</w:t>
      </w:r>
      <w:proofErr w:type="spellEnd"/>
      <w:r w:rsidRPr="00174E78">
        <w:rPr>
          <w:sz w:val="20"/>
          <w:szCs w:val="20"/>
        </w:rPr>
        <w:t xml:space="preserve"> A.: Oszczędność energii elektrycznej w Termomodernizacja budynków dla poprawy jakości środowiska pod redakcją </w:t>
      </w:r>
      <w:proofErr w:type="spellStart"/>
      <w:r w:rsidRPr="00174E78">
        <w:rPr>
          <w:sz w:val="20"/>
          <w:szCs w:val="20"/>
        </w:rPr>
        <w:t>Norwisza</w:t>
      </w:r>
      <w:proofErr w:type="spellEnd"/>
      <w:r w:rsidRPr="00174E78">
        <w:rPr>
          <w:sz w:val="20"/>
          <w:szCs w:val="20"/>
        </w:rPr>
        <w:t xml:space="preserve"> J. Biblioteka Fundacji Poszanowania Energii. Gliwice 2004.</w:t>
      </w:r>
    </w:p>
    <w:p w:rsidR="0093059D" w:rsidRDefault="0093059D" w:rsidP="0093059D">
      <w:pPr>
        <w:pStyle w:val="Nagwek3"/>
        <w:numPr>
          <w:ilvl w:val="2"/>
          <w:numId w:val="1"/>
        </w:numPr>
      </w:pPr>
      <w:bookmarkStart w:id="112" w:name="_Toc438118402"/>
      <w:r>
        <w:lastRenderedPageBreak/>
        <w:t>Transport</w:t>
      </w:r>
      <w:bookmarkEnd w:id="112"/>
    </w:p>
    <w:p w:rsidR="00BF120D" w:rsidRDefault="00BF120D" w:rsidP="00BF120D"/>
    <w:p w:rsidR="00867B4C" w:rsidRPr="00867B4C" w:rsidRDefault="00BF120D" w:rsidP="00867B4C">
      <w:pPr>
        <w:rPr>
          <w:color w:val="FF0000"/>
        </w:rPr>
      </w:pPr>
      <w:r>
        <w:t>Rosnące natężenie ruchu powoduje wzrost natężenia CO</w:t>
      </w:r>
      <w:r w:rsidRPr="00C836A4">
        <w:rPr>
          <w:vertAlign w:val="subscript"/>
        </w:rPr>
        <w:t>2</w:t>
      </w:r>
      <w:r w:rsidR="00937113">
        <w:rPr>
          <w:vertAlign w:val="subscript"/>
        </w:rPr>
        <w:t xml:space="preserve"> </w:t>
      </w:r>
      <w:r>
        <w:t xml:space="preserve">na obszarze gminy Herby. Aktywne działania lokalne, takie jak: promowanie systemu podwózek sąsiedzkich (tzw. </w:t>
      </w:r>
      <w:proofErr w:type="spellStart"/>
      <w:r>
        <w:t>carpooling</w:t>
      </w:r>
      <w:proofErr w:type="spellEnd"/>
      <w:r>
        <w:t>), promowanie wykorzystania samochodów i pojazdów jednośladowych z napędem elektrycznym, a także promowanie zachowań energooszczędnych w</w:t>
      </w:r>
      <w:r w:rsidR="00A07B07">
        <w:t xml:space="preserve"> transporcie (tzw. </w:t>
      </w:r>
      <w:proofErr w:type="spellStart"/>
      <w:r w:rsidR="00A07B07">
        <w:t>ecodriving</w:t>
      </w:r>
      <w:proofErr w:type="spellEnd"/>
      <w:r w:rsidR="00A07B07">
        <w:t xml:space="preserve">) </w:t>
      </w:r>
      <w:r w:rsidR="00A07B07" w:rsidRPr="00B563DD">
        <w:t>oraz w</w:t>
      </w:r>
      <w:r w:rsidR="00867B4C" w:rsidRPr="00B563DD">
        <w:t>ykorzystanie</w:t>
      </w:r>
      <w:r w:rsidR="00A07B07" w:rsidRPr="00B563DD">
        <w:t xml:space="preserve"> rowerów celem dojazdu do centrów przesiadkowych w systemie </w:t>
      </w:r>
      <w:proofErr w:type="spellStart"/>
      <w:r w:rsidR="00A07B07" w:rsidRPr="00B563DD">
        <w:t>bike&amp;ride</w:t>
      </w:r>
      <w:proofErr w:type="spellEnd"/>
      <w:r w:rsidR="00A07B07" w:rsidRPr="00B563DD">
        <w:t xml:space="preserve"> i </w:t>
      </w:r>
      <w:r w:rsidR="00B2308A" w:rsidRPr="00B563DD">
        <w:t>park &amp;</w:t>
      </w:r>
      <w:proofErr w:type="spellStart"/>
      <w:r w:rsidR="00B2308A" w:rsidRPr="00B563DD">
        <w:t>ride</w:t>
      </w:r>
      <w:proofErr w:type="spellEnd"/>
      <w:r w:rsidR="00867B4C" w:rsidRPr="00B563DD">
        <w:t xml:space="preserve"> wpłynie na obniżanie emisji CO2.</w:t>
      </w:r>
    </w:p>
    <w:p w:rsidR="00BF120D" w:rsidRDefault="00BF120D" w:rsidP="00BF120D"/>
    <w:p w:rsidR="00BF120D" w:rsidRDefault="00BF120D" w:rsidP="00BF120D">
      <w:r>
        <w:t xml:space="preserve">Promocja ekologicznych i energooszczędnych zachowań w zakresie transportu stanowi ważny element w dążeniu do zrównoważonego rozwoju. </w:t>
      </w:r>
    </w:p>
    <w:p w:rsidR="00BF120D" w:rsidRPr="006F2005" w:rsidRDefault="00BF120D" w:rsidP="00E7342B">
      <w:pPr>
        <w:pStyle w:val="Akapitzlist"/>
        <w:numPr>
          <w:ilvl w:val="0"/>
          <w:numId w:val="46"/>
        </w:numPr>
        <w:spacing w:before="120" w:after="120"/>
      </w:pPr>
      <w:r w:rsidRPr="006F2005">
        <w:t xml:space="preserve">Modernizacja dróg </w:t>
      </w:r>
      <w:r w:rsidR="007F68AE" w:rsidRPr="006F2005">
        <w:t xml:space="preserve">w tym dróg </w:t>
      </w:r>
      <w:r w:rsidRPr="006F2005">
        <w:t xml:space="preserve">gminnych i powiatowych </w:t>
      </w:r>
      <w:r w:rsidR="00867B4C" w:rsidRPr="006F2005">
        <w:t>oraz budowa dróg rowerowych</w:t>
      </w:r>
      <w:r w:rsidR="005C51DA" w:rsidRPr="006F2005">
        <w:t xml:space="preserve"> </w:t>
      </w:r>
      <w:r w:rsidRPr="006F2005">
        <w:t>wpływa na oszczędności w zużyciu paliwa, co</w:t>
      </w:r>
      <w:r w:rsidR="00867B4C" w:rsidRPr="006F2005">
        <w:t xml:space="preserve"> wpływa na ograniczenie emisji.</w:t>
      </w:r>
    </w:p>
    <w:p w:rsidR="00BF120D" w:rsidRDefault="00BF120D" w:rsidP="00E7342B">
      <w:pPr>
        <w:pStyle w:val="Akapitzlist"/>
        <w:numPr>
          <w:ilvl w:val="0"/>
          <w:numId w:val="46"/>
        </w:numPr>
        <w:spacing w:before="120" w:after="120"/>
      </w:pPr>
      <w:r w:rsidRPr="006F2005">
        <w:t xml:space="preserve">Korzyści płynące z </w:t>
      </w:r>
      <w:proofErr w:type="spellStart"/>
      <w:r w:rsidRPr="006F2005">
        <w:t>ecodrivingu</w:t>
      </w:r>
      <w:proofErr w:type="spellEnd"/>
      <w:r w:rsidRPr="006F2005">
        <w:t>: oszczędności, podnoszenie komfortu jazdy i zmniejszenie</w:t>
      </w:r>
      <w:r>
        <w:t xml:space="preserve"> stresu podczas jazdy, zwiększenie bezpieczeństwa w ruchu drogowym, redukcja CO</w:t>
      </w:r>
      <w:r w:rsidRPr="00233EAE">
        <w:rPr>
          <w:vertAlign w:val="subscript"/>
        </w:rPr>
        <w:t>2</w:t>
      </w:r>
      <w:r>
        <w:t xml:space="preserve">. </w:t>
      </w:r>
    </w:p>
    <w:p w:rsidR="00BF120D" w:rsidRDefault="00BF120D" w:rsidP="00BF120D"/>
    <w:p w:rsidR="00BF120D" w:rsidRDefault="00A62609" w:rsidP="002002A7">
      <w:pPr>
        <w:pStyle w:val="Nagwek3"/>
        <w:numPr>
          <w:ilvl w:val="2"/>
          <w:numId w:val="1"/>
        </w:numPr>
        <w:spacing w:before="240" w:after="120"/>
      </w:pPr>
      <w:bookmarkStart w:id="113" w:name="_Toc429391269"/>
      <w:bookmarkStart w:id="114" w:name="_Toc438118403"/>
      <w:r>
        <w:t>Odnawialne źródła energii</w:t>
      </w:r>
      <w:bookmarkEnd w:id="113"/>
      <w:bookmarkEnd w:id="114"/>
    </w:p>
    <w:p w:rsidR="00BF120D" w:rsidRDefault="00BF120D" w:rsidP="00BF120D"/>
    <w:p w:rsidR="00BF120D" w:rsidRDefault="00BF120D" w:rsidP="00BF120D">
      <w:r>
        <w:t>Montaż Odnawialnych Źródeł Energii (OZE) na budynkach użyteczności publicznej pozwala redukować emisję CO</w:t>
      </w:r>
      <w:r w:rsidRPr="00233EAE">
        <w:rPr>
          <w:vertAlign w:val="subscript"/>
        </w:rPr>
        <w:t>2</w:t>
      </w:r>
      <w:r>
        <w:t>. D</w:t>
      </w:r>
      <w:r w:rsidRPr="00700111">
        <w:t xml:space="preserve">la przykładu instalacja fotowoltaiczna o mocy 10 </w:t>
      </w:r>
      <w:proofErr w:type="spellStart"/>
      <w:r w:rsidRPr="00700111">
        <w:t>kW</w:t>
      </w:r>
      <w:proofErr w:type="spellEnd"/>
      <w:r w:rsidRPr="00700111">
        <w:t xml:space="preserve"> pozwala wyprodukować rocznie ok 9500 </w:t>
      </w:r>
      <w:proofErr w:type="spellStart"/>
      <w:r w:rsidRPr="00700111">
        <w:t>kWh</w:t>
      </w:r>
      <w:proofErr w:type="spellEnd"/>
      <w:r w:rsidRPr="00700111">
        <w:t xml:space="preserve"> „zielonej energii”, co prowadzi do redukcji emisji na poziomie 8,45 Mg CO2 rocznie. Jako przykład podawana jest instalacja fotowoltaiczna, ponieważ budowa instalacji o mocy do 40 </w:t>
      </w:r>
      <w:proofErr w:type="spellStart"/>
      <w:r w:rsidRPr="00700111">
        <w:t>kW</w:t>
      </w:r>
      <w:proofErr w:type="spellEnd"/>
      <w:r w:rsidRPr="00700111">
        <w:t xml:space="preserve"> nie wymaga uzyskania po</w:t>
      </w:r>
      <w:r>
        <w:t>zwolenia na budowę, w związku z </w:t>
      </w:r>
      <w:r w:rsidRPr="00700111">
        <w:t>czym jej realizacja jest dużo łatwiejsza niż w przypadku innych odnawialnych źródeł energii.</w:t>
      </w:r>
    </w:p>
    <w:p w:rsidR="002002A7" w:rsidRDefault="002002A7" w:rsidP="00BF120D"/>
    <w:p w:rsidR="00867B4C" w:rsidRDefault="00867B4C" w:rsidP="00BF120D"/>
    <w:p w:rsidR="00867B4C" w:rsidRDefault="00867B4C" w:rsidP="00BF120D"/>
    <w:p w:rsidR="002002A7" w:rsidRDefault="002002A7" w:rsidP="00BF120D"/>
    <w:p w:rsidR="00BF120D" w:rsidRDefault="00BF120D" w:rsidP="00BF120D">
      <w:r>
        <w:lastRenderedPageBreak/>
        <w:t>Na terenie zabudowanym, zwłaszcza w budownictwie występują warunki do wykorzystania:</w:t>
      </w:r>
    </w:p>
    <w:p w:rsidR="00BF120D" w:rsidRDefault="007F68AE" w:rsidP="00E7342B">
      <w:pPr>
        <w:pStyle w:val="Akapitzlist"/>
        <w:numPr>
          <w:ilvl w:val="0"/>
          <w:numId w:val="47"/>
        </w:numPr>
        <w:spacing w:before="120" w:after="120"/>
      </w:pPr>
      <w:r>
        <w:t>p</w:t>
      </w:r>
      <w:r w:rsidR="00BF120D">
        <w:t>aneli fotowoltaicznych,</w:t>
      </w:r>
    </w:p>
    <w:p w:rsidR="00BF120D" w:rsidRDefault="00BF120D" w:rsidP="00E7342B">
      <w:pPr>
        <w:pStyle w:val="Akapitzlist"/>
        <w:numPr>
          <w:ilvl w:val="0"/>
          <w:numId w:val="47"/>
        </w:numPr>
        <w:spacing w:before="120" w:after="120"/>
      </w:pPr>
      <w:r>
        <w:t>kolektorów słonecznych,</w:t>
      </w:r>
    </w:p>
    <w:p w:rsidR="00BF120D" w:rsidRDefault="00BF120D" w:rsidP="00E7342B">
      <w:pPr>
        <w:pStyle w:val="Akapitzlist"/>
        <w:numPr>
          <w:ilvl w:val="0"/>
          <w:numId w:val="47"/>
        </w:numPr>
        <w:spacing w:before="120" w:after="120"/>
      </w:pPr>
      <w:r>
        <w:t>pomp ciepła,</w:t>
      </w:r>
    </w:p>
    <w:p w:rsidR="00BF120D" w:rsidRDefault="00BF120D" w:rsidP="00E7342B">
      <w:pPr>
        <w:pStyle w:val="Akapitzlist"/>
        <w:numPr>
          <w:ilvl w:val="0"/>
          <w:numId w:val="47"/>
        </w:numPr>
        <w:spacing w:before="120" w:after="120"/>
      </w:pPr>
      <w:r>
        <w:t xml:space="preserve">biomasy. </w:t>
      </w:r>
    </w:p>
    <w:p w:rsidR="00BF120D" w:rsidRDefault="00BF120D" w:rsidP="00BF120D">
      <w:r w:rsidRPr="00B13972">
        <w:t>Działania związane z wykorzystaniem OZE są działaniami fakultatywnymi. Ich realizacja uwarunkowana jest od pozyskania zewnętrznych form wsparcia.</w:t>
      </w:r>
    </w:p>
    <w:p w:rsidR="003E5E56" w:rsidRDefault="003E5E56" w:rsidP="0039350C"/>
    <w:p w:rsidR="0039350C" w:rsidRPr="001D2CFE" w:rsidRDefault="0039350C" w:rsidP="0039350C">
      <w:pPr>
        <w:rPr>
          <w:color w:val="FF0000"/>
          <w:szCs w:val="23"/>
        </w:rPr>
      </w:pPr>
      <w:r w:rsidRPr="00B563DD">
        <w:t xml:space="preserve">Aktualnie na koniec listopada 2015 r. na  terenie gminy Herby </w:t>
      </w:r>
      <w:r w:rsidRPr="00B563DD">
        <w:rPr>
          <w:szCs w:val="23"/>
        </w:rPr>
        <w:t xml:space="preserve">wykonano szereg inwestycji związanych z zabudową ogniw fotowoltaicznych, które </w:t>
      </w:r>
      <w:r w:rsidR="001D2CFE" w:rsidRPr="00B563DD">
        <w:rPr>
          <w:szCs w:val="23"/>
        </w:rPr>
        <w:t>zestawione zostały  w poniższej tabeli:</w:t>
      </w:r>
    </w:p>
    <w:tbl>
      <w:tblPr>
        <w:tblStyle w:val="Tabela-Siatka"/>
        <w:tblW w:w="0" w:type="auto"/>
        <w:tblLook w:val="04A0"/>
      </w:tblPr>
      <w:tblGrid>
        <w:gridCol w:w="534"/>
        <w:gridCol w:w="4677"/>
        <w:gridCol w:w="4001"/>
      </w:tblGrid>
      <w:tr w:rsidR="00B563DD" w:rsidRPr="00B563DD" w:rsidTr="0039350C">
        <w:tc>
          <w:tcPr>
            <w:tcW w:w="534" w:type="dxa"/>
          </w:tcPr>
          <w:p w:rsidR="0039350C" w:rsidRPr="00B563DD" w:rsidRDefault="0039350C" w:rsidP="001D2CFE">
            <w:pPr>
              <w:spacing w:line="240" w:lineRule="auto"/>
              <w:jc w:val="center"/>
              <w:rPr>
                <w:b/>
                <w:sz w:val="24"/>
                <w:szCs w:val="24"/>
              </w:rPr>
            </w:pPr>
            <w:r w:rsidRPr="00B563DD">
              <w:rPr>
                <w:b/>
                <w:sz w:val="24"/>
                <w:szCs w:val="24"/>
              </w:rPr>
              <w:t>Lp.</w:t>
            </w:r>
          </w:p>
        </w:tc>
        <w:tc>
          <w:tcPr>
            <w:tcW w:w="4677" w:type="dxa"/>
          </w:tcPr>
          <w:p w:rsidR="0039350C" w:rsidRPr="00B563DD" w:rsidRDefault="0039350C" w:rsidP="001D2CFE">
            <w:pPr>
              <w:spacing w:line="240" w:lineRule="auto"/>
              <w:jc w:val="center"/>
              <w:rPr>
                <w:b/>
                <w:sz w:val="24"/>
                <w:szCs w:val="24"/>
              </w:rPr>
            </w:pPr>
            <w:r w:rsidRPr="00B563DD">
              <w:rPr>
                <w:b/>
                <w:sz w:val="24"/>
                <w:szCs w:val="24"/>
              </w:rPr>
              <w:t>OZE</w:t>
            </w:r>
          </w:p>
        </w:tc>
        <w:tc>
          <w:tcPr>
            <w:tcW w:w="4001" w:type="dxa"/>
          </w:tcPr>
          <w:p w:rsidR="0039350C" w:rsidRPr="00B563DD" w:rsidRDefault="0039350C" w:rsidP="001D2CFE">
            <w:pPr>
              <w:spacing w:line="240" w:lineRule="auto"/>
              <w:jc w:val="center"/>
              <w:rPr>
                <w:b/>
                <w:sz w:val="24"/>
                <w:szCs w:val="24"/>
              </w:rPr>
            </w:pPr>
            <w:r w:rsidRPr="00B563DD">
              <w:rPr>
                <w:b/>
                <w:sz w:val="24"/>
                <w:szCs w:val="24"/>
              </w:rPr>
              <w:t>Lokalizacja</w:t>
            </w:r>
          </w:p>
        </w:tc>
      </w:tr>
      <w:tr w:rsidR="00B563DD" w:rsidRPr="00B563DD" w:rsidTr="0039350C">
        <w:tc>
          <w:tcPr>
            <w:tcW w:w="534" w:type="dxa"/>
          </w:tcPr>
          <w:p w:rsidR="0039350C" w:rsidRPr="00B563DD" w:rsidRDefault="0039350C" w:rsidP="0039350C">
            <w:pPr>
              <w:rPr>
                <w:sz w:val="24"/>
                <w:szCs w:val="24"/>
              </w:rPr>
            </w:pPr>
          </w:p>
          <w:p w:rsidR="0039350C" w:rsidRPr="00B563DD" w:rsidRDefault="0039350C" w:rsidP="0039350C">
            <w:pPr>
              <w:rPr>
                <w:sz w:val="24"/>
                <w:szCs w:val="24"/>
              </w:rPr>
            </w:pPr>
            <w:r w:rsidRPr="00B563DD">
              <w:rPr>
                <w:sz w:val="24"/>
                <w:szCs w:val="24"/>
              </w:rPr>
              <w:t xml:space="preserve">1. </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45 </w:t>
            </w:r>
            <w:proofErr w:type="spellStart"/>
            <w:r w:rsidRPr="00B563DD">
              <w:rPr>
                <w:sz w:val="24"/>
                <w:szCs w:val="24"/>
              </w:rPr>
              <w:t>kpl</w:t>
            </w:r>
            <w:proofErr w:type="spellEnd"/>
            <w:r w:rsidRPr="00B563DD">
              <w:rPr>
                <w:sz w:val="24"/>
                <w:szCs w:val="24"/>
              </w:rPr>
              <w:t xml:space="preserve">. modułów fotowoltaicznych o mocy 250 W każdy, na południowej ścianie  budynku Stacji Uzdatniania Wody w Herbach. </w:t>
            </w:r>
          </w:p>
          <w:p w:rsidR="0039350C" w:rsidRPr="00B563DD" w:rsidRDefault="0039350C" w:rsidP="0039350C">
            <w:pPr>
              <w:spacing w:line="240" w:lineRule="auto"/>
              <w:rPr>
                <w:sz w:val="24"/>
                <w:szCs w:val="24"/>
              </w:rPr>
            </w:pPr>
            <w:r w:rsidRPr="00B563DD">
              <w:rPr>
                <w:sz w:val="24"/>
                <w:szCs w:val="24"/>
              </w:rPr>
              <w:t xml:space="preserve">Moc  instalacji fotowoltaicznej – 11,25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 xml:space="preserve">Wykonano od lipca do września 2014 r. </w:t>
            </w:r>
          </w:p>
          <w:p w:rsidR="0039350C" w:rsidRPr="00B563DD" w:rsidRDefault="0039350C" w:rsidP="0039350C">
            <w:pPr>
              <w:spacing w:line="240" w:lineRule="auto"/>
              <w:rPr>
                <w:sz w:val="24"/>
                <w:szCs w:val="24"/>
              </w:rPr>
            </w:pPr>
            <w:r w:rsidRPr="00B563DD">
              <w:rPr>
                <w:sz w:val="24"/>
                <w:szCs w:val="24"/>
              </w:rPr>
              <w:t>Wartość całkowita zadania: 82.999,83 zł</w:t>
            </w:r>
          </w:p>
        </w:tc>
        <w:tc>
          <w:tcPr>
            <w:tcW w:w="4001" w:type="dxa"/>
          </w:tcPr>
          <w:p w:rsidR="0039350C" w:rsidRPr="00B563DD" w:rsidRDefault="0039350C" w:rsidP="0039350C">
            <w:pPr>
              <w:spacing w:line="240" w:lineRule="auto"/>
              <w:rPr>
                <w:sz w:val="24"/>
                <w:szCs w:val="24"/>
              </w:rPr>
            </w:pPr>
            <w:r w:rsidRPr="00B563DD">
              <w:rPr>
                <w:sz w:val="24"/>
                <w:szCs w:val="24"/>
              </w:rPr>
              <w:t>Stacja Uzdatniania Wody</w:t>
            </w:r>
          </w:p>
          <w:p w:rsidR="0039350C" w:rsidRPr="00B563DD" w:rsidRDefault="0039350C" w:rsidP="0039350C">
            <w:pPr>
              <w:spacing w:line="240" w:lineRule="auto"/>
              <w:rPr>
                <w:sz w:val="24"/>
                <w:szCs w:val="24"/>
              </w:rPr>
            </w:pPr>
            <w:r w:rsidRPr="00B563DD">
              <w:rPr>
                <w:sz w:val="24"/>
                <w:szCs w:val="24"/>
              </w:rPr>
              <w:t>ul. Katowicka, 42-284 Herby</w:t>
            </w:r>
          </w:p>
        </w:tc>
      </w:tr>
      <w:tr w:rsidR="00B563DD" w:rsidRPr="00B563DD" w:rsidTr="0039350C">
        <w:tc>
          <w:tcPr>
            <w:tcW w:w="534" w:type="dxa"/>
          </w:tcPr>
          <w:p w:rsidR="0039350C" w:rsidRPr="00B563DD" w:rsidRDefault="0039350C" w:rsidP="0039350C">
            <w:pPr>
              <w:rPr>
                <w:sz w:val="24"/>
                <w:szCs w:val="24"/>
              </w:rPr>
            </w:pPr>
          </w:p>
          <w:p w:rsidR="0039350C" w:rsidRPr="00B563DD" w:rsidRDefault="0039350C" w:rsidP="0039350C">
            <w:pPr>
              <w:rPr>
                <w:sz w:val="24"/>
                <w:szCs w:val="24"/>
              </w:rPr>
            </w:pPr>
            <w:r w:rsidRPr="00B563DD">
              <w:rPr>
                <w:sz w:val="24"/>
                <w:szCs w:val="24"/>
              </w:rPr>
              <w:t xml:space="preserve">2. </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48 </w:t>
            </w:r>
            <w:proofErr w:type="spellStart"/>
            <w:r w:rsidRPr="00B563DD">
              <w:rPr>
                <w:sz w:val="24"/>
                <w:szCs w:val="24"/>
              </w:rPr>
              <w:t>kpl</w:t>
            </w:r>
            <w:proofErr w:type="spellEnd"/>
            <w:r w:rsidRPr="00B563DD">
              <w:rPr>
                <w:sz w:val="24"/>
                <w:szCs w:val="24"/>
              </w:rPr>
              <w:t>. modułów fotowoltaicznych o mocy 250 W każdy, na elewacji budynku szkoły w Hadrze od strony południowej.</w:t>
            </w:r>
          </w:p>
          <w:p w:rsidR="0039350C" w:rsidRPr="00B563DD" w:rsidRDefault="0039350C" w:rsidP="0039350C">
            <w:pPr>
              <w:spacing w:line="240" w:lineRule="auto"/>
              <w:rPr>
                <w:sz w:val="24"/>
                <w:szCs w:val="24"/>
              </w:rPr>
            </w:pPr>
            <w:r w:rsidRPr="00B563DD">
              <w:rPr>
                <w:sz w:val="24"/>
                <w:szCs w:val="24"/>
              </w:rPr>
              <w:t xml:space="preserve">Moc  instalacji fotowoltaicznej – 12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Okres realizacji maj – lipiec 2015 r.</w:t>
            </w:r>
          </w:p>
          <w:p w:rsidR="0039350C" w:rsidRPr="00B563DD" w:rsidRDefault="0039350C" w:rsidP="0039350C">
            <w:pPr>
              <w:spacing w:line="240" w:lineRule="auto"/>
              <w:rPr>
                <w:sz w:val="24"/>
                <w:szCs w:val="24"/>
              </w:rPr>
            </w:pPr>
            <w:r w:rsidRPr="00B563DD">
              <w:rPr>
                <w:sz w:val="24"/>
                <w:szCs w:val="24"/>
              </w:rPr>
              <w:t>Wartość całkowita zadania: 110.785,46 zł</w:t>
            </w:r>
          </w:p>
        </w:tc>
        <w:tc>
          <w:tcPr>
            <w:tcW w:w="4001" w:type="dxa"/>
          </w:tcPr>
          <w:p w:rsidR="0039350C" w:rsidRPr="00B563DD" w:rsidRDefault="0039350C" w:rsidP="0039350C">
            <w:pPr>
              <w:spacing w:line="240" w:lineRule="auto"/>
              <w:rPr>
                <w:sz w:val="24"/>
                <w:szCs w:val="24"/>
              </w:rPr>
            </w:pPr>
            <w:r w:rsidRPr="00B563DD">
              <w:rPr>
                <w:sz w:val="24"/>
                <w:szCs w:val="24"/>
              </w:rPr>
              <w:t>ZPO</w:t>
            </w:r>
          </w:p>
          <w:p w:rsidR="0039350C" w:rsidRPr="00B563DD" w:rsidRDefault="0039350C" w:rsidP="0039350C">
            <w:pPr>
              <w:spacing w:line="240" w:lineRule="auto"/>
              <w:rPr>
                <w:sz w:val="24"/>
                <w:szCs w:val="24"/>
              </w:rPr>
            </w:pPr>
            <w:r w:rsidRPr="00B563DD">
              <w:rPr>
                <w:sz w:val="24"/>
                <w:szCs w:val="24"/>
              </w:rPr>
              <w:t>ul. Szkolna 29,  42-714 Hadra</w:t>
            </w:r>
          </w:p>
        </w:tc>
      </w:tr>
      <w:tr w:rsidR="00B563DD"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 xml:space="preserve">3. </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36 </w:t>
            </w:r>
            <w:proofErr w:type="spellStart"/>
            <w:r w:rsidRPr="00B563DD">
              <w:rPr>
                <w:sz w:val="24"/>
                <w:szCs w:val="24"/>
              </w:rPr>
              <w:t>kpl</w:t>
            </w:r>
            <w:proofErr w:type="spellEnd"/>
            <w:r w:rsidRPr="00B563DD">
              <w:rPr>
                <w:sz w:val="24"/>
                <w:szCs w:val="24"/>
              </w:rPr>
              <w:t>. modułów fotowoltaicznych o mocy 255 W każdy, na dachu budynku oczyszczalni ścieków w Lisowie.</w:t>
            </w:r>
          </w:p>
          <w:p w:rsidR="0039350C" w:rsidRPr="00B563DD" w:rsidRDefault="0039350C" w:rsidP="0039350C">
            <w:pPr>
              <w:spacing w:line="240" w:lineRule="auto"/>
              <w:rPr>
                <w:sz w:val="24"/>
                <w:szCs w:val="24"/>
              </w:rPr>
            </w:pPr>
            <w:r w:rsidRPr="00B563DD">
              <w:rPr>
                <w:sz w:val="24"/>
                <w:szCs w:val="24"/>
              </w:rPr>
              <w:t xml:space="preserve">Moc  instalacji fotowoltaicznej – 9,18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Okres realizacji lipiec – sierpień 2015 r.</w:t>
            </w:r>
          </w:p>
          <w:p w:rsidR="0039350C" w:rsidRPr="00B563DD" w:rsidRDefault="0039350C" w:rsidP="0039350C">
            <w:pPr>
              <w:spacing w:line="240" w:lineRule="auto"/>
              <w:rPr>
                <w:sz w:val="24"/>
                <w:szCs w:val="24"/>
              </w:rPr>
            </w:pPr>
            <w:r w:rsidRPr="00B563DD">
              <w:rPr>
                <w:sz w:val="24"/>
                <w:szCs w:val="24"/>
              </w:rPr>
              <w:t>Wartość całkowita zadania:  54.453,91 zł</w:t>
            </w:r>
          </w:p>
        </w:tc>
        <w:tc>
          <w:tcPr>
            <w:tcW w:w="4001" w:type="dxa"/>
          </w:tcPr>
          <w:p w:rsidR="0039350C" w:rsidRPr="00B563DD" w:rsidRDefault="0039350C" w:rsidP="0039350C">
            <w:pPr>
              <w:spacing w:line="240" w:lineRule="auto"/>
              <w:rPr>
                <w:sz w:val="24"/>
                <w:szCs w:val="24"/>
              </w:rPr>
            </w:pPr>
            <w:r w:rsidRPr="00B563DD">
              <w:rPr>
                <w:sz w:val="24"/>
                <w:szCs w:val="24"/>
              </w:rPr>
              <w:t>Oczyszczalnia ścieków w Lisowie</w:t>
            </w:r>
          </w:p>
          <w:p w:rsidR="0039350C" w:rsidRPr="00B563DD" w:rsidRDefault="0039350C" w:rsidP="0039350C">
            <w:pPr>
              <w:spacing w:line="240" w:lineRule="auto"/>
              <w:rPr>
                <w:sz w:val="24"/>
                <w:szCs w:val="24"/>
              </w:rPr>
            </w:pPr>
            <w:r w:rsidRPr="00B563DD">
              <w:rPr>
                <w:sz w:val="24"/>
                <w:szCs w:val="24"/>
              </w:rPr>
              <w:t>ul. Leśna,  42-714 Lisów</w:t>
            </w:r>
          </w:p>
        </w:tc>
      </w:tr>
      <w:tr w:rsidR="00B563DD"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4.</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48 </w:t>
            </w:r>
            <w:proofErr w:type="spellStart"/>
            <w:r w:rsidRPr="00B563DD">
              <w:rPr>
                <w:sz w:val="24"/>
                <w:szCs w:val="24"/>
              </w:rPr>
              <w:t>kpl</w:t>
            </w:r>
            <w:proofErr w:type="spellEnd"/>
            <w:r w:rsidRPr="00B563DD">
              <w:rPr>
                <w:sz w:val="24"/>
                <w:szCs w:val="24"/>
              </w:rPr>
              <w:t>. modułów fotowoltaicznych o mocy 255 W każdy, na ziemi na ujęciu wody w Lisowie.</w:t>
            </w:r>
          </w:p>
          <w:p w:rsidR="0039350C" w:rsidRPr="00B563DD" w:rsidRDefault="0039350C" w:rsidP="0039350C">
            <w:pPr>
              <w:spacing w:line="240" w:lineRule="auto"/>
              <w:rPr>
                <w:sz w:val="24"/>
                <w:szCs w:val="24"/>
              </w:rPr>
            </w:pPr>
            <w:r w:rsidRPr="00B563DD">
              <w:rPr>
                <w:sz w:val="24"/>
                <w:szCs w:val="24"/>
              </w:rPr>
              <w:t xml:space="preserve">Moc  instalacji fotowoltaicznej – 12,24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Okres realizacji lipiec – sierpień 2015 r.</w:t>
            </w:r>
          </w:p>
          <w:p w:rsidR="0039350C" w:rsidRPr="00B563DD" w:rsidRDefault="0039350C" w:rsidP="0039350C">
            <w:pPr>
              <w:spacing w:line="240" w:lineRule="auto"/>
              <w:rPr>
                <w:sz w:val="24"/>
                <w:szCs w:val="24"/>
              </w:rPr>
            </w:pPr>
            <w:r w:rsidRPr="00B563DD">
              <w:rPr>
                <w:sz w:val="24"/>
                <w:szCs w:val="24"/>
              </w:rPr>
              <w:t>Wartość całkowita zadania: 77.059,97 zł</w:t>
            </w:r>
          </w:p>
        </w:tc>
        <w:tc>
          <w:tcPr>
            <w:tcW w:w="4001" w:type="dxa"/>
          </w:tcPr>
          <w:p w:rsidR="0039350C" w:rsidRPr="00B563DD" w:rsidRDefault="0039350C" w:rsidP="0039350C">
            <w:pPr>
              <w:spacing w:line="240" w:lineRule="auto"/>
              <w:rPr>
                <w:sz w:val="24"/>
                <w:szCs w:val="24"/>
              </w:rPr>
            </w:pPr>
            <w:r w:rsidRPr="00B563DD">
              <w:rPr>
                <w:sz w:val="24"/>
                <w:szCs w:val="24"/>
              </w:rPr>
              <w:t>Ujęcie wody w Lisowie</w:t>
            </w:r>
          </w:p>
          <w:p w:rsidR="0039350C" w:rsidRPr="00B563DD" w:rsidRDefault="0039350C" w:rsidP="0039350C">
            <w:pPr>
              <w:spacing w:line="240" w:lineRule="auto"/>
              <w:rPr>
                <w:sz w:val="24"/>
                <w:szCs w:val="24"/>
              </w:rPr>
            </w:pPr>
            <w:r w:rsidRPr="00B563DD">
              <w:rPr>
                <w:sz w:val="24"/>
                <w:szCs w:val="24"/>
              </w:rPr>
              <w:t>ul. Szkolna,  42-714 Lisów</w:t>
            </w:r>
          </w:p>
        </w:tc>
      </w:tr>
      <w:tr w:rsidR="00B563DD"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5.</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45 </w:t>
            </w:r>
            <w:proofErr w:type="spellStart"/>
            <w:r w:rsidRPr="00B563DD">
              <w:rPr>
                <w:sz w:val="24"/>
                <w:szCs w:val="24"/>
              </w:rPr>
              <w:t>kpl</w:t>
            </w:r>
            <w:proofErr w:type="spellEnd"/>
            <w:r w:rsidRPr="00B563DD">
              <w:rPr>
                <w:sz w:val="24"/>
                <w:szCs w:val="24"/>
              </w:rPr>
              <w:t xml:space="preserve">. modułów fotowoltaicznych o mocy 250 W każdy, na południowej ścianie  budynku Stacji Uzdatniania Wody w Herbach – II etap. </w:t>
            </w:r>
          </w:p>
          <w:p w:rsidR="0039350C" w:rsidRPr="00B563DD" w:rsidRDefault="0039350C" w:rsidP="0039350C">
            <w:pPr>
              <w:spacing w:line="240" w:lineRule="auto"/>
              <w:rPr>
                <w:sz w:val="24"/>
                <w:szCs w:val="24"/>
              </w:rPr>
            </w:pPr>
            <w:r w:rsidRPr="00B563DD">
              <w:rPr>
                <w:sz w:val="24"/>
                <w:szCs w:val="24"/>
              </w:rPr>
              <w:lastRenderedPageBreak/>
              <w:t xml:space="preserve">Moc  instalacji fotowoltaicznej – 11,25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 xml:space="preserve">Okres realizacji sierpień - wrzesień 2015 r. </w:t>
            </w:r>
          </w:p>
          <w:p w:rsidR="0039350C" w:rsidRPr="00B563DD" w:rsidRDefault="0039350C" w:rsidP="0039350C">
            <w:pPr>
              <w:spacing w:line="240" w:lineRule="auto"/>
              <w:rPr>
                <w:sz w:val="24"/>
                <w:szCs w:val="24"/>
              </w:rPr>
            </w:pPr>
            <w:r w:rsidRPr="00B563DD">
              <w:rPr>
                <w:sz w:val="24"/>
                <w:szCs w:val="24"/>
              </w:rPr>
              <w:t xml:space="preserve">Wartość całkowita zadania: 69 828,00 zł </w:t>
            </w:r>
          </w:p>
        </w:tc>
        <w:tc>
          <w:tcPr>
            <w:tcW w:w="4001" w:type="dxa"/>
          </w:tcPr>
          <w:p w:rsidR="0039350C" w:rsidRPr="00B563DD" w:rsidRDefault="0039350C" w:rsidP="0039350C">
            <w:pPr>
              <w:spacing w:line="240" w:lineRule="auto"/>
              <w:rPr>
                <w:sz w:val="24"/>
                <w:szCs w:val="24"/>
              </w:rPr>
            </w:pPr>
            <w:r w:rsidRPr="00B563DD">
              <w:rPr>
                <w:sz w:val="24"/>
                <w:szCs w:val="24"/>
              </w:rPr>
              <w:lastRenderedPageBreak/>
              <w:t>Stacja Uzdatniania Wody</w:t>
            </w:r>
          </w:p>
          <w:p w:rsidR="0039350C" w:rsidRPr="00B563DD" w:rsidRDefault="0039350C" w:rsidP="0039350C">
            <w:pPr>
              <w:spacing w:line="240" w:lineRule="auto"/>
              <w:rPr>
                <w:sz w:val="24"/>
                <w:szCs w:val="24"/>
              </w:rPr>
            </w:pPr>
            <w:r w:rsidRPr="00B563DD">
              <w:rPr>
                <w:sz w:val="24"/>
                <w:szCs w:val="24"/>
              </w:rPr>
              <w:t>42-284 Herby, ul. Katowicka</w:t>
            </w:r>
          </w:p>
        </w:tc>
      </w:tr>
      <w:tr w:rsidR="00B563DD"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 xml:space="preserve">6. </w:t>
            </w:r>
          </w:p>
        </w:tc>
        <w:tc>
          <w:tcPr>
            <w:tcW w:w="4677" w:type="dxa"/>
          </w:tcPr>
          <w:p w:rsidR="0039350C" w:rsidRPr="00B563DD" w:rsidRDefault="0039350C" w:rsidP="0039350C">
            <w:pPr>
              <w:spacing w:line="240" w:lineRule="auto"/>
              <w:rPr>
                <w:sz w:val="24"/>
                <w:szCs w:val="24"/>
              </w:rPr>
            </w:pPr>
            <w:r w:rsidRPr="00B563DD">
              <w:rPr>
                <w:sz w:val="24"/>
                <w:szCs w:val="24"/>
              </w:rPr>
              <w:t xml:space="preserve">Zabudowa 160 </w:t>
            </w:r>
            <w:proofErr w:type="spellStart"/>
            <w:r w:rsidRPr="00B563DD">
              <w:rPr>
                <w:sz w:val="24"/>
                <w:szCs w:val="24"/>
              </w:rPr>
              <w:t>kpl</w:t>
            </w:r>
            <w:proofErr w:type="spellEnd"/>
            <w:r w:rsidRPr="00B563DD">
              <w:rPr>
                <w:sz w:val="24"/>
                <w:szCs w:val="24"/>
              </w:rPr>
              <w:t>. modułów fotowoltaicznych o mocy 250 W każdy, na terenie nieutwardzonym w północnej części oczyszczalni ścieków w Herbach.</w:t>
            </w:r>
          </w:p>
          <w:p w:rsidR="0039350C" w:rsidRPr="00B563DD" w:rsidRDefault="0039350C" w:rsidP="0039350C">
            <w:pPr>
              <w:spacing w:line="240" w:lineRule="auto"/>
              <w:rPr>
                <w:sz w:val="24"/>
                <w:szCs w:val="24"/>
              </w:rPr>
            </w:pPr>
            <w:r w:rsidRPr="00B563DD">
              <w:rPr>
                <w:sz w:val="24"/>
                <w:szCs w:val="24"/>
              </w:rPr>
              <w:t xml:space="preserve">Moc  instalacji fotowoltaicznej – 40 </w:t>
            </w:r>
            <w:proofErr w:type="spellStart"/>
            <w:r w:rsidRPr="00B563DD">
              <w:rPr>
                <w:sz w:val="24"/>
                <w:szCs w:val="24"/>
              </w:rPr>
              <w:t>kW</w:t>
            </w:r>
            <w:proofErr w:type="spellEnd"/>
            <w:r w:rsidRPr="00B563DD">
              <w:rPr>
                <w:sz w:val="24"/>
                <w:szCs w:val="24"/>
              </w:rPr>
              <w:t>.</w:t>
            </w:r>
          </w:p>
          <w:p w:rsidR="0039350C" w:rsidRPr="00B563DD" w:rsidRDefault="0039350C" w:rsidP="0039350C">
            <w:pPr>
              <w:spacing w:line="240" w:lineRule="auto"/>
              <w:rPr>
                <w:sz w:val="24"/>
                <w:szCs w:val="24"/>
              </w:rPr>
            </w:pPr>
            <w:r w:rsidRPr="00B563DD">
              <w:rPr>
                <w:sz w:val="24"/>
                <w:szCs w:val="24"/>
              </w:rPr>
              <w:t xml:space="preserve">Okres realizacji wrzesień - październik 2015 r. </w:t>
            </w:r>
          </w:p>
          <w:p w:rsidR="0039350C" w:rsidRPr="00B563DD" w:rsidRDefault="0039350C" w:rsidP="0039350C">
            <w:pPr>
              <w:spacing w:line="240" w:lineRule="auto"/>
              <w:rPr>
                <w:sz w:val="24"/>
                <w:szCs w:val="24"/>
              </w:rPr>
            </w:pPr>
            <w:r w:rsidRPr="00B563DD">
              <w:rPr>
                <w:sz w:val="24"/>
                <w:szCs w:val="24"/>
              </w:rPr>
              <w:t xml:space="preserve">Wykonawca – firma Martel </w:t>
            </w:r>
            <w:proofErr w:type="spellStart"/>
            <w:r w:rsidRPr="00B563DD">
              <w:rPr>
                <w:sz w:val="24"/>
                <w:szCs w:val="24"/>
              </w:rPr>
              <w:t>Slovakia</w:t>
            </w:r>
            <w:proofErr w:type="spellEnd"/>
            <w:r w:rsidRPr="00B563DD">
              <w:rPr>
                <w:sz w:val="24"/>
                <w:szCs w:val="24"/>
              </w:rPr>
              <w:t xml:space="preserve"> ze Słowacji</w:t>
            </w:r>
          </w:p>
          <w:p w:rsidR="0039350C" w:rsidRPr="00B563DD" w:rsidRDefault="0039350C" w:rsidP="0039350C">
            <w:pPr>
              <w:spacing w:line="240" w:lineRule="auto"/>
              <w:rPr>
                <w:sz w:val="24"/>
                <w:szCs w:val="24"/>
              </w:rPr>
            </w:pPr>
            <w:r w:rsidRPr="00B563DD">
              <w:rPr>
                <w:sz w:val="24"/>
                <w:szCs w:val="24"/>
              </w:rPr>
              <w:t>Wartość całkowita zadania: 201.458,96 zł</w:t>
            </w:r>
          </w:p>
        </w:tc>
        <w:tc>
          <w:tcPr>
            <w:tcW w:w="4001" w:type="dxa"/>
          </w:tcPr>
          <w:p w:rsidR="0039350C" w:rsidRPr="00B563DD" w:rsidRDefault="0039350C" w:rsidP="0039350C">
            <w:pPr>
              <w:spacing w:line="240" w:lineRule="auto"/>
              <w:rPr>
                <w:sz w:val="24"/>
                <w:szCs w:val="24"/>
              </w:rPr>
            </w:pPr>
            <w:r w:rsidRPr="00B563DD">
              <w:rPr>
                <w:sz w:val="24"/>
                <w:szCs w:val="24"/>
              </w:rPr>
              <w:t>Oczyszczalnia ścieków w Herbach</w:t>
            </w:r>
          </w:p>
          <w:p w:rsidR="0039350C" w:rsidRPr="00B563DD" w:rsidRDefault="0039350C" w:rsidP="0039350C">
            <w:pPr>
              <w:spacing w:line="240" w:lineRule="auto"/>
              <w:rPr>
                <w:sz w:val="24"/>
                <w:szCs w:val="24"/>
              </w:rPr>
            </w:pPr>
            <w:r w:rsidRPr="00B563DD">
              <w:rPr>
                <w:sz w:val="24"/>
                <w:szCs w:val="24"/>
              </w:rPr>
              <w:t>ul. Orzeszkowej,  42-284 Herby</w:t>
            </w:r>
          </w:p>
        </w:tc>
      </w:tr>
      <w:tr w:rsidR="00B563DD"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7.</w:t>
            </w:r>
          </w:p>
        </w:tc>
        <w:tc>
          <w:tcPr>
            <w:tcW w:w="4677" w:type="dxa"/>
          </w:tcPr>
          <w:p w:rsidR="0039350C" w:rsidRPr="00B563DD" w:rsidRDefault="0039350C" w:rsidP="0039350C">
            <w:pPr>
              <w:spacing w:line="240" w:lineRule="auto"/>
              <w:rPr>
                <w:sz w:val="24"/>
                <w:szCs w:val="24"/>
              </w:rPr>
            </w:pPr>
            <w:r w:rsidRPr="00B563DD">
              <w:rPr>
                <w:sz w:val="24"/>
                <w:szCs w:val="24"/>
              </w:rPr>
              <w:t>Zabudowa instalacji fotowoltaicznej na ujęciu wody w Herbach, studnia nr 6.</w:t>
            </w:r>
          </w:p>
          <w:p w:rsidR="0039350C" w:rsidRPr="00B563DD" w:rsidRDefault="0039350C" w:rsidP="0039350C">
            <w:pPr>
              <w:spacing w:line="240" w:lineRule="auto"/>
              <w:rPr>
                <w:sz w:val="24"/>
                <w:szCs w:val="24"/>
              </w:rPr>
            </w:pPr>
            <w:r w:rsidRPr="00B563DD">
              <w:rPr>
                <w:sz w:val="24"/>
                <w:szCs w:val="24"/>
              </w:rPr>
              <w:t xml:space="preserve">Zabudowa 48 szt. paneli fotowoltaicznych o mocy 255 W każdy. </w:t>
            </w:r>
          </w:p>
          <w:p w:rsidR="0039350C" w:rsidRPr="00B563DD" w:rsidRDefault="0039350C" w:rsidP="0039350C">
            <w:pPr>
              <w:spacing w:line="240" w:lineRule="auto"/>
              <w:rPr>
                <w:sz w:val="24"/>
                <w:szCs w:val="24"/>
              </w:rPr>
            </w:pPr>
            <w:r w:rsidRPr="00B563DD">
              <w:rPr>
                <w:sz w:val="24"/>
                <w:szCs w:val="24"/>
              </w:rPr>
              <w:t xml:space="preserve">Moc instalacji fotowoltaicznej – 12,24 </w:t>
            </w:r>
            <w:proofErr w:type="spellStart"/>
            <w:r w:rsidRPr="00B563DD">
              <w:rPr>
                <w:sz w:val="24"/>
                <w:szCs w:val="24"/>
              </w:rPr>
              <w:t>kW</w:t>
            </w:r>
            <w:proofErr w:type="spellEnd"/>
          </w:p>
          <w:p w:rsidR="0039350C" w:rsidRPr="00B563DD" w:rsidRDefault="0039350C" w:rsidP="0039350C">
            <w:pPr>
              <w:spacing w:line="240" w:lineRule="auto"/>
              <w:rPr>
                <w:sz w:val="24"/>
                <w:szCs w:val="24"/>
              </w:rPr>
            </w:pPr>
            <w:r w:rsidRPr="00B563DD">
              <w:rPr>
                <w:sz w:val="24"/>
                <w:szCs w:val="24"/>
              </w:rPr>
              <w:t>Okres realizacji wrzesień – październik 2015r.</w:t>
            </w:r>
          </w:p>
          <w:p w:rsidR="0039350C" w:rsidRPr="00B563DD" w:rsidRDefault="0039350C" w:rsidP="0039350C">
            <w:pPr>
              <w:spacing w:line="240" w:lineRule="auto"/>
              <w:rPr>
                <w:sz w:val="24"/>
                <w:szCs w:val="24"/>
              </w:rPr>
            </w:pPr>
            <w:r w:rsidRPr="00B563DD">
              <w:rPr>
                <w:sz w:val="24"/>
                <w:szCs w:val="24"/>
              </w:rPr>
              <w:t>Wartość całkowita zadania: 77.059,97 zł</w:t>
            </w:r>
          </w:p>
        </w:tc>
        <w:tc>
          <w:tcPr>
            <w:tcW w:w="4001" w:type="dxa"/>
          </w:tcPr>
          <w:p w:rsidR="0039350C" w:rsidRPr="00B563DD" w:rsidRDefault="0039350C" w:rsidP="0039350C">
            <w:pPr>
              <w:spacing w:line="240" w:lineRule="auto"/>
              <w:rPr>
                <w:sz w:val="24"/>
                <w:szCs w:val="24"/>
              </w:rPr>
            </w:pPr>
            <w:r w:rsidRPr="00B563DD">
              <w:rPr>
                <w:sz w:val="24"/>
                <w:szCs w:val="24"/>
              </w:rPr>
              <w:t>Ujęcie wody w Herbach, studnia nr 6</w:t>
            </w:r>
          </w:p>
          <w:p w:rsidR="0039350C" w:rsidRPr="00B563DD" w:rsidRDefault="0039350C" w:rsidP="0039350C">
            <w:pPr>
              <w:spacing w:line="240" w:lineRule="auto"/>
              <w:rPr>
                <w:sz w:val="24"/>
                <w:szCs w:val="24"/>
              </w:rPr>
            </w:pPr>
            <w:r w:rsidRPr="00B563DD">
              <w:rPr>
                <w:sz w:val="24"/>
                <w:szCs w:val="24"/>
              </w:rPr>
              <w:t>ul. Powstańców Śl.,  42-284 Herby</w:t>
            </w:r>
          </w:p>
        </w:tc>
      </w:tr>
      <w:tr w:rsidR="0039350C" w:rsidRPr="00B563DD" w:rsidTr="0039350C">
        <w:tc>
          <w:tcPr>
            <w:tcW w:w="534" w:type="dxa"/>
          </w:tcPr>
          <w:p w:rsidR="0039350C" w:rsidRPr="00B563DD" w:rsidRDefault="0039350C" w:rsidP="0039350C">
            <w:pPr>
              <w:jc w:val="center"/>
              <w:rPr>
                <w:sz w:val="24"/>
                <w:szCs w:val="24"/>
              </w:rPr>
            </w:pPr>
          </w:p>
          <w:p w:rsidR="0039350C" w:rsidRPr="00B563DD" w:rsidRDefault="0039350C" w:rsidP="0039350C">
            <w:pPr>
              <w:jc w:val="center"/>
              <w:rPr>
                <w:sz w:val="24"/>
                <w:szCs w:val="24"/>
              </w:rPr>
            </w:pPr>
            <w:r w:rsidRPr="00B563DD">
              <w:rPr>
                <w:sz w:val="24"/>
                <w:szCs w:val="24"/>
              </w:rPr>
              <w:t>8.</w:t>
            </w:r>
          </w:p>
        </w:tc>
        <w:tc>
          <w:tcPr>
            <w:tcW w:w="4677" w:type="dxa"/>
          </w:tcPr>
          <w:p w:rsidR="0039350C" w:rsidRPr="00B563DD" w:rsidRDefault="0039350C" w:rsidP="0039350C">
            <w:pPr>
              <w:spacing w:line="240" w:lineRule="auto"/>
              <w:rPr>
                <w:sz w:val="24"/>
                <w:szCs w:val="24"/>
              </w:rPr>
            </w:pPr>
            <w:r w:rsidRPr="00B563DD">
              <w:rPr>
                <w:sz w:val="24"/>
                <w:szCs w:val="24"/>
              </w:rPr>
              <w:t>Zabudowa instalacji fotowoltaicznej do zasilania pływalni w Herbach.</w:t>
            </w:r>
          </w:p>
          <w:p w:rsidR="0039350C" w:rsidRPr="00B563DD" w:rsidRDefault="0039350C" w:rsidP="0039350C">
            <w:pPr>
              <w:spacing w:line="240" w:lineRule="auto"/>
              <w:rPr>
                <w:sz w:val="24"/>
                <w:szCs w:val="24"/>
              </w:rPr>
            </w:pPr>
            <w:r w:rsidRPr="00B563DD">
              <w:rPr>
                <w:sz w:val="24"/>
                <w:szCs w:val="24"/>
              </w:rPr>
              <w:t xml:space="preserve">Zabudowa 74 szt. paneli fotowoltaicznych o mocy 250 W każdy. </w:t>
            </w:r>
          </w:p>
          <w:p w:rsidR="0039350C" w:rsidRPr="00B563DD" w:rsidRDefault="0039350C" w:rsidP="0039350C">
            <w:pPr>
              <w:spacing w:line="240" w:lineRule="auto"/>
              <w:rPr>
                <w:sz w:val="24"/>
                <w:szCs w:val="24"/>
              </w:rPr>
            </w:pPr>
            <w:r w:rsidRPr="00B563DD">
              <w:rPr>
                <w:sz w:val="24"/>
                <w:szCs w:val="24"/>
              </w:rPr>
              <w:t xml:space="preserve">Moc instalacji fotowoltaicznej – 18,5 </w:t>
            </w:r>
            <w:proofErr w:type="spellStart"/>
            <w:r w:rsidRPr="00B563DD">
              <w:rPr>
                <w:sz w:val="24"/>
                <w:szCs w:val="24"/>
              </w:rPr>
              <w:t>kW</w:t>
            </w:r>
            <w:proofErr w:type="spellEnd"/>
          </w:p>
          <w:p w:rsidR="0039350C" w:rsidRPr="00B563DD" w:rsidRDefault="0039350C" w:rsidP="0039350C">
            <w:pPr>
              <w:spacing w:line="240" w:lineRule="auto"/>
              <w:rPr>
                <w:sz w:val="24"/>
                <w:szCs w:val="24"/>
              </w:rPr>
            </w:pPr>
            <w:r w:rsidRPr="00B563DD">
              <w:rPr>
                <w:sz w:val="24"/>
                <w:szCs w:val="24"/>
              </w:rPr>
              <w:t>Okres realizacji wrzesień – październik 2015r.</w:t>
            </w:r>
          </w:p>
          <w:p w:rsidR="0039350C" w:rsidRPr="00B563DD" w:rsidRDefault="0039350C" w:rsidP="0039350C">
            <w:pPr>
              <w:spacing w:line="240" w:lineRule="auto"/>
              <w:rPr>
                <w:sz w:val="24"/>
                <w:szCs w:val="24"/>
              </w:rPr>
            </w:pPr>
            <w:r w:rsidRPr="00B563DD">
              <w:rPr>
                <w:sz w:val="24"/>
                <w:szCs w:val="24"/>
              </w:rPr>
              <w:t>Wartość całkowita zadania: 115.705,22 zł</w:t>
            </w:r>
          </w:p>
        </w:tc>
        <w:tc>
          <w:tcPr>
            <w:tcW w:w="4001" w:type="dxa"/>
          </w:tcPr>
          <w:p w:rsidR="0039350C" w:rsidRPr="00B563DD" w:rsidRDefault="0039350C" w:rsidP="0039350C">
            <w:pPr>
              <w:spacing w:line="240" w:lineRule="auto"/>
              <w:rPr>
                <w:sz w:val="24"/>
                <w:szCs w:val="24"/>
              </w:rPr>
            </w:pPr>
            <w:r w:rsidRPr="00B563DD">
              <w:rPr>
                <w:sz w:val="24"/>
                <w:szCs w:val="24"/>
              </w:rPr>
              <w:t xml:space="preserve">Kryta pływalnia </w:t>
            </w:r>
          </w:p>
          <w:p w:rsidR="0039350C" w:rsidRPr="00B563DD" w:rsidRDefault="0039350C" w:rsidP="0039350C">
            <w:pPr>
              <w:spacing w:line="240" w:lineRule="auto"/>
              <w:rPr>
                <w:sz w:val="24"/>
                <w:szCs w:val="24"/>
              </w:rPr>
            </w:pPr>
            <w:r w:rsidRPr="00B563DD">
              <w:rPr>
                <w:sz w:val="24"/>
                <w:szCs w:val="24"/>
              </w:rPr>
              <w:t>ul. Katowicka 6,  42-284 Herby</w:t>
            </w:r>
          </w:p>
        </w:tc>
      </w:tr>
    </w:tbl>
    <w:p w:rsidR="00B641E3" w:rsidRPr="00B563DD" w:rsidRDefault="00B641E3" w:rsidP="00B641E3">
      <w:pPr>
        <w:spacing w:line="240" w:lineRule="auto"/>
        <w:rPr>
          <w:sz w:val="16"/>
          <w:szCs w:val="16"/>
        </w:rPr>
      </w:pPr>
    </w:p>
    <w:p w:rsidR="00BF120D" w:rsidRPr="00B563DD" w:rsidRDefault="00B641E3" w:rsidP="00BF120D">
      <w:r w:rsidRPr="00B563DD">
        <w:t>Łącznie w 2014 i 2015 r. Gmina Herby zabudowała 504 komplety modułów fotowoltaicznych.</w:t>
      </w:r>
    </w:p>
    <w:p w:rsidR="00B641E3" w:rsidRPr="00B641E3" w:rsidRDefault="00B641E3" w:rsidP="00BF120D">
      <w:pPr>
        <w:rPr>
          <w:color w:val="FF0000"/>
          <w:sz w:val="8"/>
          <w:szCs w:val="8"/>
        </w:rPr>
      </w:pPr>
    </w:p>
    <w:p w:rsidR="00BF120D" w:rsidRDefault="00A62609" w:rsidP="002002A7">
      <w:pPr>
        <w:pStyle w:val="Nagwek3"/>
        <w:numPr>
          <w:ilvl w:val="2"/>
          <w:numId w:val="1"/>
        </w:numPr>
        <w:spacing w:before="240" w:after="120"/>
      </w:pPr>
      <w:bookmarkStart w:id="115" w:name="_Toc429391270"/>
      <w:bookmarkStart w:id="116" w:name="_Toc438118404"/>
      <w:r>
        <w:t>Działania edukacyjne – promocja gospodarki niskoemisyjnej</w:t>
      </w:r>
      <w:bookmarkEnd w:id="115"/>
      <w:bookmarkEnd w:id="116"/>
    </w:p>
    <w:p w:rsidR="00BF120D" w:rsidRDefault="00BF120D" w:rsidP="00BF120D"/>
    <w:p w:rsidR="00BF120D" w:rsidRDefault="00BF120D" w:rsidP="00BF120D">
      <w:r>
        <w:t xml:space="preserve">Działania informacyjno-promocyjne realizowane w zakresie gospodarki niskoemisyjnej będą miały na celu upowszechnienie informacji wśród mieszkańców gminy w zakresie planowanych kierunków działań, możliwości i rezultatów wdrożenia Planu Gospodarki Niskoemisyjnej. Profity wynikające z prowadzenia działań edukacyjnych wpływają na stan środowiska naturalnego. Wiedza ta nabiera szczególnego znaczenia w przypadku przedsiębiorców, których działalność gospodarcza może znacząco wpływać na poziom emisji. Zwiększenie świadomości w zakresie oszczędnego gospodarowania energią, wspieranie działań zwiększających efektywność energetyczną oraz angażowanie sektora prywatnego w tym zakresie przyniesie korzyści oddziałujące na całą społeczność. </w:t>
      </w:r>
    </w:p>
    <w:p w:rsidR="001C546E" w:rsidRDefault="000117A8" w:rsidP="001C546E">
      <w:pPr>
        <w:pStyle w:val="Nagwek2"/>
        <w:numPr>
          <w:ilvl w:val="1"/>
          <w:numId w:val="1"/>
        </w:numPr>
      </w:pPr>
      <w:bookmarkStart w:id="117" w:name="_Toc438118405"/>
      <w:r>
        <w:lastRenderedPageBreak/>
        <w:t xml:space="preserve"> </w:t>
      </w:r>
      <w:r w:rsidR="001C546E">
        <w:t>Harmonogram realizacji</w:t>
      </w:r>
      <w:bookmarkEnd w:id="117"/>
    </w:p>
    <w:p w:rsidR="001C546E" w:rsidRPr="001C546E" w:rsidRDefault="001C546E" w:rsidP="001C546E"/>
    <w:p w:rsidR="001563AD" w:rsidRDefault="001563AD" w:rsidP="001563AD">
      <w:r w:rsidRPr="001563AD">
        <w:t>W poniższej tabeli przedstawiono harmonogram-rzeczowo finansowy działań, wskazuj</w:t>
      </w:r>
      <w:r>
        <w:t xml:space="preserve">ąc odpowiednią realizację, skalę </w:t>
      </w:r>
      <w:r w:rsidRPr="001563AD">
        <w:t xml:space="preserve">prac, orientacyjne koszty oraz możliwe źródła finansowania. Poniższy harmonogram rzeczowo-finansowy stanowi listę zadań gminy, która nie jest zamknięta i którą należy aktualizować w trakcji realizacji Planu, tak aby w perspektywie kolejnych lat </w:t>
      </w:r>
      <w:r>
        <w:t xml:space="preserve">gmina Herby </w:t>
      </w:r>
      <w:r w:rsidRPr="001563AD">
        <w:t>mogła odpowiadać na potrzeby  mieszkańców</w:t>
      </w:r>
      <w:r>
        <w:t xml:space="preserve">. </w:t>
      </w:r>
    </w:p>
    <w:tbl>
      <w:tblPr>
        <w:tblW w:w="5394" w:type="pct"/>
        <w:tblBorders>
          <w:top w:val="single" w:sz="8" w:space="0" w:color="4F81BD"/>
          <w:left w:val="single" w:sz="8" w:space="0" w:color="4F81BD"/>
          <w:bottom w:val="single" w:sz="8" w:space="0" w:color="4F81BD"/>
          <w:right w:val="single" w:sz="8" w:space="0" w:color="4F81BD"/>
          <w:insideV w:val="single" w:sz="8" w:space="0" w:color="4F81BD"/>
        </w:tblBorders>
        <w:tblLook w:val="04A0"/>
      </w:tblPr>
      <w:tblGrid>
        <w:gridCol w:w="5495"/>
        <w:gridCol w:w="4525"/>
      </w:tblGrid>
      <w:tr w:rsidR="00902FA1" w:rsidRPr="00CF5CB2" w:rsidTr="00FA5D8A">
        <w:tc>
          <w:tcPr>
            <w:tcW w:w="2742" w:type="pct"/>
            <w:shd w:val="clear" w:color="auto" w:fill="DBE5F1"/>
            <w:noWrap/>
          </w:tcPr>
          <w:p w:rsidR="00902FA1" w:rsidRPr="00CF5CB2" w:rsidRDefault="00902FA1" w:rsidP="00FA5D8A">
            <w:pPr>
              <w:spacing w:after="0"/>
              <w:rPr>
                <w:rFonts w:eastAsia="Times New Roman"/>
                <w:szCs w:val="24"/>
              </w:rPr>
            </w:pPr>
            <w:r w:rsidRPr="00CF5CB2">
              <w:rPr>
                <w:rFonts w:eastAsia="Times New Roman"/>
                <w:szCs w:val="24"/>
              </w:rPr>
              <w:t>Nazwa projektu</w:t>
            </w:r>
          </w:p>
        </w:tc>
        <w:tc>
          <w:tcPr>
            <w:tcW w:w="2258" w:type="pct"/>
            <w:shd w:val="clear" w:color="auto" w:fill="DBE5F1"/>
          </w:tcPr>
          <w:p w:rsidR="00902FA1" w:rsidRPr="00CF5CB2" w:rsidRDefault="00902FA1" w:rsidP="00FA5D8A">
            <w:pPr>
              <w:spacing w:after="0" w:line="276" w:lineRule="auto"/>
              <w:rPr>
                <w:rFonts w:eastAsia="Times New Roman"/>
                <w:szCs w:val="24"/>
              </w:rPr>
            </w:pPr>
            <w:r w:rsidRPr="00CF5CB2">
              <w:rPr>
                <w:rFonts w:eastAsia="Times New Roman"/>
                <w:szCs w:val="24"/>
              </w:rPr>
              <w:t>Poprawa efektywności energetycznej obiektów w gminie Herby</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Beneficjent</w:t>
            </w:r>
          </w:p>
        </w:tc>
        <w:tc>
          <w:tcPr>
            <w:tcW w:w="2258" w:type="pct"/>
            <w:shd w:val="clear" w:color="auto" w:fill="FFFFFF"/>
          </w:tcPr>
          <w:p w:rsidR="00902FA1" w:rsidRPr="00CF5CB2" w:rsidRDefault="00902FA1" w:rsidP="00FA5D8A">
            <w:pPr>
              <w:spacing w:after="0"/>
              <w:jc w:val="center"/>
              <w:rPr>
                <w:rFonts w:eastAsia="Times New Roman"/>
              </w:rPr>
            </w:pPr>
            <w:r w:rsidRPr="00CF5CB2">
              <w:rPr>
                <w:rFonts w:eastAsia="Times New Roman"/>
              </w:rPr>
              <w:t>Gmina Herby</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Koszt całkowity projektu</w:t>
            </w:r>
          </w:p>
        </w:tc>
        <w:tc>
          <w:tcPr>
            <w:tcW w:w="2258" w:type="pct"/>
          </w:tcPr>
          <w:p w:rsidR="00902FA1" w:rsidRPr="00CF5CB2" w:rsidRDefault="00902FA1" w:rsidP="00FA5D8A">
            <w:pPr>
              <w:spacing w:after="0"/>
              <w:jc w:val="center"/>
              <w:rPr>
                <w:rFonts w:eastAsia="Times New Roman"/>
              </w:rPr>
            </w:pPr>
            <w:r w:rsidRPr="00CF5CB2">
              <w:rPr>
                <w:rFonts w:eastAsia="Times New Roman"/>
              </w:rPr>
              <w:t>2 000 000,00 PLN</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rPr>
            </w:pPr>
            <w:r w:rsidRPr="00CF5CB2">
              <w:rPr>
                <w:rFonts w:eastAsia="Times New Roman"/>
              </w:rPr>
              <w:t>Priorytet inwestycyjny w ramach RPO</w:t>
            </w:r>
          </w:p>
        </w:tc>
        <w:tc>
          <w:tcPr>
            <w:tcW w:w="2258" w:type="pct"/>
            <w:shd w:val="clear" w:color="auto" w:fill="D3DFEE"/>
          </w:tcPr>
          <w:p w:rsidR="00902FA1" w:rsidRPr="00CF5CB2" w:rsidRDefault="00902FA1" w:rsidP="00FA5D8A">
            <w:pPr>
              <w:spacing w:after="0" w:line="276" w:lineRule="auto"/>
              <w:rPr>
                <w:rFonts w:eastAsia="Times New Roman"/>
              </w:rPr>
            </w:pPr>
            <w:r w:rsidRPr="00CF5CB2">
              <w:rPr>
                <w:rFonts w:eastAsia="Times New Roman"/>
              </w:rPr>
              <w:t xml:space="preserve">4.3. Efektywność energetyczna i odnawialne źródła energii w infrastrukturze publicznej i mieszkaniowej. </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Źródła finansowania projektu:</w:t>
            </w:r>
          </w:p>
        </w:tc>
        <w:tc>
          <w:tcPr>
            <w:tcW w:w="2258" w:type="pct"/>
          </w:tcPr>
          <w:p w:rsidR="00902FA1" w:rsidRPr="00B563DD" w:rsidRDefault="00902FA1" w:rsidP="00902FA1">
            <w:pPr>
              <w:pStyle w:val="Akapitzlist"/>
              <w:numPr>
                <w:ilvl w:val="0"/>
                <w:numId w:val="48"/>
              </w:numPr>
              <w:spacing w:after="0"/>
              <w:jc w:val="left"/>
              <w:rPr>
                <w:rFonts w:eastAsia="Times New Roman"/>
              </w:rPr>
            </w:pPr>
            <w:r w:rsidRPr="00B563DD">
              <w:rPr>
                <w:rFonts w:eastAsia="Times New Roman"/>
              </w:rPr>
              <w:t xml:space="preserve">Regionalny Program Operacyjny Województwa Śląskiego na lata 2014-2020, </w:t>
            </w:r>
          </w:p>
          <w:p w:rsidR="00902FA1" w:rsidRPr="00B563DD" w:rsidRDefault="00902FA1" w:rsidP="00902FA1">
            <w:pPr>
              <w:pStyle w:val="Akapitzlist"/>
              <w:numPr>
                <w:ilvl w:val="0"/>
                <w:numId w:val="48"/>
              </w:numPr>
              <w:spacing w:after="0"/>
              <w:jc w:val="left"/>
              <w:rPr>
                <w:rFonts w:eastAsia="Times New Roman"/>
              </w:rPr>
            </w:pPr>
            <w:r w:rsidRPr="00B563DD">
              <w:rPr>
                <w:rFonts w:eastAsia="Times New Roman"/>
              </w:rPr>
              <w:t>budżet gminy,</w:t>
            </w:r>
          </w:p>
          <w:p w:rsidR="00902FA1" w:rsidRPr="00B563DD" w:rsidRDefault="00902FA1" w:rsidP="00902FA1">
            <w:pPr>
              <w:pStyle w:val="Akapitzlist"/>
              <w:numPr>
                <w:ilvl w:val="0"/>
                <w:numId w:val="48"/>
              </w:numPr>
              <w:spacing w:after="0"/>
              <w:jc w:val="left"/>
              <w:rPr>
                <w:rFonts w:eastAsia="Times New Roman"/>
              </w:rPr>
            </w:pPr>
            <w:proofErr w:type="spellStart"/>
            <w:r w:rsidRPr="00B563DD">
              <w:rPr>
                <w:rFonts w:eastAsia="Times New Roman"/>
              </w:rPr>
              <w:t>WFOŚiGW</w:t>
            </w:r>
            <w:proofErr w:type="spellEnd"/>
            <w:r w:rsidR="00B641E3" w:rsidRPr="00B563DD">
              <w:rPr>
                <w:rFonts w:eastAsia="Times New Roman"/>
              </w:rPr>
              <w:t xml:space="preserve"> w Katowicach,</w:t>
            </w:r>
          </w:p>
          <w:p w:rsidR="00B641E3" w:rsidRPr="00B563DD" w:rsidRDefault="00B641E3" w:rsidP="00902FA1">
            <w:pPr>
              <w:pStyle w:val="Akapitzlist"/>
              <w:numPr>
                <w:ilvl w:val="0"/>
                <w:numId w:val="48"/>
              </w:numPr>
              <w:spacing w:after="0"/>
              <w:jc w:val="left"/>
              <w:rPr>
                <w:rFonts w:eastAsia="Times New Roman"/>
              </w:rPr>
            </w:pPr>
            <w:r w:rsidRPr="00B563DD">
              <w:rPr>
                <w:rFonts w:eastAsia="Times New Roman"/>
              </w:rPr>
              <w:t>PROW na lata 2014 - 2020</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Opis projektu</w:t>
            </w:r>
          </w:p>
        </w:tc>
        <w:tc>
          <w:tcPr>
            <w:tcW w:w="2258" w:type="pct"/>
            <w:shd w:val="clear" w:color="auto" w:fill="D3DFEE"/>
          </w:tcPr>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Przedmiotem projektu jest montaż instalacji solarnej w </w:t>
            </w:r>
            <w:proofErr w:type="spellStart"/>
            <w:r w:rsidRPr="00CF5CB2">
              <w:rPr>
                <w:rFonts w:eastAsia="Times New Roman"/>
                <w:color w:val="000000"/>
                <w:szCs w:val="23"/>
              </w:rPr>
              <w:t>NZOZ-ie</w:t>
            </w:r>
            <w:proofErr w:type="spellEnd"/>
            <w:r w:rsidRPr="00CF5CB2">
              <w:rPr>
                <w:rFonts w:eastAsia="Times New Roman"/>
                <w:color w:val="000000"/>
                <w:szCs w:val="23"/>
              </w:rPr>
              <w:t xml:space="preserve"> w Herbach i Lisowie, Domu Pomocy Społecznej oraz wymiana starych węglowych źródeł ciepła na ekologiczne - gazowe wraz z modernizacją instalacji co, </w:t>
            </w:r>
            <w:proofErr w:type="spellStart"/>
            <w:r w:rsidRPr="00CF5CB2">
              <w:rPr>
                <w:rFonts w:eastAsia="Times New Roman"/>
                <w:color w:val="000000"/>
                <w:szCs w:val="23"/>
              </w:rPr>
              <w:t>cwu</w:t>
            </w:r>
            <w:proofErr w:type="spellEnd"/>
            <w:r w:rsidRPr="00CF5CB2">
              <w:rPr>
                <w:rFonts w:eastAsia="Times New Roman"/>
                <w:color w:val="000000"/>
                <w:szCs w:val="23"/>
              </w:rPr>
              <w:t xml:space="preserve"> w: </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1. obiektach oświatowych:</w:t>
            </w:r>
          </w:p>
          <w:p w:rsidR="00902FA1" w:rsidRPr="00CF5CB2" w:rsidRDefault="00B641E3" w:rsidP="00FA5D8A">
            <w:pPr>
              <w:spacing w:after="0" w:line="276" w:lineRule="auto"/>
              <w:rPr>
                <w:rFonts w:eastAsia="Times New Roman"/>
                <w:color w:val="000000"/>
                <w:szCs w:val="23"/>
              </w:rPr>
            </w:pPr>
            <w:r>
              <w:rPr>
                <w:rFonts w:eastAsia="Times New Roman"/>
                <w:color w:val="000000"/>
                <w:szCs w:val="23"/>
              </w:rPr>
              <w:t xml:space="preserve">- ZPO Herby – </w:t>
            </w:r>
            <w:r w:rsidRPr="00B563DD">
              <w:rPr>
                <w:rFonts w:eastAsia="Times New Roman"/>
                <w:szCs w:val="23"/>
              </w:rPr>
              <w:t>1</w:t>
            </w:r>
            <w:r w:rsidR="00902FA1" w:rsidRPr="00B563DD">
              <w:rPr>
                <w:rFonts w:eastAsia="Times New Roman"/>
                <w:szCs w:val="23"/>
              </w:rPr>
              <w:t xml:space="preserve">00 </w:t>
            </w:r>
            <w:proofErr w:type="spellStart"/>
            <w:r w:rsidR="00902FA1" w:rsidRPr="00B563DD">
              <w:rPr>
                <w:rFonts w:eastAsia="Times New Roman"/>
                <w:szCs w:val="23"/>
              </w:rPr>
              <w:t>kW</w:t>
            </w:r>
            <w:proofErr w:type="spellEnd"/>
            <w:r w:rsidR="00902FA1" w:rsidRPr="00CF5CB2">
              <w:rPr>
                <w:rFonts w:eastAsia="Times New Roman"/>
                <w:color w:val="000000"/>
                <w:szCs w:val="23"/>
              </w:rPr>
              <w:t>,</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ZPO Lisów – 75 </w:t>
            </w:r>
            <w:proofErr w:type="spellStart"/>
            <w:r w:rsidRPr="00CF5CB2">
              <w:rPr>
                <w:rFonts w:eastAsia="Times New Roman"/>
                <w:color w:val="000000"/>
                <w:szCs w:val="23"/>
              </w:rPr>
              <w:t>kW</w:t>
            </w:r>
            <w:proofErr w:type="spellEnd"/>
            <w:r w:rsidRPr="00CF5CB2">
              <w:rPr>
                <w:rFonts w:eastAsia="Times New Roman"/>
                <w:color w:val="000000"/>
                <w:szCs w:val="23"/>
              </w:rPr>
              <w:t>,</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ZPO Olszyna- 75 </w:t>
            </w:r>
            <w:proofErr w:type="spellStart"/>
            <w:r w:rsidRPr="00CF5CB2">
              <w:rPr>
                <w:rFonts w:eastAsia="Times New Roman"/>
                <w:color w:val="000000"/>
                <w:szCs w:val="23"/>
              </w:rPr>
              <w:t>kW</w:t>
            </w:r>
            <w:proofErr w:type="spellEnd"/>
            <w:r w:rsidRPr="00CF5CB2">
              <w:rPr>
                <w:rFonts w:eastAsia="Times New Roman"/>
                <w:color w:val="000000"/>
                <w:szCs w:val="23"/>
              </w:rPr>
              <w:t>,</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ZPO Hadra – 75 </w:t>
            </w:r>
            <w:proofErr w:type="spellStart"/>
            <w:r w:rsidRPr="00CF5CB2">
              <w:rPr>
                <w:rFonts w:eastAsia="Times New Roman"/>
                <w:color w:val="000000"/>
                <w:szCs w:val="23"/>
              </w:rPr>
              <w:t>kW</w:t>
            </w:r>
            <w:proofErr w:type="spellEnd"/>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2. gospodarki komunalnej, użyteczności  i administracji publicznej i DPS:</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kryta pływalnia – 75 </w:t>
            </w:r>
            <w:proofErr w:type="spellStart"/>
            <w:r w:rsidRPr="00CF5CB2">
              <w:rPr>
                <w:rFonts w:eastAsia="Times New Roman"/>
                <w:color w:val="000000"/>
                <w:szCs w:val="23"/>
              </w:rPr>
              <w:t>kW</w:t>
            </w:r>
            <w:proofErr w:type="spellEnd"/>
            <w:r w:rsidRPr="00CF5CB2">
              <w:rPr>
                <w:rFonts w:eastAsia="Times New Roman"/>
                <w:color w:val="000000"/>
                <w:szCs w:val="23"/>
              </w:rPr>
              <w:t>,</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Stacja Uzdatniania Wody – 45 </w:t>
            </w:r>
            <w:proofErr w:type="spellStart"/>
            <w:r w:rsidRPr="00CF5CB2">
              <w:rPr>
                <w:rFonts w:eastAsia="Times New Roman"/>
                <w:color w:val="000000"/>
                <w:szCs w:val="23"/>
              </w:rPr>
              <w:t>kW</w:t>
            </w:r>
            <w:proofErr w:type="spellEnd"/>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Urząd Gminy – 60 </w:t>
            </w:r>
            <w:proofErr w:type="spellStart"/>
            <w:r w:rsidRPr="00CF5CB2">
              <w:rPr>
                <w:rFonts w:eastAsia="Times New Roman"/>
                <w:color w:val="000000"/>
                <w:szCs w:val="23"/>
              </w:rPr>
              <w:t>kW</w:t>
            </w:r>
            <w:proofErr w:type="spellEnd"/>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 Gminne Centrum Kultury – 60 </w:t>
            </w:r>
            <w:proofErr w:type="spellStart"/>
            <w:r w:rsidRPr="00CF5CB2">
              <w:rPr>
                <w:rFonts w:eastAsia="Times New Roman"/>
                <w:color w:val="000000"/>
                <w:szCs w:val="23"/>
              </w:rPr>
              <w:t>kW</w:t>
            </w:r>
            <w:proofErr w:type="spellEnd"/>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lastRenderedPageBreak/>
              <w:t xml:space="preserve">- DPS – 45 </w:t>
            </w:r>
            <w:proofErr w:type="spellStart"/>
            <w:r w:rsidRPr="00CF5CB2">
              <w:rPr>
                <w:rFonts w:eastAsia="Times New Roman"/>
                <w:color w:val="000000"/>
                <w:szCs w:val="23"/>
              </w:rPr>
              <w:t>kW</w:t>
            </w:r>
            <w:proofErr w:type="spellEnd"/>
            <w:r w:rsidRPr="00CF5CB2">
              <w:rPr>
                <w:rFonts w:eastAsia="Times New Roman"/>
                <w:color w:val="000000"/>
                <w:szCs w:val="23"/>
              </w:rPr>
              <w:t>,</w:t>
            </w:r>
          </w:p>
          <w:p w:rsidR="00902FA1" w:rsidRDefault="00902FA1" w:rsidP="00FA5D8A">
            <w:pPr>
              <w:spacing w:after="0" w:line="276" w:lineRule="auto"/>
              <w:rPr>
                <w:rFonts w:eastAsia="Times New Roman"/>
                <w:color w:val="000000"/>
                <w:szCs w:val="23"/>
              </w:rPr>
            </w:pPr>
            <w:r w:rsidRPr="00CF5CB2">
              <w:rPr>
                <w:rFonts w:eastAsia="Times New Roman"/>
                <w:color w:val="000000"/>
                <w:szCs w:val="23"/>
              </w:rPr>
              <w:t xml:space="preserve">- NZOZ w Herbach – 25 </w:t>
            </w:r>
            <w:proofErr w:type="spellStart"/>
            <w:r w:rsidRPr="00CF5CB2">
              <w:rPr>
                <w:rFonts w:eastAsia="Times New Roman"/>
                <w:color w:val="000000"/>
                <w:szCs w:val="23"/>
              </w:rPr>
              <w:t>kW</w:t>
            </w:r>
            <w:proofErr w:type="spellEnd"/>
          </w:p>
          <w:p w:rsidR="00754B2B" w:rsidRPr="00754B2B" w:rsidRDefault="00754B2B" w:rsidP="00FA5D8A">
            <w:pPr>
              <w:spacing w:after="0" w:line="276" w:lineRule="auto"/>
              <w:rPr>
                <w:rFonts w:eastAsia="Times New Roman"/>
                <w:color w:val="FF0000"/>
                <w:szCs w:val="23"/>
              </w:rPr>
            </w:pPr>
            <w:r w:rsidRPr="00B563DD">
              <w:rPr>
                <w:rFonts w:eastAsia="Times New Roman"/>
                <w:szCs w:val="23"/>
              </w:rPr>
              <w:t>oraz w zależności od możliwości w indywidualnych budynkach mieszkalnych.</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W ramach projektu planowana jest również termomodernizacja budynku komunalnego w Hadrze, ul. Koszęcińska wraz  z wymianą okien oraz wymiana okien w szkole w Hadrze.</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Realizacja projektu w większości uzależniona od postępów gazyfikacji gminy.</w:t>
            </w:r>
          </w:p>
          <w:p w:rsidR="00902FA1" w:rsidRPr="00CF5CB2" w:rsidRDefault="00902FA1" w:rsidP="00FA5D8A">
            <w:pPr>
              <w:spacing w:after="0" w:line="276" w:lineRule="auto"/>
              <w:rPr>
                <w:rFonts w:eastAsia="Times New Roman"/>
                <w:color w:val="000000"/>
                <w:szCs w:val="23"/>
              </w:rPr>
            </w:pP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Potrzeba realizacji projektu wynika z wysokiej ceny energii i konieczności szukania bardziej ekonomicznych, energooszczędnych i nowoczesnych rozwiązań służących poprawie ochrony środowiska oraz potrzeby podjęcia działań w zakresie redukcji emisji gazów cieplarnianych dla poprawy stanu środowiska naturalnego. Ma to szczególne znaczenie w sytuacji, gdy polska elektroenergetyka oparta jest w około 90 % na węglu.</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lastRenderedPageBreak/>
              <w:t>Wskaźniki projektu</w:t>
            </w:r>
          </w:p>
        </w:tc>
        <w:tc>
          <w:tcPr>
            <w:tcW w:w="2258" w:type="pct"/>
          </w:tcPr>
          <w:p w:rsidR="00902FA1" w:rsidRPr="00CF5CB2" w:rsidRDefault="00902FA1" w:rsidP="00FA5D8A">
            <w:pPr>
              <w:spacing w:after="0" w:line="276" w:lineRule="auto"/>
              <w:jc w:val="left"/>
              <w:rPr>
                <w:rFonts w:eastAsia="Times New Roman"/>
                <w:color w:val="000000"/>
              </w:rPr>
            </w:pPr>
            <w:r w:rsidRPr="00CF5CB2">
              <w:rPr>
                <w:rFonts w:eastAsia="Times New Roman"/>
                <w:color w:val="000000"/>
              </w:rPr>
              <w:t>Szacowny roczny spadek emisji gazów cieplarnianych – 50 ton ekwiwalentu CO</w:t>
            </w:r>
            <w:r w:rsidRPr="00CF5CB2">
              <w:rPr>
                <w:rFonts w:eastAsia="Times New Roman"/>
                <w:color w:val="000000"/>
                <w:vertAlign w:val="subscript"/>
              </w:rPr>
              <w:t>2</w:t>
            </w:r>
            <w:r w:rsidRPr="00CF5CB2">
              <w:rPr>
                <w:rFonts w:eastAsia="Times New Roman"/>
                <w:color w:val="000000"/>
              </w:rPr>
              <w:t>/rok.</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Harmonogram działań</w:t>
            </w:r>
          </w:p>
        </w:tc>
        <w:tc>
          <w:tcPr>
            <w:tcW w:w="2258" w:type="pct"/>
            <w:shd w:val="clear" w:color="auto" w:fill="D3DFEE"/>
          </w:tcPr>
          <w:p w:rsidR="00902FA1" w:rsidRPr="00CF5CB2" w:rsidRDefault="00902FA1" w:rsidP="00902FA1">
            <w:pPr>
              <w:pStyle w:val="Akapitzlist"/>
              <w:numPr>
                <w:ilvl w:val="0"/>
                <w:numId w:val="49"/>
              </w:numPr>
              <w:spacing w:after="0" w:line="276" w:lineRule="auto"/>
              <w:jc w:val="left"/>
              <w:rPr>
                <w:rFonts w:eastAsia="Times New Roman"/>
                <w:color w:val="000000"/>
              </w:rPr>
            </w:pPr>
            <w:r w:rsidRPr="00CF5CB2">
              <w:rPr>
                <w:rFonts w:eastAsia="Times New Roman"/>
                <w:color w:val="000000"/>
              </w:rPr>
              <w:t>2016 r. – opracowywanie dokumentacji projektowo – kosztorysowej i przetargowej.</w:t>
            </w:r>
          </w:p>
          <w:p w:rsidR="00902FA1" w:rsidRPr="00CF5CB2" w:rsidRDefault="00902FA1" w:rsidP="00902FA1">
            <w:pPr>
              <w:pStyle w:val="Akapitzlist"/>
              <w:numPr>
                <w:ilvl w:val="0"/>
                <w:numId w:val="49"/>
              </w:numPr>
              <w:spacing w:after="0" w:line="276" w:lineRule="auto"/>
              <w:jc w:val="left"/>
              <w:rPr>
                <w:rFonts w:ascii="Cambria" w:eastAsia="Times New Roman" w:hAnsi="Cambria"/>
                <w:color w:val="000000"/>
              </w:rPr>
            </w:pPr>
            <w:r w:rsidRPr="00CF5CB2">
              <w:rPr>
                <w:rFonts w:eastAsia="Times New Roman"/>
                <w:color w:val="000000"/>
              </w:rPr>
              <w:t>2016 r. – 2020 r.  - realizacja</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t>Przewidywany termin rozpoczęcia realizacji projektu</w:t>
            </w:r>
          </w:p>
        </w:tc>
        <w:tc>
          <w:tcPr>
            <w:tcW w:w="2258" w:type="pct"/>
          </w:tcPr>
          <w:p w:rsidR="00902FA1" w:rsidRPr="00CF5CB2" w:rsidRDefault="00902FA1" w:rsidP="00FA5D8A">
            <w:pPr>
              <w:spacing w:after="0"/>
              <w:jc w:val="center"/>
              <w:rPr>
                <w:rFonts w:eastAsia="Times New Roman"/>
                <w:color w:val="000000"/>
              </w:rPr>
            </w:pPr>
            <w:r w:rsidRPr="00CF5CB2">
              <w:rPr>
                <w:rFonts w:eastAsia="Times New Roman"/>
                <w:color w:val="000000"/>
              </w:rPr>
              <w:t>2016</w:t>
            </w:r>
          </w:p>
        </w:tc>
      </w:tr>
      <w:tr w:rsidR="00902FA1" w:rsidRPr="00CF5CB2" w:rsidTr="00FA5D8A">
        <w:tc>
          <w:tcPr>
            <w:tcW w:w="2742" w:type="pct"/>
            <w:tcBorders>
              <w:bottom w:val="nil"/>
            </w:tcBorders>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Przewidywany termin zakończenia realizacji projektu</w:t>
            </w:r>
          </w:p>
        </w:tc>
        <w:tc>
          <w:tcPr>
            <w:tcW w:w="2258" w:type="pct"/>
            <w:tcBorders>
              <w:bottom w:val="nil"/>
            </w:tcBorders>
            <w:shd w:val="clear" w:color="auto" w:fill="D3DFEE"/>
          </w:tcPr>
          <w:p w:rsidR="00902FA1" w:rsidRPr="00CF5CB2" w:rsidRDefault="00902FA1" w:rsidP="00FA5D8A">
            <w:pPr>
              <w:spacing w:after="0"/>
              <w:jc w:val="center"/>
              <w:rPr>
                <w:rFonts w:eastAsia="Times New Roman"/>
                <w:color w:val="000000"/>
              </w:rPr>
            </w:pPr>
            <w:r w:rsidRPr="00CF5CB2">
              <w:rPr>
                <w:rFonts w:eastAsia="Times New Roman"/>
                <w:color w:val="000000"/>
              </w:rPr>
              <w:t>2020</w:t>
            </w:r>
          </w:p>
        </w:tc>
      </w:tr>
      <w:tr w:rsidR="00902FA1" w:rsidRPr="00CF5CB2" w:rsidTr="00FA5D8A">
        <w:tc>
          <w:tcPr>
            <w:tcW w:w="2742" w:type="pct"/>
            <w:tcBorders>
              <w:top w:val="nil"/>
              <w:bottom w:val="nil"/>
            </w:tcBorders>
            <w:shd w:val="clear" w:color="auto" w:fill="DBE5F1"/>
            <w:noWrap/>
          </w:tcPr>
          <w:p w:rsidR="00902FA1" w:rsidRPr="00CC6DD9" w:rsidRDefault="00902FA1" w:rsidP="00FA5D8A">
            <w:pPr>
              <w:spacing w:after="0"/>
              <w:rPr>
                <w:rFonts w:eastAsia="Times New Roman"/>
              </w:rPr>
            </w:pPr>
            <w:r w:rsidRPr="00CC6DD9">
              <w:rPr>
                <w:rFonts w:eastAsia="Times New Roman"/>
              </w:rPr>
              <w:t>Szacunkowy efekt ekologiczny MgCO2/rok</w:t>
            </w:r>
          </w:p>
        </w:tc>
        <w:tc>
          <w:tcPr>
            <w:tcW w:w="2258" w:type="pct"/>
            <w:tcBorders>
              <w:top w:val="nil"/>
              <w:bottom w:val="nil"/>
            </w:tcBorders>
            <w:shd w:val="clear" w:color="auto" w:fill="D3DFEE"/>
          </w:tcPr>
          <w:p w:rsidR="00902FA1" w:rsidRPr="006D2A6B" w:rsidRDefault="00902FA1" w:rsidP="00FA5D8A">
            <w:pPr>
              <w:spacing w:after="0"/>
              <w:jc w:val="center"/>
              <w:rPr>
                <w:rFonts w:eastAsia="Times New Roman"/>
              </w:rPr>
            </w:pPr>
            <w:r w:rsidRPr="006D2A6B">
              <w:rPr>
                <w:rFonts w:eastAsia="Times New Roman"/>
              </w:rPr>
              <w:t>50</w:t>
            </w:r>
          </w:p>
        </w:tc>
      </w:tr>
      <w:tr w:rsidR="00902FA1" w:rsidRPr="00CF5CB2" w:rsidTr="00FA5D8A">
        <w:tc>
          <w:tcPr>
            <w:tcW w:w="2742" w:type="pct"/>
            <w:tcBorders>
              <w:top w:val="nil"/>
              <w:bottom w:val="nil"/>
            </w:tcBorders>
            <w:shd w:val="clear" w:color="auto" w:fill="DBE5F1"/>
            <w:noWrap/>
          </w:tcPr>
          <w:p w:rsidR="00902FA1" w:rsidRPr="00CC6DD9" w:rsidRDefault="00902FA1" w:rsidP="00FA5D8A">
            <w:pPr>
              <w:spacing w:after="0"/>
              <w:rPr>
                <w:rFonts w:eastAsia="Times New Roman"/>
              </w:rPr>
            </w:pPr>
            <w:r w:rsidRPr="00CC6DD9">
              <w:rPr>
                <w:rFonts w:eastAsia="Times New Roman"/>
              </w:rPr>
              <w:t xml:space="preserve">Szacunkowe zmniejszenie zużycia energii </w:t>
            </w:r>
            <w:proofErr w:type="spellStart"/>
            <w:r w:rsidRPr="00CC6DD9">
              <w:rPr>
                <w:rFonts w:eastAsia="Times New Roman"/>
              </w:rPr>
              <w:t>MWh</w:t>
            </w:r>
            <w:proofErr w:type="spellEnd"/>
          </w:p>
        </w:tc>
        <w:tc>
          <w:tcPr>
            <w:tcW w:w="2258" w:type="pct"/>
            <w:tcBorders>
              <w:top w:val="nil"/>
              <w:bottom w:val="nil"/>
            </w:tcBorders>
            <w:shd w:val="clear" w:color="auto" w:fill="D3DFEE"/>
          </w:tcPr>
          <w:p w:rsidR="00902FA1" w:rsidRPr="006D2A6B" w:rsidRDefault="00902FA1" w:rsidP="00FA5D8A">
            <w:pPr>
              <w:spacing w:after="0"/>
              <w:jc w:val="center"/>
              <w:rPr>
                <w:rFonts w:eastAsia="Times New Roman"/>
              </w:rPr>
            </w:pPr>
            <w:r w:rsidRPr="006D2A6B">
              <w:rPr>
                <w:rFonts w:eastAsia="Times New Roman"/>
              </w:rPr>
              <w:t>527,86</w:t>
            </w:r>
          </w:p>
        </w:tc>
      </w:tr>
    </w:tbl>
    <w:p w:rsidR="001563AD" w:rsidRDefault="001563AD" w:rsidP="001563AD"/>
    <w:p w:rsidR="00582635" w:rsidRDefault="00582635" w:rsidP="001563AD"/>
    <w:p w:rsidR="00582635" w:rsidRDefault="00582635" w:rsidP="001563AD"/>
    <w:p w:rsidR="00582635" w:rsidRDefault="00582635" w:rsidP="001563AD"/>
    <w:p w:rsidR="00902FA1" w:rsidRDefault="00902FA1" w:rsidP="001563AD"/>
    <w:tbl>
      <w:tblPr>
        <w:tblW w:w="5394" w:type="pct"/>
        <w:tblBorders>
          <w:top w:val="single" w:sz="8" w:space="0" w:color="4F81BD"/>
          <w:left w:val="single" w:sz="8" w:space="0" w:color="4F81BD"/>
          <w:bottom w:val="single" w:sz="8" w:space="0" w:color="4F81BD"/>
          <w:right w:val="single" w:sz="8" w:space="0" w:color="4F81BD"/>
          <w:insideV w:val="single" w:sz="8" w:space="0" w:color="4F81BD"/>
        </w:tblBorders>
        <w:tblLook w:val="04A0"/>
      </w:tblPr>
      <w:tblGrid>
        <w:gridCol w:w="5495"/>
        <w:gridCol w:w="4525"/>
      </w:tblGrid>
      <w:tr w:rsidR="00902FA1" w:rsidRPr="00CF5CB2" w:rsidTr="00FA5D8A">
        <w:tc>
          <w:tcPr>
            <w:tcW w:w="2742" w:type="pct"/>
            <w:shd w:val="clear" w:color="auto" w:fill="DBE5F1"/>
            <w:noWrap/>
          </w:tcPr>
          <w:p w:rsidR="00902FA1" w:rsidRPr="00CF5CB2" w:rsidRDefault="00902FA1" w:rsidP="00FA5D8A">
            <w:pPr>
              <w:spacing w:after="0"/>
              <w:rPr>
                <w:rFonts w:eastAsia="Times New Roman"/>
                <w:szCs w:val="24"/>
              </w:rPr>
            </w:pPr>
            <w:r w:rsidRPr="00CF5CB2">
              <w:rPr>
                <w:rFonts w:eastAsia="Times New Roman"/>
                <w:szCs w:val="24"/>
              </w:rPr>
              <w:lastRenderedPageBreak/>
              <w:t>Nazwa projektu</w:t>
            </w:r>
          </w:p>
        </w:tc>
        <w:tc>
          <w:tcPr>
            <w:tcW w:w="2258" w:type="pct"/>
            <w:shd w:val="clear" w:color="auto" w:fill="DBE5F1"/>
          </w:tcPr>
          <w:p w:rsidR="00902FA1" w:rsidRPr="00CF5CB2" w:rsidRDefault="00902FA1" w:rsidP="00FA5D8A">
            <w:pPr>
              <w:spacing w:after="0" w:line="276" w:lineRule="auto"/>
              <w:rPr>
                <w:rFonts w:eastAsia="Times New Roman"/>
                <w:szCs w:val="24"/>
              </w:rPr>
            </w:pPr>
            <w:r w:rsidRPr="00CF5CB2">
              <w:rPr>
                <w:rFonts w:eastAsia="Times New Roman"/>
                <w:szCs w:val="24"/>
              </w:rPr>
              <w:t>Budowa infrastruktury do pozyskiwania energii ze źródeł odnawialnych na terenie gminy Herby.</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Beneficjent</w:t>
            </w:r>
          </w:p>
        </w:tc>
        <w:tc>
          <w:tcPr>
            <w:tcW w:w="2258" w:type="pct"/>
            <w:shd w:val="clear" w:color="auto" w:fill="FFFFFF"/>
          </w:tcPr>
          <w:p w:rsidR="00902FA1" w:rsidRPr="00CF5CB2" w:rsidRDefault="00902FA1" w:rsidP="00FA5D8A">
            <w:pPr>
              <w:spacing w:after="0"/>
              <w:jc w:val="center"/>
              <w:rPr>
                <w:rFonts w:eastAsia="Times New Roman"/>
              </w:rPr>
            </w:pPr>
            <w:r w:rsidRPr="00CF5CB2">
              <w:rPr>
                <w:rFonts w:eastAsia="Times New Roman"/>
              </w:rPr>
              <w:t>Gmina Herby</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Koszt całkowity projektu</w:t>
            </w:r>
          </w:p>
        </w:tc>
        <w:tc>
          <w:tcPr>
            <w:tcW w:w="2258" w:type="pct"/>
          </w:tcPr>
          <w:p w:rsidR="00902FA1" w:rsidRPr="00CF5CB2" w:rsidRDefault="00902FA1" w:rsidP="00FA5D8A">
            <w:pPr>
              <w:spacing w:after="0"/>
              <w:jc w:val="center"/>
              <w:rPr>
                <w:rFonts w:eastAsia="Times New Roman"/>
              </w:rPr>
            </w:pPr>
            <w:r w:rsidRPr="00CF5CB2">
              <w:rPr>
                <w:rFonts w:eastAsia="Times New Roman"/>
              </w:rPr>
              <w:t>2 400 000,00 PLN</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rPr>
            </w:pPr>
            <w:r w:rsidRPr="00CF5CB2">
              <w:rPr>
                <w:rFonts w:eastAsia="Times New Roman"/>
              </w:rPr>
              <w:t>Priorytet inwestycyjny w ramach RPO</w:t>
            </w:r>
          </w:p>
        </w:tc>
        <w:tc>
          <w:tcPr>
            <w:tcW w:w="2258" w:type="pct"/>
            <w:shd w:val="clear" w:color="auto" w:fill="D3DFEE"/>
          </w:tcPr>
          <w:p w:rsidR="00902FA1" w:rsidRPr="00CF5CB2" w:rsidRDefault="00902FA1" w:rsidP="00FA5D8A">
            <w:pPr>
              <w:spacing w:after="0" w:line="276" w:lineRule="auto"/>
              <w:rPr>
                <w:rFonts w:eastAsia="Times New Roman"/>
              </w:rPr>
            </w:pPr>
            <w:r w:rsidRPr="00CF5CB2">
              <w:rPr>
                <w:rFonts w:eastAsia="Times New Roman"/>
              </w:rPr>
              <w:t>4.1. Odnawialne źródła energii</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Źródła finansowania projektu:</w:t>
            </w:r>
          </w:p>
        </w:tc>
        <w:tc>
          <w:tcPr>
            <w:tcW w:w="2258" w:type="pct"/>
          </w:tcPr>
          <w:p w:rsidR="00902FA1" w:rsidRPr="00CF5CB2" w:rsidRDefault="00902FA1" w:rsidP="00902FA1">
            <w:pPr>
              <w:pStyle w:val="Akapitzlist"/>
              <w:numPr>
                <w:ilvl w:val="0"/>
                <w:numId w:val="50"/>
              </w:numPr>
              <w:spacing w:after="0" w:line="276" w:lineRule="auto"/>
              <w:jc w:val="left"/>
              <w:rPr>
                <w:rFonts w:eastAsia="Times New Roman"/>
                <w:color w:val="000000"/>
              </w:rPr>
            </w:pPr>
            <w:r w:rsidRPr="00CF5CB2">
              <w:rPr>
                <w:rFonts w:eastAsia="Times New Roman"/>
                <w:color w:val="000000"/>
              </w:rPr>
              <w:t>Regionalny Program Operacyjny Województwa Śląskiego na lata 2014-2020,</w:t>
            </w:r>
          </w:p>
          <w:p w:rsidR="00902FA1" w:rsidRPr="00CF5CB2" w:rsidRDefault="00902FA1" w:rsidP="00902FA1">
            <w:pPr>
              <w:pStyle w:val="Akapitzlist"/>
              <w:numPr>
                <w:ilvl w:val="0"/>
                <w:numId w:val="50"/>
              </w:numPr>
              <w:spacing w:after="0" w:line="276" w:lineRule="auto"/>
              <w:jc w:val="left"/>
              <w:rPr>
                <w:rFonts w:eastAsia="Times New Roman"/>
                <w:color w:val="000000"/>
              </w:rPr>
            </w:pPr>
            <w:r w:rsidRPr="00CF5CB2">
              <w:rPr>
                <w:rFonts w:eastAsia="Times New Roman"/>
                <w:color w:val="000000"/>
              </w:rPr>
              <w:t>Budżet gminy,</w:t>
            </w:r>
          </w:p>
          <w:p w:rsidR="00902FA1" w:rsidRPr="00B641E3" w:rsidRDefault="00902FA1" w:rsidP="00902FA1">
            <w:pPr>
              <w:pStyle w:val="Akapitzlist"/>
              <w:numPr>
                <w:ilvl w:val="0"/>
                <w:numId w:val="50"/>
              </w:numPr>
              <w:spacing w:after="0" w:line="276" w:lineRule="auto"/>
              <w:jc w:val="left"/>
              <w:rPr>
                <w:rFonts w:ascii="Cambria" w:eastAsia="Times New Roman" w:hAnsi="Cambria"/>
                <w:color w:val="000000"/>
              </w:rPr>
            </w:pPr>
            <w:proofErr w:type="spellStart"/>
            <w:r w:rsidRPr="00CF5CB2">
              <w:rPr>
                <w:rFonts w:eastAsia="Times New Roman"/>
                <w:color w:val="000000"/>
              </w:rPr>
              <w:t>WFOŚiGW</w:t>
            </w:r>
            <w:proofErr w:type="spellEnd"/>
            <w:r w:rsidRPr="00CF5CB2">
              <w:rPr>
                <w:rFonts w:eastAsia="Times New Roman"/>
                <w:color w:val="000000"/>
              </w:rPr>
              <w:t xml:space="preserve"> w Katowicach</w:t>
            </w:r>
            <w:r w:rsidR="00B641E3">
              <w:rPr>
                <w:rFonts w:eastAsia="Times New Roman"/>
                <w:color w:val="000000"/>
              </w:rPr>
              <w:t>,</w:t>
            </w:r>
          </w:p>
          <w:p w:rsidR="00B641E3" w:rsidRPr="00902FA1" w:rsidRDefault="00B641E3" w:rsidP="00902FA1">
            <w:pPr>
              <w:pStyle w:val="Akapitzlist"/>
              <w:numPr>
                <w:ilvl w:val="0"/>
                <w:numId w:val="50"/>
              </w:numPr>
              <w:spacing w:after="0" w:line="276" w:lineRule="auto"/>
              <w:jc w:val="left"/>
              <w:rPr>
                <w:rFonts w:ascii="Cambria" w:eastAsia="Times New Roman" w:hAnsi="Cambria"/>
                <w:color w:val="000000"/>
              </w:rPr>
            </w:pPr>
            <w:r w:rsidRPr="00B563DD">
              <w:rPr>
                <w:rFonts w:eastAsia="Times New Roman"/>
              </w:rPr>
              <w:t>PROW na lata 2014 - 2020</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Opis projektu</w:t>
            </w:r>
          </w:p>
        </w:tc>
        <w:tc>
          <w:tcPr>
            <w:tcW w:w="2258" w:type="pct"/>
            <w:shd w:val="clear" w:color="auto" w:fill="D3DFEE"/>
          </w:tcPr>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Montaż ogniw fotowoltaicznych na obiektach gminnych, gospodarki komunalnej, użyteczności publicznej i oświatowych:   </w:t>
            </w:r>
          </w:p>
          <w:p w:rsidR="00902FA1" w:rsidRPr="001F09B5" w:rsidRDefault="001F09B5" w:rsidP="001F09B5">
            <w:pPr>
              <w:numPr>
                <w:ilvl w:val="0"/>
                <w:numId w:val="51"/>
              </w:numPr>
              <w:spacing w:after="0" w:line="276" w:lineRule="auto"/>
              <w:rPr>
                <w:rFonts w:eastAsia="Times New Roman"/>
                <w:color w:val="000000"/>
                <w:szCs w:val="23"/>
              </w:rPr>
            </w:pPr>
            <w:r>
              <w:rPr>
                <w:rFonts w:eastAsia="Times New Roman"/>
                <w:color w:val="000000"/>
                <w:szCs w:val="23"/>
              </w:rPr>
              <w:t xml:space="preserve">Studnia nr 4 w Herbach – ok. </w:t>
            </w:r>
            <w:r w:rsidRPr="00B563DD">
              <w:rPr>
                <w:rFonts w:eastAsia="Times New Roman"/>
                <w:szCs w:val="23"/>
              </w:rPr>
              <w:t>5</w:t>
            </w:r>
            <w:r w:rsidR="00902FA1" w:rsidRPr="00B563DD">
              <w:rPr>
                <w:rFonts w:eastAsia="Times New Roman"/>
                <w:szCs w:val="23"/>
              </w:rPr>
              <w:t xml:space="preserve"> </w:t>
            </w:r>
            <w:proofErr w:type="spellStart"/>
            <w:r w:rsidR="00902FA1" w:rsidRPr="00B563DD">
              <w:rPr>
                <w:rFonts w:eastAsia="Times New Roman"/>
                <w:szCs w:val="23"/>
              </w:rPr>
              <w:t>kW</w:t>
            </w:r>
            <w:proofErr w:type="spellEnd"/>
          </w:p>
          <w:p w:rsidR="00902FA1" w:rsidRPr="00CF5CB2" w:rsidRDefault="00902FA1" w:rsidP="00902FA1">
            <w:pPr>
              <w:numPr>
                <w:ilvl w:val="0"/>
                <w:numId w:val="51"/>
              </w:numPr>
              <w:spacing w:after="0" w:line="276" w:lineRule="auto"/>
              <w:rPr>
                <w:rFonts w:eastAsia="Times New Roman"/>
                <w:color w:val="000000"/>
                <w:szCs w:val="23"/>
              </w:rPr>
            </w:pPr>
            <w:r w:rsidRPr="00CF5CB2">
              <w:rPr>
                <w:rFonts w:eastAsia="Times New Roman"/>
                <w:color w:val="000000"/>
                <w:szCs w:val="23"/>
              </w:rPr>
              <w:t xml:space="preserve">DPS – </w:t>
            </w:r>
            <w:r w:rsidR="001F09B5">
              <w:rPr>
                <w:rFonts w:eastAsia="Times New Roman"/>
                <w:color w:val="000000"/>
                <w:szCs w:val="23"/>
              </w:rPr>
              <w:t xml:space="preserve">ok. </w:t>
            </w:r>
            <w:r w:rsidRPr="00CF5CB2">
              <w:rPr>
                <w:rFonts w:eastAsia="Times New Roman"/>
                <w:color w:val="000000"/>
                <w:szCs w:val="23"/>
              </w:rPr>
              <w:t xml:space="preserve">12 </w:t>
            </w:r>
            <w:proofErr w:type="spellStart"/>
            <w:r w:rsidRPr="00CF5CB2">
              <w:rPr>
                <w:rFonts w:eastAsia="Times New Roman"/>
                <w:color w:val="000000"/>
                <w:szCs w:val="23"/>
              </w:rPr>
              <w:t>kW</w:t>
            </w:r>
            <w:proofErr w:type="spellEnd"/>
          </w:p>
          <w:p w:rsidR="00902FA1" w:rsidRPr="00CF5CB2" w:rsidRDefault="00902FA1" w:rsidP="00902FA1">
            <w:pPr>
              <w:numPr>
                <w:ilvl w:val="0"/>
                <w:numId w:val="51"/>
              </w:numPr>
              <w:spacing w:after="0" w:line="276" w:lineRule="auto"/>
              <w:rPr>
                <w:rFonts w:eastAsia="Times New Roman"/>
                <w:color w:val="000000"/>
                <w:szCs w:val="23"/>
              </w:rPr>
            </w:pPr>
            <w:r w:rsidRPr="00CF5CB2">
              <w:rPr>
                <w:rFonts w:eastAsia="Times New Roman"/>
                <w:color w:val="000000"/>
                <w:szCs w:val="23"/>
              </w:rPr>
              <w:t xml:space="preserve">ZPO w Lisowie –  </w:t>
            </w:r>
            <w:r w:rsidR="001F09B5">
              <w:rPr>
                <w:rFonts w:eastAsia="Times New Roman"/>
                <w:color w:val="000000"/>
                <w:szCs w:val="23"/>
              </w:rPr>
              <w:t xml:space="preserve">ok. </w:t>
            </w:r>
            <w:r w:rsidRPr="00CF5CB2">
              <w:rPr>
                <w:rFonts w:eastAsia="Times New Roman"/>
                <w:color w:val="000000"/>
                <w:szCs w:val="23"/>
              </w:rPr>
              <w:t xml:space="preserve">12 </w:t>
            </w:r>
            <w:proofErr w:type="spellStart"/>
            <w:r w:rsidRPr="00CF5CB2">
              <w:rPr>
                <w:rFonts w:eastAsia="Times New Roman"/>
                <w:color w:val="000000"/>
                <w:szCs w:val="23"/>
              </w:rPr>
              <w:t>kW</w:t>
            </w:r>
            <w:proofErr w:type="spellEnd"/>
          </w:p>
          <w:p w:rsidR="00902FA1" w:rsidRPr="00CF5CB2" w:rsidRDefault="00902FA1" w:rsidP="00902FA1">
            <w:pPr>
              <w:numPr>
                <w:ilvl w:val="0"/>
                <w:numId w:val="51"/>
              </w:numPr>
              <w:spacing w:after="0" w:line="276" w:lineRule="auto"/>
              <w:rPr>
                <w:rFonts w:eastAsia="Times New Roman"/>
                <w:color w:val="000000"/>
                <w:szCs w:val="23"/>
              </w:rPr>
            </w:pPr>
            <w:r w:rsidRPr="00CF5CB2">
              <w:rPr>
                <w:rFonts w:eastAsia="Times New Roman"/>
                <w:color w:val="000000"/>
                <w:szCs w:val="23"/>
              </w:rPr>
              <w:t xml:space="preserve">ZPO w Olszynie – </w:t>
            </w:r>
            <w:r w:rsidR="001F09B5">
              <w:rPr>
                <w:rFonts w:eastAsia="Times New Roman"/>
                <w:color w:val="000000"/>
                <w:szCs w:val="23"/>
              </w:rPr>
              <w:t xml:space="preserve">ok. </w:t>
            </w:r>
            <w:r w:rsidRPr="00CF5CB2">
              <w:rPr>
                <w:rFonts w:eastAsia="Times New Roman"/>
                <w:color w:val="000000"/>
                <w:szCs w:val="23"/>
              </w:rPr>
              <w:t xml:space="preserve">12 </w:t>
            </w:r>
            <w:proofErr w:type="spellStart"/>
            <w:r w:rsidRPr="00CF5CB2">
              <w:rPr>
                <w:rFonts w:eastAsia="Times New Roman"/>
                <w:color w:val="000000"/>
                <w:szCs w:val="23"/>
              </w:rPr>
              <w:t>kW</w:t>
            </w:r>
            <w:proofErr w:type="spellEnd"/>
          </w:p>
          <w:p w:rsidR="00902FA1" w:rsidRPr="00CF5CB2" w:rsidRDefault="00902FA1" w:rsidP="00902FA1">
            <w:pPr>
              <w:numPr>
                <w:ilvl w:val="0"/>
                <w:numId w:val="51"/>
              </w:numPr>
              <w:spacing w:after="0" w:line="276" w:lineRule="auto"/>
              <w:rPr>
                <w:rFonts w:eastAsia="Times New Roman"/>
                <w:color w:val="000000"/>
                <w:szCs w:val="23"/>
              </w:rPr>
            </w:pPr>
            <w:r w:rsidRPr="00CF5CB2">
              <w:rPr>
                <w:rFonts w:eastAsia="Times New Roman"/>
                <w:color w:val="000000"/>
                <w:szCs w:val="23"/>
              </w:rPr>
              <w:t xml:space="preserve">Kotłownia w Lisowie – </w:t>
            </w:r>
            <w:r w:rsidR="001F09B5">
              <w:rPr>
                <w:rFonts w:eastAsia="Times New Roman"/>
                <w:color w:val="000000"/>
                <w:szCs w:val="23"/>
              </w:rPr>
              <w:t xml:space="preserve">ok. </w:t>
            </w:r>
            <w:r w:rsidRPr="00CF5CB2">
              <w:rPr>
                <w:rFonts w:eastAsia="Times New Roman"/>
                <w:color w:val="000000"/>
                <w:szCs w:val="23"/>
              </w:rPr>
              <w:t xml:space="preserve">12 </w:t>
            </w:r>
            <w:proofErr w:type="spellStart"/>
            <w:r w:rsidRPr="00CF5CB2">
              <w:rPr>
                <w:rFonts w:eastAsia="Times New Roman"/>
                <w:color w:val="000000"/>
                <w:szCs w:val="23"/>
              </w:rPr>
              <w:t>kW</w:t>
            </w:r>
            <w:proofErr w:type="spellEnd"/>
          </w:p>
          <w:p w:rsidR="00902FA1" w:rsidRDefault="00902FA1" w:rsidP="00902FA1">
            <w:pPr>
              <w:numPr>
                <w:ilvl w:val="0"/>
                <w:numId w:val="51"/>
              </w:numPr>
              <w:spacing w:after="0" w:line="276" w:lineRule="auto"/>
              <w:rPr>
                <w:rFonts w:eastAsia="Times New Roman"/>
                <w:color w:val="000000"/>
                <w:szCs w:val="23"/>
              </w:rPr>
            </w:pPr>
            <w:r w:rsidRPr="00CF5CB2">
              <w:rPr>
                <w:rFonts w:eastAsia="Times New Roman"/>
                <w:color w:val="000000"/>
                <w:szCs w:val="23"/>
              </w:rPr>
              <w:t xml:space="preserve">OSP </w:t>
            </w:r>
            <w:r w:rsidR="001F09B5">
              <w:rPr>
                <w:rFonts w:eastAsia="Times New Roman"/>
                <w:color w:val="000000"/>
                <w:szCs w:val="23"/>
              </w:rPr>
              <w:t>K</w:t>
            </w:r>
            <w:r w:rsidRPr="00CF5CB2">
              <w:rPr>
                <w:rFonts w:eastAsia="Times New Roman"/>
                <w:color w:val="000000"/>
                <w:szCs w:val="23"/>
              </w:rPr>
              <w:t xml:space="preserve">alina – </w:t>
            </w:r>
            <w:r w:rsidR="001F09B5">
              <w:rPr>
                <w:rFonts w:eastAsia="Times New Roman"/>
                <w:color w:val="000000"/>
                <w:szCs w:val="23"/>
              </w:rPr>
              <w:t xml:space="preserve">ok. </w:t>
            </w:r>
            <w:r w:rsidRPr="00CF5CB2">
              <w:rPr>
                <w:rFonts w:eastAsia="Times New Roman"/>
                <w:color w:val="000000"/>
                <w:szCs w:val="23"/>
              </w:rPr>
              <w:t xml:space="preserve">12 </w:t>
            </w:r>
            <w:proofErr w:type="spellStart"/>
            <w:r w:rsidRPr="00CF5CB2">
              <w:rPr>
                <w:rFonts w:eastAsia="Times New Roman"/>
                <w:color w:val="000000"/>
                <w:szCs w:val="23"/>
              </w:rPr>
              <w:t>kW</w:t>
            </w:r>
            <w:proofErr w:type="spellEnd"/>
          </w:p>
          <w:p w:rsidR="00C17FBD" w:rsidRPr="00B66501" w:rsidRDefault="00C17FBD" w:rsidP="00902FA1">
            <w:pPr>
              <w:numPr>
                <w:ilvl w:val="0"/>
                <w:numId w:val="51"/>
              </w:numPr>
              <w:spacing w:after="0" w:line="276" w:lineRule="auto"/>
              <w:rPr>
                <w:rFonts w:eastAsia="Times New Roman"/>
                <w:szCs w:val="23"/>
              </w:rPr>
            </w:pPr>
            <w:r w:rsidRPr="00B66501">
              <w:rPr>
                <w:rFonts w:eastAsia="Times New Roman"/>
                <w:szCs w:val="23"/>
              </w:rPr>
              <w:t xml:space="preserve">Oczyszczalnia ścieków w Lisowie – ok. 30 </w:t>
            </w:r>
            <w:proofErr w:type="spellStart"/>
            <w:r w:rsidRPr="00B66501">
              <w:rPr>
                <w:rFonts w:eastAsia="Times New Roman"/>
                <w:szCs w:val="23"/>
              </w:rPr>
              <w:t>kW</w:t>
            </w:r>
            <w:proofErr w:type="spellEnd"/>
          </w:p>
          <w:p w:rsidR="00C17FBD" w:rsidRPr="00B66501" w:rsidRDefault="00C17FBD" w:rsidP="00902FA1">
            <w:pPr>
              <w:numPr>
                <w:ilvl w:val="0"/>
                <w:numId w:val="51"/>
              </w:numPr>
              <w:spacing w:after="0" w:line="276" w:lineRule="auto"/>
              <w:rPr>
                <w:rFonts w:eastAsia="Times New Roman"/>
                <w:szCs w:val="23"/>
              </w:rPr>
            </w:pPr>
            <w:r w:rsidRPr="00B66501">
              <w:rPr>
                <w:rFonts w:eastAsia="Times New Roman"/>
                <w:szCs w:val="23"/>
              </w:rPr>
              <w:t>Kryta pływalnia</w:t>
            </w:r>
            <w:r w:rsidR="009667F3" w:rsidRPr="00B66501">
              <w:rPr>
                <w:rFonts w:eastAsia="Times New Roman"/>
                <w:szCs w:val="23"/>
              </w:rPr>
              <w:t xml:space="preserve"> w Herbach -  ok. 12,24 </w:t>
            </w:r>
            <w:proofErr w:type="spellStart"/>
            <w:r w:rsidR="009667F3" w:rsidRPr="00B66501">
              <w:rPr>
                <w:rFonts w:eastAsia="Times New Roman"/>
                <w:szCs w:val="23"/>
              </w:rPr>
              <w:t>kW</w:t>
            </w:r>
            <w:proofErr w:type="spellEnd"/>
          </w:p>
          <w:p w:rsidR="00902FA1" w:rsidRPr="00B66501" w:rsidRDefault="001F09B5" w:rsidP="00FA5D8A">
            <w:pPr>
              <w:spacing w:after="0" w:line="276" w:lineRule="auto"/>
              <w:rPr>
                <w:rFonts w:eastAsia="Times New Roman"/>
                <w:szCs w:val="23"/>
              </w:rPr>
            </w:pPr>
            <w:r w:rsidRPr="00B66501">
              <w:rPr>
                <w:rFonts w:eastAsia="Times New Roman"/>
                <w:szCs w:val="23"/>
              </w:rPr>
              <w:t>oraz w indywidualnych budynkach mieszkalnych.</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Celem projektu jest budowa infrastruktury do pozyskania energii ze źródeł odnawialnych. </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Potrzeba realizacji projektu wynika z konieczności podjęcia działań w zakresie dywersyfikacji źródeł energii z ukierunkowaniem na odnawialne oraz redukcji emisji gazów cieplarnianych dla poprawy stanu środowiska naturalnego oraz zwiększenia bezpieczeństwa energetycznego regionu. Ma to szczególne znaczenie w sytuacji, gdy polska elektroenergetyka oparta jest w około 90 % na węglu.</w:t>
            </w: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Potrzeba realizacji projektu wynika również z wysokiej ceny energii i konieczności szukania bardziej ekonomicznych, energooszczędnych i nowoczesnych </w:t>
            </w:r>
            <w:r w:rsidRPr="00CF5CB2">
              <w:rPr>
                <w:rFonts w:eastAsia="Times New Roman"/>
                <w:color w:val="000000"/>
                <w:szCs w:val="23"/>
              </w:rPr>
              <w:lastRenderedPageBreak/>
              <w:t>rozwiązań służących poprawie ochrony środowiska.</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lastRenderedPageBreak/>
              <w:t>Wskaźniki projektu</w:t>
            </w:r>
          </w:p>
        </w:tc>
        <w:tc>
          <w:tcPr>
            <w:tcW w:w="2258" w:type="pct"/>
          </w:tcPr>
          <w:p w:rsidR="00902FA1" w:rsidRPr="00CF5CB2" w:rsidRDefault="00902FA1" w:rsidP="00FA5D8A">
            <w:pPr>
              <w:spacing w:after="0" w:line="276" w:lineRule="auto"/>
              <w:jc w:val="left"/>
              <w:rPr>
                <w:rFonts w:eastAsia="Times New Roman"/>
                <w:color w:val="000000"/>
              </w:rPr>
            </w:pPr>
            <w:r w:rsidRPr="00CF5CB2">
              <w:rPr>
                <w:rFonts w:eastAsia="Times New Roman"/>
                <w:color w:val="000000"/>
              </w:rPr>
              <w:t>Dodatkowa zdolność wytwarzania energii ze źródeł odnawialnych – 0,2 MW.</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Harmonogram działań</w:t>
            </w:r>
          </w:p>
        </w:tc>
        <w:tc>
          <w:tcPr>
            <w:tcW w:w="2258" w:type="pct"/>
            <w:shd w:val="clear" w:color="auto" w:fill="D3DFEE"/>
          </w:tcPr>
          <w:p w:rsidR="00902FA1" w:rsidRPr="00CF5CB2" w:rsidRDefault="00902FA1" w:rsidP="00902FA1">
            <w:pPr>
              <w:pStyle w:val="Akapitzlist"/>
              <w:numPr>
                <w:ilvl w:val="0"/>
                <w:numId w:val="49"/>
              </w:numPr>
              <w:spacing w:after="0" w:line="276" w:lineRule="auto"/>
              <w:jc w:val="left"/>
              <w:rPr>
                <w:rFonts w:eastAsia="Times New Roman"/>
                <w:color w:val="000000"/>
              </w:rPr>
            </w:pPr>
            <w:r w:rsidRPr="00B66501">
              <w:rPr>
                <w:rFonts w:eastAsia="Times New Roman"/>
              </w:rPr>
              <w:t>2016</w:t>
            </w:r>
            <w:r w:rsidRPr="00CF5CB2">
              <w:rPr>
                <w:rFonts w:eastAsia="Times New Roman"/>
                <w:color w:val="000000"/>
              </w:rPr>
              <w:t xml:space="preserve"> – opracowywanie dokumentacji projektowo-kosztorysowej i przetargowej. </w:t>
            </w:r>
          </w:p>
          <w:p w:rsidR="00902FA1" w:rsidRPr="00CF5CB2" w:rsidRDefault="00902FA1" w:rsidP="00902FA1">
            <w:pPr>
              <w:pStyle w:val="Akapitzlist"/>
              <w:numPr>
                <w:ilvl w:val="0"/>
                <w:numId w:val="49"/>
              </w:numPr>
              <w:spacing w:after="0" w:line="276" w:lineRule="auto"/>
              <w:jc w:val="left"/>
              <w:rPr>
                <w:rFonts w:ascii="Cambria" w:eastAsia="Times New Roman" w:hAnsi="Cambria"/>
                <w:color w:val="000000"/>
              </w:rPr>
            </w:pPr>
            <w:r w:rsidRPr="00CF5CB2">
              <w:rPr>
                <w:rFonts w:eastAsia="Times New Roman"/>
                <w:color w:val="000000"/>
              </w:rPr>
              <w:t>2016-2020 – realizacja.</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t>Przewidywany termin rozpoczęcia realizacji projektu</w:t>
            </w:r>
          </w:p>
        </w:tc>
        <w:tc>
          <w:tcPr>
            <w:tcW w:w="2258" w:type="pct"/>
          </w:tcPr>
          <w:p w:rsidR="00902FA1" w:rsidRPr="001F09B5" w:rsidRDefault="00902FA1" w:rsidP="001F09B5">
            <w:pPr>
              <w:spacing w:after="0"/>
              <w:jc w:val="center"/>
              <w:rPr>
                <w:rFonts w:eastAsia="Times New Roman"/>
                <w:color w:val="FF0000"/>
              </w:rPr>
            </w:pPr>
            <w:r w:rsidRPr="00B66501">
              <w:rPr>
                <w:rFonts w:eastAsia="Times New Roman"/>
              </w:rPr>
              <w:t>201</w:t>
            </w:r>
            <w:r w:rsidR="001F09B5" w:rsidRPr="00B66501">
              <w:rPr>
                <w:rFonts w:eastAsia="Times New Roman"/>
              </w:rPr>
              <w:t>6</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Przewidywany termin zakończenia realizacji projektu</w:t>
            </w:r>
          </w:p>
        </w:tc>
        <w:tc>
          <w:tcPr>
            <w:tcW w:w="2258" w:type="pct"/>
            <w:shd w:val="clear" w:color="auto" w:fill="D3DFEE"/>
          </w:tcPr>
          <w:p w:rsidR="00902FA1" w:rsidRPr="00CF5CB2" w:rsidRDefault="00902FA1" w:rsidP="00FA5D8A">
            <w:pPr>
              <w:spacing w:after="0"/>
              <w:jc w:val="center"/>
              <w:rPr>
                <w:rFonts w:eastAsia="Times New Roman"/>
                <w:color w:val="000000"/>
              </w:rPr>
            </w:pPr>
            <w:r w:rsidRPr="00CF5CB2">
              <w:rPr>
                <w:rFonts w:eastAsia="Times New Roman"/>
                <w:color w:val="000000"/>
              </w:rPr>
              <w:t>2020</w:t>
            </w:r>
          </w:p>
        </w:tc>
      </w:tr>
      <w:tr w:rsidR="00902FA1" w:rsidRPr="00CF5CB2" w:rsidTr="00FA5D8A">
        <w:tc>
          <w:tcPr>
            <w:tcW w:w="2742" w:type="pct"/>
            <w:shd w:val="clear" w:color="auto" w:fill="DBE5F1"/>
            <w:noWrap/>
          </w:tcPr>
          <w:p w:rsidR="00902FA1" w:rsidRPr="00CC6DD9" w:rsidRDefault="00902FA1" w:rsidP="00FA5D8A">
            <w:pPr>
              <w:spacing w:after="0"/>
              <w:rPr>
                <w:rFonts w:eastAsia="Times New Roman"/>
              </w:rPr>
            </w:pPr>
            <w:r w:rsidRPr="00CC6DD9">
              <w:rPr>
                <w:rFonts w:eastAsia="Times New Roman"/>
              </w:rPr>
              <w:t>Szacunkowy efekt ekologiczny MgCO2/rok</w:t>
            </w:r>
          </w:p>
        </w:tc>
        <w:tc>
          <w:tcPr>
            <w:tcW w:w="2258" w:type="pct"/>
            <w:shd w:val="clear" w:color="auto" w:fill="D3DFEE"/>
          </w:tcPr>
          <w:p w:rsidR="00902FA1" w:rsidRPr="006D2A6B" w:rsidRDefault="00902FA1" w:rsidP="00FA5D8A">
            <w:pPr>
              <w:spacing w:after="0"/>
              <w:jc w:val="center"/>
              <w:rPr>
                <w:rFonts w:eastAsia="Times New Roman"/>
              </w:rPr>
            </w:pPr>
            <w:r>
              <w:rPr>
                <w:rFonts w:eastAsia="Times New Roman"/>
              </w:rPr>
              <w:t>185,35</w:t>
            </w:r>
          </w:p>
        </w:tc>
      </w:tr>
      <w:tr w:rsidR="00902FA1" w:rsidRPr="00CF5CB2" w:rsidTr="00FA5D8A">
        <w:tc>
          <w:tcPr>
            <w:tcW w:w="2742" w:type="pct"/>
            <w:shd w:val="clear" w:color="auto" w:fill="DBE5F1"/>
            <w:noWrap/>
          </w:tcPr>
          <w:p w:rsidR="00902FA1" w:rsidRPr="00CC6DD9" w:rsidRDefault="00902FA1" w:rsidP="00FA5D8A">
            <w:pPr>
              <w:spacing w:after="0"/>
              <w:rPr>
                <w:rFonts w:eastAsia="Times New Roman"/>
              </w:rPr>
            </w:pPr>
            <w:r w:rsidRPr="00CC6DD9">
              <w:rPr>
                <w:rFonts w:eastAsia="Times New Roman"/>
              </w:rPr>
              <w:t xml:space="preserve">Szacunkowe zmniejszenie zużycia energii </w:t>
            </w:r>
            <w:proofErr w:type="spellStart"/>
            <w:r w:rsidRPr="00CC6DD9">
              <w:rPr>
                <w:rFonts w:eastAsia="Times New Roman"/>
              </w:rPr>
              <w:t>MWh</w:t>
            </w:r>
            <w:proofErr w:type="spellEnd"/>
          </w:p>
        </w:tc>
        <w:tc>
          <w:tcPr>
            <w:tcW w:w="2258" w:type="pct"/>
            <w:shd w:val="clear" w:color="auto" w:fill="D3DFEE"/>
          </w:tcPr>
          <w:p w:rsidR="00902FA1" w:rsidRPr="006D2A6B" w:rsidRDefault="00902FA1" w:rsidP="00FA5D8A">
            <w:pPr>
              <w:spacing w:after="0"/>
              <w:jc w:val="center"/>
              <w:rPr>
                <w:rFonts w:eastAsia="Times New Roman"/>
              </w:rPr>
            </w:pPr>
            <w:r>
              <w:rPr>
                <w:rFonts w:eastAsia="Times New Roman"/>
              </w:rPr>
              <w:t>228,268</w:t>
            </w:r>
          </w:p>
        </w:tc>
      </w:tr>
    </w:tbl>
    <w:p w:rsidR="00902FA1" w:rsidRPr="001563AD" w:rsidRDefault="00902FA1" w:rsidP="001563AD"/>
    <w:tbl>
      <w:tblPr>
        <w:tblW w:w="5394" w:type="pct"/>
        <w:tblBorders>
          <w:top w:val="single" w:sz="8" w:space="0" w:color="4F81BD"/>
          <w:left w:val="single" w:sz="8" w:space="0" w:color="4F81BD"/>
          <w:bottom w:val="single" w:sz="8" w:space="0" w:color="4F81BD"/>
          <w:right w:val="single" w:sz="8" w:space="0" w:color="4F81BD"/>
          <w:insideV w:val="single" w:sz="8" w:space="0" w:color="4F81BD"/>
        </w:tblBorders>
        <w:tblLook w:val="04A0"/>
      </w:tblPr>
      <w:tblGrid>
        <w:gridCol w:w="5495"/>
        <w:gridCol w:w="4525"/>
      </w:tblGrid>
      <w:tr w:rsidR="00902FA1" w:rsidRPr="00CF5CB2" w:rsidTr="00FA5D8A">
        <w:tc>
          <w:tcPr>
            <w:tcW w:w="2742" w:type="pct"/>
            <w:shd w:val="clear" w:color="auto" w:fill="DBE5F1"/>
            <w:noWrap/>
          </w:tcPr>
          <w:p w:rsidR="00902FA1" w:rsidRPr="00CF5CB2" w:rsidRDefault="00902FA1" w:rsidP="00FA5D8A">
            <w:pPr>
              <w:spacing w:after="0"/>
              <w:rPr>
                <w:rFonts w:eastAsia="Times New Roman"/>
                <w:szCs w:val="24"/>
              </w:rPr>
            </w:pPr>
            <w:r w:rsidRPr="00CF5CB2">
              <w:rPr>
                <w:rFonts w:eastAsia="Times New Roman"/>
                <w:szCs w:val="24"/>
              </w:rPr>
              <w:t>Nazwa projektu</w:t>
            </w:r>
          </w:p>
        </w:tc>
        <w:tc>
          <w:tcPr>
            <w:tcW w:w="2258" w:type="pct"/>
            <w:shd w:val="clear" w:color="auto" w:fill="DBE5F1"/>
          </w:tcPr>
          <w:p w:rsidR="00902FA1" w:rsidRPr="00CF5CB2" w:rsidRDefault="00902FA1" w:rsidP="00FA5D8A">
            <w:pPr>
              <w:spacing w:after="0" w:line="276" w:lineRule="auto"/>
              <w:rPr>
                <w:rFonts w:eastAsia="Times New Roman"/>
                <w:szCs w:val="24"/>
              </w:rPr>
            </w:pPr>
            <w:r w:rsidRPr="00CF5CB2">
              <w:rPr>
                <w:rFonts w:eastAsia="Times New Roman"/>
                <w:szCs w:val="24"/>
              </w:rPr>
              <w:t>Budowa dróg rowerowych do węzła przesiadkowego w Herbach.</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Beneficjent</w:t>
            </w:r>
          </w:p>
        </w:tc>
        <w:tc>
          <w:tcPr>
            <w:tcW w:w="2258" w:type="pct"/>
            <w:shd w:val="clear" w:color="auto" w:fill="FFFFFF"/>
          </w:tcPr>
          <w:p w:rsidR="00902FA1" w:rsidRPr="00CF5CB2" w:rsidRDefault="00902FA1" w:rsidP="00FA5D8A">
            <w:pPr>
              <w:spacing w:after="0"/>
              <w:jc w:val="center"/>
              <w:rPr>
                <w:rFonts w:eastAsia="Times New Roman"/>
              </w:rPr>
            </w:pPr>
            <w:r w:rsidRPr="00CF5CB2">
              <w:rPr>
                <w:rFonts w:eastAsia="Times New Roman"/>
              </w:rPr>
              <w:t>Gmina Herby</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Koszt całkowity projektu</w:t>
            </w:r>
          </w:p>
        </w:tc>
        <w:tc>
          <w:tcPr>
            <w:tcW w:w="2258" w:type="pct"/>
          </w:tcPr>
          <w:p w:rsidR="00902FA1" w:rsidRPr="00CF5CB2" w:rsidRDefault="00902FA1" w:rsidP="00FA5D8A">
            <w:pPr>
              <w:spacing w:after="0"/>
              <w:jc w:val="center"/>
              <w:rPr>
                <w:rFonts w:eastAsia="Times New Roman"/>
              </w:rPr>
            </w:pPr>
            <w:r w:rsidRPr="00CF5CB2">
              <w:rPr>
                <w:rFonts w:eastAsia="Times New Roman"/>
              </w:rPr>
              <w:t>2 600 000,00 PLN</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rPr>
            </w:pPr>
            <w:r w:rsidRPr="00CF5CB2">
              <w:rPr>
                <w:rFonts w:eastAsia="Times New Roman"/>
              </w:rPr>
              <w:t>Priorytet inwestycyjny w ramach RPO</w:t>
            </w:r>
          </w:p>
        </w:tc>
        <w:tc>
          <w:tcPr>
            <w:tcW w:w="2258" w:type="pct"/>
            <w:shd w:val="clear" w:color="auto" w:fill="D3DFEE"/>
          </w:tcPr>
          <w:p w:rsidR="00902FA1" w:rsidRPr="00CF5CB2" w:rsidRDefault="00902FA1" w:rsidP="00FA5D8A">
            <w:pPr>
              <w:spacing w:after="0" w:line="276" w:lineRule="auto"/>
              <w:rPr>
                <w:rFonts w:eastAsia="Times New Roman"/>
              </w:rPr>
            </w:pPr>
            <w:r w:rsidRPr="00CF5CB2">
              <w:rPr>
                <w:rFonts w:eastAsia="Times New Roman"/>
              </w:rPr>
              <w:t>4.5. Niskoemisyjny transport miejski oraz efektywne oświetlenie.</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rPr>
            </w:pPr>
            <w:r w:rsidRPr="00CF5CB2">
              <w:rPr>
                <w:rFonts w:eastAsia="Times New Roman"/>
              </w:rPr>
              <w:t>Źródła finansowania projektu:</w:t>
            </w:r>
          </w:p>
        </w:tc>
        <w:tc>
          <w:tcPr>
            <w:tcW w:w="2258" w:type="pct"/>
          </w:tcPr>
          <w:p w:rsidR="00902FA1" w:rsidRPr="00B66501" w:rsidRDefault="00902FA1" w:rsidP="00902FA1">
            <w:pPr>
              <w:pStyle w:val="Akapitzlist"/>
              <w:numPr>
                <w:ilvl w:val="0"/>
                <w:numId w:val="52"/>
              </w:numPr>
              <w:spacing w:after="0" w:line="276" w:lineRule="auto"/>
              <w:rPr>
                <w:rFonts w:eastAsia="Times New Roman"/>
              </w:rPr>
            </w:pPr>
            <w:r w:rsidRPr="00B66501">
              <w:rPr>
                <w:rFonts w:eastAsia="Times New Roman"/>
              </w:rPr>
              <w:t>Regionalny Program Operacyjny Województwa Śląskiego 2014-2020</w:t>
            </w:r>
          </w:p>
          <w:p w:rsidR="00902FA1" w:rsidRPr="00B66501" w:rsidRDefault="00902FA1" w:rsidP="00902FA1">
            <w:pPr>
              <w:pStyle w:val="Akapitzlist"/>
              <w:numPr>
                <w:ilvl w:val="0"/>
                <w:numId w:val="52"/>
              </w:numPr>
              <w:spacing w:after="0" w:line="276" w:lineRule="auto"/>
              <w:rPr>
                <w:rFonts w:eastAsia="Times New Roman"/>
              </w:rPr>
            </w:pPr>
            <w:r w:rsidRPr="00B66501">
              <w:rPr>
                <w:rFonts w:eastAsia="Times New Roman"/>
              </w:rPr>
              <w:t>Budżet gminy</w:t>
            </w:r>
            <w:r w:rsidR="001F09B5" w:rsidRPr="00B66501">
              <w:rPr>
                <w:rFonts w:eastAsia="Times New Roman"/>
              </w:rPr>
              <w:t>,</w:t>
            </w:r>
          </w:p>
          <w:p w:rsidR="001F09B5" w:rsidRPr="00B66501" w:rsidRDefault="001F09B5" w:rsidP="00902FA1">
            <w:pPr>
              <w:pStyle w:val="Akapitzlist"/>
              <w:numPr>
                <w:ilvl w:val="0"/>
                <w:numId w:val="52"/>
              </w:numPr>
              <w:spacing w:after="0" w:line="276" w:lineRule="auto"/>
              <w:rPr>
                <w:rFonts w:eastAsia="Times New Roman"/>
              </w:rPr>
            </w:pPr>
            <w:r w:rsidRPr="00B66501">
              <w:rPr>
                <w:rFonts w:eastAsia="Times New Roman"/>
              </w:rPr>
              <w:t>PROW na lata 2014 -2020.</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Opis projektu</w:t>
            </w:r>
          </w:p>
        </w:tc>
        <w:tc>
          <w:tcPr>
            <w:tcW w:w="2258" w:type="pct"/>
            <w:shd w:val="clear" w:color="auto" w:fill="D3DFEE"/>
          </w:tcPr>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Przedmiotem  projektu jest budowa około 6 km dróg rowerowych dla dojeżdżających do pracy wzdłuż drogi krajowej DK46 od granicy gminy w miejscowości Pietrzaki i od granicy gminy w miejscowości Lisów do węzła przesiadkowego w Herbach oraz jego modernizacja. </w:t>
            </w:r>
          </w:p>
          <w:p w:rsidR="00902FA1" w:rsidRPr="00CF5CB2" w:rsidRDefault="00902FA1" w:rsidP="00FA5D8A">
            <w:pPr>
              <w:spacing w:after="0" w:line="276" w:lineRule="auto"/>
              <w:rPr>
                <w:rFonts w:eastAsia="Times New Roman"/>
                <w:color w:val="000000"/>
                <w:szCs w:val="23"/>
              </w:rPr>
            </w:pP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Modernizacja węzła przesiadkowego polegać będzie na:</w:t>
            </w:r>
          </w:p>
          <w:p w:rsidR="00902FA1" w:rsidRPr="00CF5CB2" w:rsidRDefault="00902FA1" w:rsidP="00902FA1">
            <w:pPr>
              <w:pStyle w:val="Akapitzlist"/>
              <w:numPr>
                <w:ilvl w:val="0"/>
                <w:numId w:val="53"/>
              </w:numPr>
              <w:spacing w:after="0" w:line="276" w:lineRule="auto"/>
              <w:jc w:val="left"/>
              <w:rPr>
                <w:rFonts w:eastAsia="Times New Roman"/>
                <w:color w:val="000000"/>
                <w:szCs w:val="23"/>
              </w:rPr>
            </w:pPr>
            <w:r w:rsidRPr="00CF5CB2">
              <w:rPr>
                <w:rFonts w:eastAsia="Times New Roman"/>
                <w:color w:val="000000"/>
                <w:szCs w:val="23"/>
              </w:rPr>
              <w:t>postawieniu wiat rowerowych,</w:t>
            </w:r>
          </w:p>
          <w:p w:rsidR="00902FA1" w:rsidRPr="00CF5CB2" w:rsidRDefault="00902FA1" w:rsidP="00902FA1">
            <w:pPr>
              <w:pStyle w:val="Akapitzlist"/>
              <w:numPr>
                <w:ilvl w:val="0"/>
                <w:numId w:val="53"/>
              </w:numPr>
              <w:spacing w:after="0" w:line="276" w:lineRule="auto"/>
              <w:jc w:val="left"/>
              <w:rPr>
                <w:rFonts w:eastAsia="Times New Roman"/>
                <w:color w:val="000000"/>
                <w:szCs w:val="23"/>
              </w:rPr>
            </w:pPr>
            <w:r w:rsidRPr="00CF5CB2">
              <w:rPr>
                <w:rFonts w:eastAsia="Times New Roman"/>
                <w:color w:val="000000"/>
                <w:szCs w:val="23"/>
              </w:rPr>
              <w:t xml:space="preserve">poprawie stanu płyty parkingowej, </w:t>
            </w:r>
          </w:p>
          <w:p w:rsidR="00902FA1" w:rsidRPr="00CF5CB2" w:rsidRDefault="00902FA1" w:rsidP="00902FA1">
            <w:pPr>
              <w:pStyle w:val="Akapitzlist"/>
              <w:numPr>
                <w:ilvl w:val="0"/>
                <w:numId w:val="53"/>
              </w:numPr>
              <w:spacing w:after="0" w:line="276" w:lineRule="auto"/>
              <w:jc w:val="left"/>
              <w:rPr>
                <w:rFonts w:eastAsia="Times New Roman"/>
                <w:color w:val="000000"/>
                <w:szCs w:val="23"/>
              </w:rPr>
            </w:pPr>
            <w:r w:rsidRPr="00CF5CB2">
              <w:rPr>
                <w:rFonts w:eastAsia="Times New Roman"/>
                <w:color w:val="000000"/>
                <w:szCs w:val="23"/>
              </w:rPr>
              <w:t>przebudowie przystanków autobusowych,</w:t>
            </w:r>
          </w:p>
          <w:p w:rsidR="00902FA1" w:rsidRPr="00CF5CB2" w:rsidRDefault="00902FA1" w:rsidP="00902FA1">
            <w:pPr>
              <w:pStyle w:val="Akapitzlist"/>
              <w:numPr>
                <w:ilvl w:val="0"/>
                <w:numId w:val="53"/>
              </w:numPr>
              <w:spacing w:after="0" w:line="276" w:lineRule="auto"/>
              <w:jc w:val="left"/>
              <w:rPr>
                <w:rFonts w:eastAsia="Times New Roman"/>
                <w:color w:val="000000"/>
                <w:szCs w:val="23"/>
              </w:rPr>
            </w:pPr>
            <w:r w:rsidRPr="00CF5CB2">
              <w:rPr>
                <w:rFonts w:eastAsia="Times New Roman"/>
                <w:color w:val="000000"/>
                <w:szCs w:val="23"/>
              </w:rPr>
              <w:t xml:space="preserve">zagospodarowaniu otoczenia węzła poprzez min. postawienie ławek dla oczekujących na połączenia. </w:t>
            </w:r>
          </w:p>
          <w:p w:rsidR="00902FA1" w:rsidRPr="00CF5CB2" w:rsidRDefault="00902FA1" w:rsidP="00902FA1">
            <w:pPr>
              <w:pStyle w:val="Akapitzlist"/>
              <w:numPr>
                <w:ilvl w:val="0"/>
                <w:numId w:val="53"/>
              </w:numPr>
              <w:spacing w:after="0" w:line="276" w:lineRule="auto"/>
              <w:jc w:val="left"/>
              <w:rPr>
                <w:rFonts w:eastAsia="Times New Roman"/>
                <w:color w:val="000000"/>
                <w:szCs w:val="23"/>
              </w:rPr>
            </w:pPr>
            <w:r w:rsidRPr="00CF5CB2">
              <w:rPr>
                <w:rFonts w:eastAsia="Times New Roman"/>
                <w:color w:val="000000"/>
                <w:szCs w:val="23"/>
              </w:rPr>
              <w:lastRenderedPageBreak/>
              <w:t xml:space="preserve">poprawie stanu ciągu dojazdowego przebiegającego bezpośrednio przez węzeł, na którym zlokalizowany jest przystanek autobusowy i stacja PKP. </w:t>
            </w:r>
          </w:p>
          <w:p w:rsidR="00902FA1" w:rsidRPr="00CF5CB2" w:rsidRDefault="00902FA1" w:rsidP="00FA5D8A">
            <w:pPr>
              <w:spacing w:after="0" w:line="276" w:lineRule="auto"/>
              <w:rPr>
                <w:rFonts w:eastAsia="Times New Roman"/>
                <w:color w:val="000000"/>
                <w:szCs w:val="23"/>
              </w:rPr>
            </w:pP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Projekt planowany jest do realizacji w partnerstwie z Powiatem Lublinieckim i Gminami Pawonków, Ciasna, Kochanowice i Koszęcin pod wspólna nazwą: Projekt: „Budowa zintegrowanych węzłów Park &amp;</w:t>
            </w:r>
            <w:proofErr w:type="spellStart"/>
            <w:r w:rsidRPr="00CF5CB2">
              <w:rPr>
                <w:rFonts w:eastAsia="Times New Roman"/>
                <w:color w:val="000000"/>
                <w:szCs w:val="23"/>
              </w:rPr>
              <w:t>Ride</w:t>
            </w:r>
            <w:proofErr w:type="spellEnd"/>
            <w:r w:rsidRPr="00CF5CB2">
              <w:rPr>
                <w:rFonts w:eastAsia="Times New Roman"/>
                <w:color w:val="000000"/>
                <w:szCs w:val="23"/>
              </w:rPr>
              <w:t xml:space="preserve"> i </w:t>
            </w:r>
            <w:proofErr w:type="spellStart"/>
            <w:r w:rsidRPr="00CF5CB2">
              <w:rPr>
                <w:rFonts w:eastAsia="Times New Roman"/>
                <w:color w:val="000000"/>
                <w:szCs w:val="23"/>
              </w:rPr>
              <w:t>Bike&amp;Ride</w:t>
            </w:r>
            <w:proofErr w:type="spellEnd"/>
            <w:r w:rsidRPr="00CF5CB2">
              <w:rPr>
                <w:rFonts w:eastAsia="Times New Roman"/>
                <w:color w:val="000000"/>
                <w:szCs w:val="23"/>
              </w:rPr>
              <w:t xml:space="preserve"> na terenie Powiatu Lublinieckiego w miejscowościach Lubliniec, Ciasna, Herby wraz z budową łączących je dróg rowerowych w gminach: Ciasna, Pawonków, Herby, Lubliniec, Koszęcin, Kochanowice”. </w:t>
            </w:r>
          </w:p>
          <w:p w:rsidR="00902FA1" w:rsidRPr="00CF5CB2" w:rsidRDefault="00902FA1" w:rsidP="00FA5D8A">
            <w:pPr>
              <w:spacing w:after="0" w:line="276" w:lineRule="auto"/>
              <w:rPr>
                <w:rFonts w:eastAsia="Times New Roman"/>
                <w:color w:val="000000"/>
                <w:szCs w:val="23"/>
              </w:rPr>
            </w:pPr>
          </w:p>
          <w:p w:rsidR="00902FA1" w:rsidRPr="00CF5CB2" w:rsidRDefault="00902FA1" w:rsidP="00FA5D8A">
            <w:pPr>
              <w:spacing w:after="0" w:line="276" w:lineRule="auto"/>
              <w:rPr>
                <w:rFonts w:eastAsia="Times New Roman"/>
                <w:color w:val="000000"/>
                <w:szCs w:val="23"/>
              </w:rPr>
            </w:pPr>
            <w:r w:rsidRPr="00CF5CB2">
              <w:rPr>
                <w:rFonts w:eastAsia="Times New Roman"/>
                <w:color w:val="000000"/>
                <w:szCs w:val="23"/>
              </w:rPr>
              <w:t xml:space="preserve">Herby stanowią ważny węzeł komunikacyjny -  kolejowy jak i autobusowy, zapewniający dojazd mieszkańców do pracy oraz uczniów do szkół i do wielu strategicznych ośrodków gospodarczych. Realizowane są tu połączenia kolejowe na linii  Opole, Lubliniec-Częstochowa oraz z aglomeracji śląskiej na północ kraju. Przebiega tędy magistrala kolejowa Śląsk-Porty, powstała linia dla pociągów </w:t>
            </w:r>
            <w:proofErr w:type="spellStart"/>
            <w:r w:rsidRPr="00CF5CB2">
              <w:rPr>
                <w:rFonts w:eastAsia="Times New Roman"/>
                <w:color w:val="000000"/>
                <w:szCs w:val="23"/>
              </w:rPr>
              <w:t>Pendolino</w:t>
            </w:r>
            <w:proofErr w:type="spellEnd"/>
            <w:r w:rsidRPr="00CF5CB2">
              <w:rPr>
                <w:rFonts w:eastAsia="Times New Roman"/>
                <w:color w:val="000000"/>
                <w:szCs w:val="23"/>
              </w:rPr>
              <w:t xml:space="preserve">. Połączenia autobusowe zapewniają komunikację z Opolem, Lublińcem, Częstochową,  Katowicami i Praszką. Potrzeba realizacji projektu wynika z konieczności podniesienia jakości systemu komunikacji skierowanego dla osób niezmotoryzowanych lub chcących pozostawić pojazd i skorzystać z komunikacji publicznej, dojeżdżających do pracy i szkół w większych ośrodkach gospodarczych poprzez jego rozbudowę o drogi rowerowe wzdłuż bardzo ruchliwej drogi DK46 z miejscowości Pietrzaki i Lisów do węzła przesiadkowego w Herbach i Lublińcu. Projektowane drogi rowerowe spełniać będą bardzo ważną funkcję komunikacyjną. Będą łączyć się z istniejącą drogą rowerową przy DW 905 i wieloma drogami gminnymi czy </w:t>
            </w:r>
            <w:r w:rsidRPr="00CF5CB2">
              <w:rPr>
                <w:rFonts w:eastAsia="Times New Roman"/>
                <w:color w:val="000000"/>
                <w:szCs w:val="23"/>
              </w:rPr>
              <w:lastRenderedPageBreak/>
              <w:t xml:space="preserve">powiatowymi naszej gminy oraz siecią ścieżek i dróg w sąsiadujących gminach, a co za tym idzie umożliwią dojazd do węzła w Herbach z wielu miejscowości gminy Herby oraz gmin ościennych. Będą alternatywą dla ruchu samochodowego, zapewnią bezpieczeństwo dojazdu i przyczynią się do obniżenia emisji spalin. Powstałe w ramach projektu drogi rowerowe zapewnią łatwy, bezpieczny i szybki sposób dostępu do środków komunikacji publicznej. Czas dojazdu na rowerze do centrum przesiadkowego w Herbach nie powinien przekroczyć 20 min z najodleglejszego punktu. </w:t>
            </w:r>
          </w:p>
          <w:p w:rsidR="00902FA1" w:rsidRPr="00CF5CB2" w:rsidRDefault="00902FA1" w:rsidP="00FA5D8A">
            <w:pPr>
              <w:spacing w:after="0" w:line="276" w:lineRule="auto"/>
              <w:rPr>
                <w:rFonts w:eastAsia="Times New Roman"/>
                <w:color w:val="000000"/>
                <w:szCs w:val="23"/>
              </w:rPr>
            </w:pP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lastRenderedPageBreak/>
              <w:t>Wskaźniki projektu</w:t>
            </w:r>
          </w:p>
        </w:tc>
        <w:tc>
          <w:tcPr>
            <w:tcW w:w="2258" w:type="pct"/>
          </w:tcPr>
          <w:p w:rsidR="00902FA1" w:rsidRPr="00CF5CB2" w:rsidRDefault="00902FA1" w:rsidP="00FA5D8A">
            <w:pPr>
              <w:spacing w:after="0" w:line="276" w:lineRule="auto"/>
              <w:jc w:val="left"/>
              <w:rPr>
                <w:rFonts w:eastAsia="Times New Roman"/>
                <w:color w:val="000000"/>
              </w:rPr>
            </w:pPr>
            <w:r w:rsidRPr="00CF5CB2">
              <w:rPr>
                <w:rFonts w:eastAsia="Times New Roman"/>
                <w:color w:val="000000"/>
              </w:rPr>
              <w:t>1 węzeł przesiadkowy, około 6 km dróg rowerowych.</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Harmonogram działań</w:t>
            </w:r>
          </w:p>
        </w:tc>
        <w:tc>
          <w:tcPr>
            <w:tcW w:w="2258" w:type="pct"/>
            <w:shd w:val="clear" w:color="auto" w:fill="D3DFEE"/>
          </w:tcPr>
          <w:p w:rsidR="00902FA1" w:rsidRPr="00CF5CB2" w:rsidRDefault="00902FA1" w:rsidP="00902FA1">
            <w:pPr>
              <w:pStyle w:val="Akapitzlist"/>
              <w:numPr>
                <w:ilvl w:val="0"/>
                <w:numId w:val="49"/>
              </w:numPr>
              <w:spacing w:after="0" w:line="276" w:lineRule="auto"/>
              <w:jc w:val="left"/>
              <w:rPr>
                <w:rFonts w:eastAsia="Times New Roman"/>
                <w:color w:val="000000"/>
              </w:rPr>
            </w:pPr>
            <w:r w:rsidRPr="00B66501">
              <w:rPr>
                <w:rFonts w:eastAsia="Times New Roman"/>
              </w:rPr>
              <w:t>2016</w:t>
            </w:r>
            <w:r w:rsidR="00C17FBD" w:rsidRPr="00B66501">
              <w:rPr>
                <w:rFonts w:eastAsia="Times New Roman"/>
              </w:rPr>
              <w:t xml:space="preserve"> - 2017</w:t>
            </w:r>
            <w:r w:rsidRPr="00CF5CB2">
              <w:rPr>
                <w:rFonts w:eastAsia="Times New Roman"/>
                <w:color w:val="000000"/>
              </w:rPr>
              <w:t xml:space="preserve"> – opracowanie dokumentacji projektowo-kosztorysowej i przetargowej. </w:t>
            </w:r>
          </w:p>
          <w:p w:rsidR="00902FA1" w:rsidRPr="00CF5CB2" w:rsidRDefault="00902FA1" w:rsidP="00C17FBD">
            <w:pPr>
              <w:pStyle w:val="Akapitzlist"/>
              <w:numPr>
                <w:ilvl w:val="0"/>
                <w:numId w:val="49"/>
              </w:numPr>
              <w:spacing w:after="0" w:line="276" w:lineRule="auto"/>
              <w:jc w:val="left"/>
              <w:rPr>
                <w:rFonts w:eastAsia="Times New Roman"/>
                <w:color w:val="000000"/>
              </w:rPr>
            </w:pPr>
            <w:r w:rsidRPr="00B66501">
              <w:rPr>
                <w:rFonts w:eastAsia="Times New Roman"/>
              </w:rPr>
              <w:t>201</w:t>
            </w:r>
            <w:r w:rsidR="00C17FBD" w:rsidRPr="00B66501">
              <w:rPr>
                <w:rFonts w:eastAsia="Times New Roman"/>
              </w:rPr>
              <w:t>7</w:t>
            </w:r>
            <w:r w:rsidRPr="00B66501">
              <w:rPr>
                <w:rFonts w:eastAsia="Times New Roman"/>
              </w:rPr>
              <w:t>-20</w:t>
            </w:r>
            <w:r w:rsidR="00C17FBD" w:rsidRPr="00B66501">
              <w:rPr>
                <w:rFonts w:eastAsia="Times New Roman"/>
              </w:rPr>
              <w:t>20</w:t>
            </w:r>
            <w:r w:rsidRPr="00CF5CB2">
              <w:rPr>
                <w:rFonts w:eastAsia="Times New Roman"/>
                <w:color w:val="000000"/>
              </w:rPr>
              <w:t xml:space="preserve">– realizacja. </w:t>
            </w:r>
          </w:p>
        </w:tc>
      </w:tr>
      <w:tr w:rsidR="00902FA1" w:rsidRPr="00CF5CB2" w:rsidTr="00FA5D8A">
        <w:tc>
          <w:tcPr>
            <w:tcW w:w="2742" w:type="pct"/>
            <w:shd w:val="clear" w:color="auto" w:fill="FFFFFF"/>
            <w:noWrap/>
          </w:tcPr>
          <w:p w:rsidR="00902FA1" w:rsidRPr="00CF5CB2" w:rsidRDefault="00902FA1" w:rsidP="00FA5D8A">
            <w:pPr>
              <w:spacing w:after="0"/>
              <w:rPr>
                <w:rFonts w:eastAsia="Times New Roman"/>
                <w:color w:val="000000"/>
              </w:rPr>
            </w:pPr>
            <w:r w:rsidRPr="00CF5CB2">
              <w:rPr>
                <w:rFonts w:eastAsia="Times New Roman"/>
                <w:color w:val="000000"/>
              </w:rPr>
              <w:t>Przewidywany termin rozpoczęcia realizacji projektu</w:t>
            </w:r>
          </w:p>
        </w:tc>
        <w:tc>
          <w:tcPr>
            <w:tcW w:w="2258" w:type="pct"/>
          </w:tcPr>
          <w:p w:rsidR="00902FA1" w:rsidRPr="00C17FBD" w:rsidRDefault="00902FA1" w:rsidP="00C17FBD">
            <w:pPr>
              <w:spacing w:after="0" w:line="276" w:lineRule="auto"/>
              <w:jc w:val="center"/>
              <w:rPr>
                <w:rFonts w:eastAsia="Times New Roman"/>
                <w:color w:val="FF0000"/>
              </w:rPr>
            </w:pPr>
            <w:r w:rsidRPr="00B66501">
              <w:rPr>
                <w:rFonts w:eastAsia="Times New Roman"/>
              </w:rPr>
              <w:t>201</w:t>
            </w:r>
            <w:r w:rsidR="00C17FBD" w:rsidRPr="00B66501">
              <w:rPr>
                <w:rFonts w:eastAsia="Times New Roman"/>
              </w:rPr>
              <w:t>7</w:t>
            </w:r>
          </w:p>
        </w:tc>
      </w:tr>
      <w:tr w:rsidR="00902FA1" w:rsidRPr="00CF5CB2" w:rsidTr="00FA5D8A">
        <w:tc>
          <w:tcPr>
            <w:tcW w:w="2742" w:type="pct"/>
            <w:shd w:val="clear" w:color="auto" w:fill="DBE5F1"/>
            <w:noWrap/>
          </w:tcPr>
          <w:p w:rsidR="00902FA1" w:rsidRPr="00CF5CB2" w:rsidRDefault="00902FA1" w:rsidP="00FA5D8A">
            <w:pPr>
              <w:spacing w:after="0"/>
              <w:rPr>
                <w:rFonts w:eastAsia="Times New Roman"/>
                <w:color w:val="000000"/>
              </w:rPr>
            </w:pPr>
            <w:r w:rsidRPr="00CF5CB2">
              <w:rPr>
                <w:rFonts w:eastAsia="Times New Roman"/>
                <w:color w:val="000000"/>
              </w:rPr>
              <w:t>Przewidywany termin zakończenia realizacji projektu</w:t>
            </w:r>
          </w:p>
        </w:tc>
        <w:tc>
          <w:tcPr>
            <w:tcW w:w="2258" w:type="pct"/>
            <w:shd w:val="clear" w:color="auto" w:fill="D3DFEE"/>
          </w:tcPr>
          <w:p w:rsidR="00902FA1" w:rsidRPr="00CF5CB2" w:rsidRDefault="00902FA1" w:rsidP="00FA5D8A">
            <w:pPr>
              <w:spacing w:after="0" w:line="276" w:lineRule="auto"/>
              <w:jc w:val="center"/>
              <w:rPr>
                <w:rFonts w:eastAsia="Times New Roman"/>
                <w:color w:val="000000"/>
              </w:rPr>
            </w:pPr>
            <w:r w:rsidRPr="00CF5CB2">
              <w:rPr>
                <w:rFonts w:eastAsia="Times New Roman"/>
                <w:color w:val="000000"/>
              </w:rPr>
              <w:t>2020</w:t>
            </w:r>
          </w:p>
        </w:tc>
      </w:tr>
      <w:tr w:rsidR="00902FA1" w:rsidRPr="00CF5CB2" w:rsidTr="00FA5D8A">
        <w:tc>
          <w:tcPr>
            <w:tcW w:w="2742" w:type="pct"/>
            <w:shd w:val="clear" w:color="auto" w:fill="DBE5F1"/>
            <w:noWrap/>
          </w:tcPr>
          <w:p w:rsidR="00902FA1" w:rsidRPr="00CC6DD9" w:rsidRDefault="00902FA1" w:rsidP="00FA5D8A">
            <w:pPr>
              <w:spacing w:after="0"/>
              <w:rPr>
                <w:rFonts w:eastAsia="Times New Roman"/>
              </w:rPr>
            </w:pPr>
            <w:r w:rsidRPr="00CC6DD9">
              <w:rPr>
                <w:rFonts w:eastAsia="Times New Roman"/>
              </w:rPr>
              <w:t>Szacunkowy efekt ekologiczny MgCO2/rok</w:t>
            </w:r>
          </w:p>
        </w:tc>
        <w:tc>
          <w:tcPr>
            <w:tcW w:w="2258" w:type="pct"/>
            <w:shd w:val="clear" w:color="auto" w:fill="D3DFEE"/>
          </w:tcPr>
          <w:p w:rsidR="00902FA1" w:rsidRPr="006D2A6B" w:rsidRDefault="00902FA1" w:rsidP="00FA5D8A">
            <w:pPr>
              <w:spacing w:after="0"/>
              <w:jc w:val="center"/>
              <w:rPr>
                <w:rFonts w:eastAsia="Times New Roman"/>
              </w:rPr>
            </w:pPr>
            <w:r>
              <w:rPr>
                <w:rFonts w:eastAsia="Times New Roman"/>
              </w:rPr>
              <w:t>76,65</w:t>
            </w:r>
          </w:p>
        </w:tc>
      </w:tr>
      <w:tr w:rsidR="00902FA1" w:rsidRPr="00CF5CB2" w:rsidTr="00FA5D8A">
        <w:tc>
          <w:tcPr>
            <w:tcW w:w="2742" w:type="pct"/>
            <w:shd w:val="clear" w:color="auto" w:fill="DBE5F1"/>
            <w:noWrap/>
          </w:tcPr>
          <w:p w:rsidR="00902FA1" w:rsidRPr="00CC6DD9" w:rsidRDefault="00902FA1" w:rsidP="00FA5D8A">
            <w:pPr>
              <w:spacing w:after="0"/>
              <w:rPr>
                <w:rFonts w:eastAsia="Times New Roman"/>
              </w:rPr>
            </w:pPr>
            <w:r w:rsidRPr="00CC6DD9">
              <w:rPr>
                <w:rFonts w:eastAsia="Times New Roman"/>
              </w:rPr>
              <w:t xml:space="preserve">Szacunkowe zmniejszenie zużycia energii </w:t>
            </w:r>
            <w:proofErr w:type="spellStart"/>
            <w:r w:rsidRPr="00CC6DD9">
              <w:rPr>
                <w:rFonts w:eastAsia="Times New Roman"/>
              </w:rPr>
              <w:t>MWh</w:t>
            </w:r>
            <w:proofErr w:type="spellEnd"/>
          </w:p>
        </w:tc>
        <w:tc>
          <w:tcPr>
            <w:tcW w:w="2258" w:type="pct"/>
            <w:shd w:val="clear" w:color="auto" w:fill="D3DFEE"/>
          </w:tcPr>
          <w:p w:rsidR="00902FA1" w:rsidRPr="00C17FBD" w:rsidRDefault="00902FA1" w:rsidP="00FA5D8A">
            <w:pPr>
              <w:spacing w:after="0"/>
              <w:jc w:val="center"/>
              <w:rPr>
                <w:rFonts w:eastAsia="Times New Roman"/>
                <w:color w:val="FF0000"/>
              </w:rPr>
            </w:pPr>
            <w:r w:rsidRPr="00B66501">
              <w:rPr>
                <w:rFonts w:eastAsia="Times New Roman"/>
              </w:rPr>
              <w:t>304,34</w:t>
            </w:r>
          </w:p>
        </w:tc>
      </w:tr>
    </w:tbl>
    <w:p w:rsidR="00F479EC" w:rsidRDefault="00F479EC" w:rsidP="001563AD"/>
    <w:p w:rsidR="00C55CA7" w:rsidRDefault="00064A86" w:rsidP="00064A86">
      <w:pPr>
        <w:pStyle w:val="Nagwek1"/>
        <w:numPr>
          <w:ilvl w:val="0"/>
          <w:numId w:val="1"/>
        </w:numPr>
      </w:pPr>
      <w:bookmarkStart w:id="118" w:name="_Toc438118406"/>
      <w:r>
        <w:t>Ocena realizacji i zarządzanie planem</w:t>
      </w:r>
      <w:bookmarkEnd w:id="118"/>
    </w:p>
    <w:p w:rsidR="00064A86" w:rsidRDefault="002E6091" w:rsidP="00064A86">
      <w:pPr>
        <w:pStyle w:val="Nagwek2"/>
        <w:numPr>
          <w:ilvl w:val="1"/>
          <w:numId w:val="1"/>
        </w:numPr>
      </w:pPr>
      <w:bookmarkStart w:id="119" w:name="_Toc438118407"/>
      <w:r>
        <w:t xml:space="preserve"> </w:t>
      </w:r>
      <w:r w:rsidR="00064A86">
        <w:t>Monitoring i wskaźniki</w:t>
      </w:r>
      <w:bookmarkEnd w:id="119"/>
    </w:p>
    <w:p w:rsidR="00EB4C9E" w:rsidRPr="00EB4C9E" w:rsidRDefault="00EB4C9E" w:rsidP="00EB4C9E"/>
    <w:p w:rsidR="00FB38D8" w:rsidRPr="00FB38D8" w:rsidRDefault="00FB38D8" w:rsidP="00FB38D8">
      <w:r w:rsidRPr="00FB38D8">
        <w:t xml:space="preserve">Koniecznym elementem wdrażania Planu Gospodarki Niskoemisyjnej dla gminy Herby </w:t>
      </w:r>
      <w:r w:rsidRPr="00FB38D8">
        <w:br/>
        <w:t xml:space="preserve">jest monitoring efektów podejmowanych działań. Jednym z elementów wdrażania PGN jest zatem aktualizacja bazy danych o emisji oraz systematycznie prowadzona inwentaryzacja. Działania te są możliwe dzięki zaangażowaniu zasobów ludzkich i finansowych, a także współpracy z podmiotami, które funkcjonują na terenie gminy, m.in. przedsiębiorstwami energetycznymi, produkcyjnymi, handlowymi i usługowymi, a także społecznością lokalną gminy Herby. </w:t>
      </w:r>
    </w:p>
    <w:p w:rsidR="00F24E71" w:rsidRPr="00BA68DC" w:rsidRDefault="00FB38D8" w:rsidP="00BA68DC">
      <w:pPr>
        <w:rPr>
          <w:color w:val="000000" w:themeColor="text1"/>
        </w:rPr>
      </w:pPr>
      <w:r w:rsidRPr="00FB38D8">
        <w:lastRenderedPageBreak/>
        <w:t xml:space="preserve">Ponadto należy kontynuować i rozwijać system monitoringu zużycia energii i paliw w obiektach bezpośrednio zarządzanych przez gminę i placówki podległe. </w:t>
      </w:r>
    </w:p>
    <w:p w:rsidR="00851EDB" w:rsidRPr="00F97304" w:rsidRDefault="00851EDB" w:rsidP="00851EDB">
      <w:r w:rsidRPr="00F97304">
        <w:t>Poniżej przedstawiono główne wskaźniki monitorowania, które należy poddać okresowej ocenie i analizie:</w:t>
      </w:r>
    </w:p>
    <w:p w:rsidR="00851EDB" w:rsidRPr="00F97304" w:rsidRDefault="00851EDB" w:rsidP="00E7342B">
      <w:pPr>
        <w:numPr>
          <w:ilvl w:val="0"/>
          <w:numId w:val="54"/>
        </w:numPr>
        <w:spacing w:before="120" w:after="120" w:line="276" w:lineRule="auto"/>
      </w:pPr>
      <w:r w:rsidRPr="00F97304">
        <w:t>poziom emisji, CO2 w stosunku do przyjętego roku bazowego,</w:t>
      </w:r>
    </w:p>
    <w:p w:rsidR="00851EDB" w:rsidRPr="00F97304" w:rsidRDefault="00851EDB" w:rsidP="00E7342B">
      <w:pPr>
        <w:numPr>
          <w:ilvl w:val="0"/>
          <w:numId w:val="54"/>
        </w:numPr>
        <w:spacing w:before="120" w:after="120" w:line="276" w:lineRule="auto"/>
      </w:pPr>
      <w:r w:rsidRPr="00F97304">
        <w:t>poziom zużycia energii finalnej w stosunku do przyjętego roku bazowego, w tym:</w:t>
      </w:r>
    </w:p>
    <w:p w:rsidR="00851EDB" w:rsidRPr="00F97304" w:rsidRDefault="00851EDB" w:rsidP="00E7342B">
      <w:pPr>
        <w:numPr>
          <w:ilvl w:val="0"/>
          <w:numId w:val="54"/>
        </w:numPr>
        <w:spacing w:before="120" w:after="120" w:line="276" w:lineRule="auto"/>
      </w:pPr>
      <w:r w:rsidRPr="00F97304">
        <w:t xml:space="preserve">zużycie paliw kopalnianych, </w:t>
      </w:r>
    </w:p>
    <w:p w:rsidR="00851EDB" w:rsidRPr="00F97304" w:rsidRDefault="00851EDB" w:rsidP="00E7342B">
      <w:pPr>
        <w:numPr>
          <w:ilvl w:val="0"/>
          <w:numId w:val="54"/>
        </w:numPr>
        <w:spacing w:before="120" w:after="120" w:line="276" w:lineRule="auto"/>
      </w:pPr>
      <w:r w:rsidRPr="00F97304">
        <w:t xml:space="preserve">zużycie paliw na potrzeby transportu, </w:t>
      </w:r>
    </w:p>
    <w:p w:rsidR="00851EDB" w:rsidRPr="00F97304" w:rsidRDefault="00851EDB" w:rsidP="00E7342B">
      <w:pPr>
        <w:numPr>
          <w:ilvl w:val="0"/>
          <w:numId w:val="54"/>
        </w:numPr>
        <w:spacing w:before="120" w:after="120" w:line="276" w:lineRule="auto"/>
      </w:pPr>
      <w:r w:rsidRPr="00F97304">
        <w:t xml:space="preserve">zużycie energii elektrycznej, </w:t>
      </w:r>
    </w:p>
    <w:p w:rsidR="00851EDB" w:rsidRPr="00F97304" w:rsidRDefault="00851EDB" w:rsidP="00E7342B">
      <w:pPr>
        <w:numPr>
          <w:ilvl w:val="0"/>
          <w:numId w:val="54"/>
        </w:numPr>
        <w:spacing w:before="120" w:after="120" w:line="276" w:lineRule="auto"/>
      </w:pPr>
      <w:r w:rsidRPr="00F97304">
        <w:t>udział zużytej energii pochodzącej ze źródeł odnawialnych,</w:t>
      </w:r>
    </w:p>
    <w:p w:rsidR="00851EDB" w:rsidRPr="00F97304" w:rsidRDefault="00851EDB" w:rsidP="00E7342B">
      <w:pPr>
        <w:numPr>
          <w:ilvl w:val="0"/>
          <w:numId w:val="54"/>
        </w:numPr>
        <w:spacing w:before="120" w:after="120" w:line="276" w:lineRule="auto"/>
      </w:pPr>
      <w:r w:rsidRPr="00F97304">
        <w:t>stopień realizacji przedsięwzięć i zadań,</w:t>
      </w:r>
    </w:p>
    <w:p w:rsidR="00851EDB" w:rsidRPr="00F97304" w:rsidRDefault="00851EDB" w:rsidP="00E7342B">
      <w:pPr>
        <w:numPr>
          <w:ilvl w:val="0"/>
          <w:numId w:val="54"/>
        </w:numPr>
        <w:spacing w:before="120" w:after="120" w:line="276" w:lineRule="auto"/>
      </w:pPr>
      <w:r w:rsidRPr="00F97304">
        <w:t xml:space="preserve">poziom wykonania przyjętych celów, </w:t>
      </w:r>
    </w:p>
    <w:p w:rsidR="00851EDB" w:rsidRPr="00F97304" w:rsidRDefault="00851EDB" w:rsidP="00E7342B">
      <w:pPr>
        <w:numPr>
          <w:ilvl w:val="0"/>
          <w:numId w:val="54"/>
        </w:numPr>
        <w:spacing w:before="120" w:after="120" w:line="276" w:lineRule="auto"/>
      </w:pPr>
      <w:r w:rsidRPr="00F97304">
        <w:t>rozbieżności pomiędzy przyjętymi celami i działaniami, a ich realizacją.</w:t>
      </w:r>
    </w:p>
    <w:p w:rsidR="00851EDB" w:rsidRDefault="00851EDB" w:rsidP="00851EDB"/>
    <w:p w:rsidR="00851EDB" w:rsidRDefault="00851EDB" w:rsidP="00851EDB">
      <w:r w:rsidRPr="00F97304">
        <w:t xml:space="preserve">Aby ułatwić monitoring wskaźników efektywności działań określonych w </w:t>
      </w:r>
      <w:r>
        <w:t>PGN</w:t>
      </w:r>
      <w:r w:rsidRPr="00F97304">
        <w:t xml:space="preserve"> zaleca się podział przedmiotu monitorowania na obszar samorządu i obszar społeczeństwa.</w:t>
      </w:r>
    </w:p>
    <w:p w:rsidR="00851EDB" w:rsidRPr="00B576E5" w:rsidRDefault="00851EDB" w:rsidP="00B576E5">
      <w:pPr>
        <w:spacing w:line="240" w:lineRule="auto"/>
        <w:rPr>
          <w:sz w:val="16"/>
          <w:szCs w:val="16"/>
        </w:rPr>
      </w:pPr>
    </w:p>
    <w:p w:rsidR="00662727" w:rsidRDefault="002E6091" w:rsidP="00662727">
      <w:pPr>
        <w:pStyle w:val="Nagwek2"/>
        <w:numPr>
          <w:ilvl w:val="1"/>
          <w:numId w:val="1"/>
        </w:numPr>
      </w:pPr>
      <w:bookmarkStart w:id="120" w:name="_Toc438118408"/>
      <w:r>
        <w:t xml:space="preserve"> </w:t>
      </w:r>
      <w:r w:rsidR="00662727">
        <w:t>Sposób monitorowania realizacji planu gospodarki niskoemisyjnej</w:t>
      </w:r>
      <w:bookmarkEnd w:id="120"/>
    </w:p>
    <w:p w:rsidR="00F24E71" w:rsidRDefault="00F24E71" w:rsidP="00F24E71"/>
    <w:p w:rsidR="00F24E71" w:rsidRDefault="00F24E71" w:rsidP="00F24E71">
      <w:r>
        <w:t>Przyjęty model monitoringu zakłada monitoring w oparciu o władze samorządowe zaangażowane w sporządzanie Planu i odpowiedzialne za jego realizację w składzie:</w:t>
      </w:r>
    </w:p>
    <w:p w:rsidR="00F24E71" w:rsidRPr="003E5E56" w:rsidRDefault="00170CC3" w:rsidP="00F24E71">
      <w:pPr>
        <w:pStyle w:val="Akapitzlist"/>
        <w:numPr>
          <w:ilvl w:val="0"/>
          <w:numId w:val="74"/>
        </w:numPr>
      </w:pPr>
      <w:r w:rsidRPr="003E5E56">
        <w:t xml:space="preserve">Zastępca Wójta </w:t>
      </w:r>
      <w:r w:rsidR="00F24E71" w:rsidRPr="003E5E56">
        <w:t>Gminy Herby,</w:t>
      </w:r>
    </w:p>
    <w:p w:rsidR="00F24E71" w:rsidRDefault="00F24E71" w:rsidP="00F24E71">
      <w:pPr>
        <w:pStyle w:val="Akapitzlist"/>
        <w:numPr>
          <w:ilvl w:val="0"/>
          <w:numId w:val="74"/>
        </w:numPr>
      </w:pPr>
      <w:r>
        <w:t>Skarbnik Gminy Herby,</w:t>
      </w:r>
    </w:p>
    <w:p w:rsidR="00F24E71" w:rsidRPr="003E5E56" w:rsidRDefault="00170CC3" w:rsidP="00F24E71">
      <w:pPr>
        <w:pStyle w:val="Akapitzlist"/>
        <w:numPr>
          <w:ilvl w:val="0"/>
          <w:numId w:val="74"/>
        </w:numPr>
      </w:pPr>
      <w:r w:rsidRPr="003E5E56">
        <w:t>Inspektor ds. inwestycji i zamówień publicznych</w:t>
      </w:r>
      <w:r w:rsidR="00F24E71" w:rsidRPr="003E5E56">
        <w:t>.</w:t>
      </w:r>
    </w:p>
    <w:p w:rsidR="00F24E71" w:rsidRDefault="00F24E71" w:rsidP="00F24E71">
      <w:r>
        <w:t xml:space="preserve">Monitoring należy prowadzić z częstotliwością raz na dwa lata. Istnieje możliwość częstszych spotkań zespołu w miarę powstających potrzeb w tym zakresie. Celem spotkań będzie opracowanie raportu o stanie realizacji przedsięwzięć zapisanych w Planie w aspekcie finansowym i rzeczowym. Analiza taka zapewni zgodność realizacji projektów i Planu z wcześniej zatwierdzonymi założeniami i celami. Jeśli w raportach monitoringowych ujawnione zostaną </w:t>
      </w:r>
      <w:r>
        <w:lastRenderedPageBreak/>
        <w:t>problemy związane z wdrażaniem Planu, zespół powinien podjąć działania mające na celu wyeliminowanie pojawiających się trudności wdrożeniowych.</w:t>
      </w:r>
    </w:p>
    <w:p w:rsidR="00F24E71" w:rsidRDefault="00F24E71" w:rsidP="00F24E71">
      <w:r>
        <w:t xml:space="preserve">Na koniec okresu planowania (tzn. styczniu 2021 roku) zostanie sporządzony raport końcowy, obrazujący faktycznie zrealizowane zadania w kontekście założeń Planu. Wszelkie rozbieżności pomiędzy ustaleniami Planu, a jego rzeczywistym wykonaniem będą w w/w raporcie szczegółowo wyjaśnione. Raport końcowy będzie dostępny do wglądu w Sekretariacie Gminy Herby. </w:t>
      </w:r>
    </w:p>
    <w:p w:rsidR="00F24E71" w:rsidRDefault="00F24E71" w:rsidP="00F24E71">
      <w:r>
        <w:t>Ogólnym celem ewaluacji jest podwyższanie stopnia adekwatności, efektywności i znaczenia rezultatów wynikających z programów finansowanych przez Unię Europejską. Głównym zadaniem jest zatem dążenie do stałego ulepszania skuteczności i efektywności interwencji publicznej, rozumiane nie tylko jako pozytywne efekty społeczne lub gospodarcze związane bezpośrednio z programem, lecz także jako zwiększenie przejrzystości i promowania działań podejmowanych przez władze publiczne.</w:t>
      </w:r>
    </w:p>
    <w:p w:rsidR="00EB4C9E" w:rsidRDefault="00EB4C9E" w:rsidP="00EB4C9E">
      <w:r>
        <w:t xml:space="preserve">Jednym z celów ewaluacji jest również zapewnienie przejrzystości wykorzystania środków publicznych poprzez przekazywanie i upowszechnianie informacji o powodzeniu </w:t>
      </w:r>
      <w:r>
        <w:br/>
        <w:t xml:space="preserve">lub niepowodzeniu przedsięwzięć finansowanych z programów pomocowych. Ewaluacja </w:t>
      </w:r>
      <w:r>
        <w:br/>
        <w:t xml:space="preserve">ma również wymiar edukacyjny. Uczy, bowiem rejestrować i stymulować zmianę, analizować </w:t>
      </w:r>
      <w:r>
        <w:br/>
        <w:t>i rozumieć złożoność zjawisk.</w:t>
      </w:r>
    </w:p>
    <w:p w:rsidR="00EB4C9E" w:rsidRDefault="00EB4C9E" w:rsidP="00EB4C9E">
      <w:r>
        <w:t xml:space="preserve">Ocena końcowa powinna określić na ile zakładane w Planie cele zostały osiągnięte oraz ustalić przyczyny wszelkich odchyleń w realizacji. Ewaluacja posłuży za podstawę sprawdzenia, </w:t>
      </w:r>
      <w:r>
        <w:br/>
        <w:t>czy planowane efekty są zgodne z przyjętymi celami i ich miarami. W trakcie ewaluacji zostanie również dokonana analiza podejmowanych działań korygujących.</w:t>
      </w:r>
    </w:p>
    <w:p w:rsidR="00BA68DC" w:rsidRDefault="00BA68DC" w:rsidP="00EB4C9E"/>
    <w:p w:rsidR="00BA68DC" w:rsidRDefault="00BA68DC" w:rsidP="00EB4C9E"/>
    <w:p w:rsidR="00BA68DC" w:rsidRDefault="00BA68DC" w:rsidP="00EB4C9E"/>
    <w:p w:rsidR="00BA68DC" w:rsidRDefault="00BA68DC" w:rsidP="00EB4C9E"/>
    <w:p w:rsidR="00BA68DC" w:rsidRPr="00F24E71" w:rsidRDefault="00BA68DC" w:rsidP="00EB4C9E"/>
    <w:p w:rsidR="004E2878" w:rsidRPr="006F2005" w:rsidRDefault="004E2878" w:rsidP="004E2878">
      <w:pPr>
        <w:pStyle w:val="Legenda"/>
        <w:keepNext/>
        <w:ind w:firstLine="0"/>
        <w:rPr>
          <w:color w:val="auto"/>
        </w:rPr>
      </w:pPr>
      <w:bookmarkStart w:id="121" w:name="_Toc436586240"/>
      <w:r w:rsidRPr="006F2005">
        <w:rPr>
          <w:color w:val="auto"/>
        </w:rPr>
        <w:lastRenderedPageBreak/>
        <w:t xml:space="preserve">Tabela </w:t>
      </w:r>
      <w:r w:rsidR="00844CE4" w:rsidRPr="006F2005">
        <w:rPr>
          <w:color w:val="auto"/>
        </w:rPr>
        <w:fldChar w:fldCharType="begin"/>
      </w:r>
      <w:r w:rsidR="00387EC7" w:rsidRPr="006F2005">
        <w:rPr>
          <w:color w:val="auto"/>
        </w:rPr>
        <w:instrText xml:space="preserve"> SEQ Tabela \* ARABIC </w:instrText>
      </w:r>
      <w:r w:rsidR="00844CE4" w:rsidRPr="006F2005">
        <w:rPr>
          <w:color w:val="auto"/>
        </w:rPr>
        <w:fldChar w:fldCharType="separate"/>
      </w:r>
      <w:r w:rsidR="005C42FD">
        <w:rPr>
          <w:noProof/>
          <w:color w:val="auto"/>
        </w:rPr>
        <w:t>20</w:t>
      </w:r>
      <w:r w:rsidR="00844CE4" w:rsidRPr="006F2005">
        <w:rPr>
          <w:color w:val="auto"/>
        </w:rPr>
        <w:fldChar w:fldCharType="end"/>
      </w:r>
      <w:r w:rsidRPr="006F2005">
        <w:rPr>
          <w:color w:val="auto"/>
        </w:rPr>
        <w:t xml:space="preserve"> Rodzaje</w:t>
      </w:r>
      <w:r w:rsidR="005C51DA" w:rsidRPr="006F2005">
        <w:rPr>
          <w:color w:val="auto"/>
        </w:rPr>
        <w:t xml:space="preserve"> </w:t>
      </w:r>
      <w:r w:rsidR="00BA68DC" w:rsidRPr="006F2005">
        <w:rPr>
          <w:color w:val="auto"/>
        </w:rPr>
        <w:t>proponowanych</w:t>
      </w:r>
      <w:r w:rsidR="005C51DA" w:rsidRPr="006F2005">
        <w:rPr>
          <w:color w:val="auto"/>
        </w:rPr>
        <w:t xml:space="preserve"> </w:t>
      </w:r>
      <w:r w:rsidRPr="006F2005">
        <w:rPr>
          <w:color w:val="auto"/>
        </w:rPr>
        <w:t>wskaźników do weryfikacji procesu wdrażania Planu Gospodarki Niskoemisyjnej</w:t>
      </w:r>
      <w:bookmarkEnd w:id="121"/>
    </w:p>
    <w:tbl>
      <w:tblPr>
        <w:tblStyle w:val="Jasnecieniowanieakcent17"/>
        <w:tblW w:w="4586" w:type="pct"/>
        <w:tblLayout w:type="fixed"/>
        <w:tblLook w:val="0660"/>
      </w:tblPr>
      <w:tblGrid>
        <w:gridCol w:w="1526"/>
        <w:gridCol w:w="1985"/>
        <w:gridCol w:w="2890"/>
        <w:gridCol w:w="1060"/>
        <w:gridCol w:w="1058"/>
      </w:tblGrid>
      <w:tr w:rsidR="004E2878" w:rsidRPr="00EE2DB0" w:rsidTr="00DF4AC0">
        <w:trPr>
          <w:cnfStyle w:val="100000000000"/>
        </w:trPr>
        <w:tc>
          <w:tcPr>
            <w:tcW w:w="896" w:type="pct"/>
            <w:noWrap/>
            <w:vAlign w:val="center"/>
          </w:tcPr>
          <w:p w:rsidR="004E2878" w:rsidRPr="00EE2DB0" w:rsidRDefault="004E2878" w:rsidP="00DF4AC0">
            <w:pPr>
              <w:spacing w:line="240" w:lineRule="auto"/>
              <w:jc w:val="left"/>
              <w:rPr>
                <w:sz w:val="20"/>
                <w:szCs w:val="20"/>
              </w:rPr>
            </w:pPr>
            <w:r>
              <w:rPr>
                <w:sz w:val="20"/>
                <w:szCs w:val="20"/>
              </w:rPr>
              <w:t>Obszar</w:t>
            </w:r>
          </w:p>
        </w:tc>
        <w:tc>
          <w:tcPr>
            <w:tcW w:w="1165" w:type="pct"/>
            <w:vAlign w:val="center"/>
          </w:tcPr>
          <w:p w:rsidR="004E2878" w:rsidRPr="00EE2DB0" w:rsidRDefault="004E2878" w:rsidP="00DF4AC0">
            <w:pPr>
              <w:spacing w:line="240" w:lineRule="auto"/>
              <w:jc w:val="left"/>
              <w:rPr>
                <w:sz w:val="20"/>
                <w:szCs w:val="20"/>
              </w:rPr>
            </w:pPr>
            <w:r>
              <w:rPr>
                <w:sz w:val="20"/>
                <w:szCs w:val="20"/>
              </w:rPr>
              <w:t>Działanie</w:t>
            </w:r>
          </w:p>
        </w:tc>
        <w:tc>
          <w:tcPr>
            <w:tcW w:w="1696" w:type="pct"/>
            <w:vAlign w:val="center"/>
          </w:tcPr>
          <w:p w:rsidR="004E2878" w:rsidRPr="00EE2DB0" w:rsidRDefault="004E2878" w:rsidP="00DF4AC0">
            <w:pPr>
              <w:spacing w:line="240" w:lineRule="auto"/>
              <w:jc w:val="left"/>
              <w:rPr>
                <w:sz w:val="20"/>
                <w:szCs w:val="20"/>
              </w:rPr>
            </w:pPr>
            <w:r>
              <w:rPr>
                <w:sz w:val="20"/>
                <w:szCs w:val="20"/>
              </w:rPr>
              <w:t>Wskaźniki</w:t>
            </w:r>
          </w:p>
        </w:tc>
        <w:tc>
          <w:tcPr>
            <w:tcW w:w="622" w:type="pct"/>
            <w:vAlign w:val="center"/>
          </w:tcPr>
          <w:p w:rsidR="004E2878" w:rsidRPr="0017571E" w:rsidRDefault="004E2878" w:rsidP="00DF4AC0">
            <w:pPr>
              <w:spacing w:line="240" w:lineRule="auto"/>
              <w:jc w:val="left"/>
              <w:rPr>
                <w:sz w:val="18"/>
                <w:szCs w:val="18"/>
              </w:rPr>
            </w:pPr>
            <w:r w:rsidRPr="0017571E">
              <w:rPr>
                <w:sz w:val="18"/>
                <w:szCs w:val="18"/>
              </w:rPr>
              <w:t>Ocena efektu na podstawie wskaźnika</w:t>
            </w:r>
          </w:p>
        </w:tc>
        <w:tc>
          <w:tcPr>
            <w:tcW w:w="621" w:type="pct"/>
            <w:vAlign w:val="center"/>
          </w:tcPr>
          <w:p w:rsidR="004E2878" w:rsidRDefault="004E2878" w:rsidP="00DF4AC0">
            <w:pPr>
              <w:spacing w:line="240" w:lineRule="auto"/>
              <w:jc w:val="left"/>
              <w:rPr>
                <w:sz w:val="20"/>
                <w:szCs w:val="20"/>
              </w:rPr>
            </w:pPr>
            <w:r>
              <w:rPr>
                <w:sz w:val="20"/>
                <w:szCs w:val="20"/>
              </w:rPr>
              <w:t>Stopień realizacji działań w danym roku [%]</w:t>
            </w:r>
          </w:p>
        </w:tc>
      </w:tr>
      <w:tr w:rsidR="004E2878" w:rsidRPr="00EE2DB0" w:rsidTr="00DF4AC0">
        <w:tc>
          <w:tcPr>
            <w:tcW w:w="896" w:type="pct"/>
            <w:noWrap/>
          </w:tcPr>
          <w:p w:rsidR="004E2878" w:rsidRPr="00EE2DB0" w:rsidRDefault="004E2878" w:rsidP="00DF4AC0">
            <w:pPr>
              <w:spacing w:line="240" w:lineRule="auto"/>
              <w:rPr>
                <w:sz w:val="20"/>
                <w:szCs w:val="20"/>
              </w:rPr>
            </w:pPr>
            <w:r>
              <w:rPr>
                <w:sz w:val="20"/>
                <w:szCs w:val="20"/>
              </w:rPr>
              <w:t>Użyteczność publiczna</w:t>
            </w:r>
          </w:p>
        </w:tc>
        <w:tc>
          <w:tcPr>
            <w:tcW w:w="1165" w:type="pct"/>
          </w:tcPr>
          <w:p w:rsidR="004E2878" w:rsidRPr="00164BAF" w:rsidRDefault="004E2878" w:rsidP="00DF4AC0">
            <w:pPr>
              <w:pStyle w:val="DecimalAligned"/>
              <w:tabs>
                <w:tab w:val="clear" w:pos="360"/>
              </w:tabs>
              <w:rPr>
                <w:sz w:val="20"/>
                <w:szCs w:val="20"/>
              </w:rPr>
            </w:pPr>
            <w:r w:rsidRPr="00164BAF">
              <w:rPr>
                <w:sz w:val="20"/>
                <w:szCs w:val="20"/>
              </w:rPr>
              <w:t>Termomodernizacja obiektów użyteczności publicznej wraz ze stosowaniem OZE</w:t>
            </w:r>
            <w:r>
              <w:rPr>
                <w:sz w:val="20"/>
                <w:szCs w:val="20"/>
              </w:rPr>
              <w:t>.</w:t>
            </w:r>
          </w:p>
          <w:p w:rsidR="004E2878" w:rsidRPr="00EE2DB0" w:rsidRDefault="004E2878" w:rsidP="00DF4AC0">
            <w:pPr>
              <w:pStyle w:val="DecimalAligned"/>
              <w:spacing w:line="240" w:lineRule="auto"/>
              <w:rPr>
                <w:sz w:val="20"/>
                <w:szCs w:val="20"/>
              </w:rPr>
            </w:pPr>
          </w:p>
        </w:tc>
        <w:tc>
          <w:tcPr>
            <w:tcW w:w="1696" w:type="pct"/>
          </w:tcPr>
          <w:p w:rsidR="0017571E" w:rsidRDefault="004E2878" w:rsidP="00DF4AC0">
            <w:pPr>
              <w:pStyle w:val="DecimalAligned"/>
              <w:tabs>
                <w:tab w:val="clear" w:pos="360"/>
              </w:tabs>
              <w:spacing w:line="240" w:lineRule="auto"/>
              <w:ind w:firstLine="34"/>
              <w:rPr>
                <w:sz w:val="20"/>
                <w:szCs w:val="20"/>
              </w:rPr>
            </w:pPr>
            <w:r w:rsidRPr="00164BAF">
              <w:rPr>
                <w:sz w:val="20"/>
                <w:szCs w:val="20"/>
              </w:rPr>
              <w:t xml:space="preserve">Ocena efektów: </w:t>
            </w:r>
          </w:p>
          <w:p w:rsidR="0017571E" w:rsidRDefault="004E2878" w:rsidP="00DF4AC0">
            <w:pPr>
              <w:pStyle w:val="DecimalAligned"/>
              <w:tabs>
                <w:tab w:val="clear" w:pos="360"/>
              </w:tabs>
              <w:spacing w:line="240" w:lineRule="auto"/>
              <w:ind w:firstLine="34"/>
              <w:rPr>
                <w:sz w:val="20"/>
                <w:szCs w:val="20"/>
              </w:rPr>
            </w:pPr>
            <w:r w:rsidRPr="00164BAF">
              <w:rPr>
                <w:sz w:val="20"/>
                <w:szCs w:val="20"/>
              </w:rPr>
              <w:t xml:space="preserve">- Określenie oszczędności energii na podstawie audytu energetycznego, </w:t>
            </w:r>
          </w:p>
          <w:p w:rsidR="004E2878" w:rsidRDefault="004E2878" w:rsidP="00DF4AC0">
            <w:pPr>
              <w:pStyle w:val="DecimalAligned"/>
              <w:tabs>
                <w:tab w:val="clear" w:pos="360"/>
              </w:tabs>
              <w:spacing w:line="240" w:lineRule="auto"/>
              <w:ind w:firstLine="34"/>
              <w:rPr>
                <w:sz w:val="20"/>
                <w:szCs w:val="20"/>
              </w:rPr>
            </w:pPr>
            <w:r w:rsidRPr="00164BAF">
              <w:rPr>
                <w:sz w:val="20"/>
                <w:szCs w:val="20"/>
              </w:rPr>
              <w:t>- Liczba obiektów poddanych</w:t>
            </w:r>
            <w:r>
              <w:rPr>
                <w:sz w:val="20"/>
                <w:szCs w:val="20"/>
              </w:rPr>
              <w:t xml:space="preserve"> termomodernizacj</w:t>
            </w:r>
            <w:r w:rsidRPr="00164BAF">
              <w:rPr>
                <w:sz w:val="20"/>
                <w:szCs w:val="20"/>
              </w:rPr>
              <w:t>i</w:t>
            </w:r>
          </w:p>
          <w:p w:rsidR="00BA68DC" w:rsidRPr="003E5E56" w:rsidRDefault="00BA68DC" w:rsidP="00DF4AC0">
            <w:pPr>
              <w:pStyle w:val="DecimalAligned"/>
              <w:tabs>
                <w:tab w:val="clear" w:pos="360"/>
              </w:tabs>
              <w:spacing w:line="240" w:lineRule="auto"/>
              <w:ind w:firstLine="34"/>
              <w:rPr>
                <w:sz w:val="20"/>
                <w:szCs w:val="20"/>
              </w:rPr>
            </w:pPr>
            <w:r w:rsidRPr="003E5E56">
              <w:rPr>
                <w:sz w:val="20"/>
                <w:szCs w:val="20"/>
              </w:rPr>
              <w:t>-Liczba wybudowanych instalacji OZE</w:t>
            </w:r>
          </w:p>
          <w:p w:rsidR="00BA68DC" w:rsidRPr="00BA68DC" w:rsidRDefault="00BA68DC" w:rsidP="00DF4AC0">
            <w:pPr>
              <w:pStyle w:val="DecimalAligned"/>
              <w:tabs>
                <w:tab w:val="clear" w:pos="360"/>
              </w:tabs>
              <w:spacing w:line="240" w:lineRule="auto"/>
              <w:ind w:firstLine="34"/>
              <w:rPr>
                <w:color w:val="FF0000"/>
                <w:sz w:val="20"/>
                <w:szCs w:val="20"/>
              </w:rPr>
            </w:pPr>
          </w:p>
        </w:tc>
        <w:tc>
          <w:tcPr>
            <w:tcW w:w="622" w:type="pct"/>
          </w:tcPr>
          <w:p w:rsidR="004E2878" w:rsidRPr="00EE2DB0" w:rsidRDefault="004E2878" w:rsidP="00DF4AC0">
            <w:pPr>
              <w:pStyle w:val="DecimalAligned"/>
              <w:tabs>
                <w:tab w:val="clear" w:pos="360"/>
              </w:tabs>
              <w:spacing w:line="240" w:lineRule="auto"/>
              <w:rPr>
                <w:sz w:val="20"/>
                <w:szCs w:val="20"/>
              </w:rPr>
            </w:pPr>
          </w:p>
        </w:tc>
        <w:tc>
          <w:tcPr>
            <w:tcW w:w="621" w:type="pct"/>
          </w:tcPr>
          <w:p w:rsidR="004E2878" w:rsidRPr="00EE2DB0" w:rsidRDefault="004E2878" w:rsidP="00DF4AC0">
            <w:pPr>
              <w:pStyle w:val="DecimalAligned"/>
              <w:spacing w:line="240" w:lineRule="auto"/>
              <w:rPr>
                <w:sz w:val="20"/>
                <w:szCs w:val="20"/>
              </w:rPr>
            </w:pPr>
          </w:p>
        </w:tc>
      </w:tr>
      <w:tr w:rsidR="004E2878" w:rsidRPr="00EE2DB0" w:rsidTr="00DF4AC0">
        <w:tc>
          <w:tcPr>
            <w:tcW w:w="896" w:type="pct"/>
            <w:noWrap/>
          </w:tcPr>
          <w:p w:rsidR="004E2878" w:rsidRPr="00EE2DB0" w:rsidRDefault="004E2878" w:rsidP="00DF4AC0">
            <w:pPr>
              <w:spacing w:line="240" w:lineRule="auto"/>
              <w:rPr>
                <w:sz w:val="20"/>
                <w:szCs w:val="20"/>
              </w:rPr>
            </w:pPr>
            <w:r>
              <w:rPr>
                <w:sz w:val="20"/>
                <w:szCs w:val="20"/>
              </w:rPr>
              <w:t>Użyteczność publiczna</w:t>
            </w:r>
          </w:p>
        </w:tc>
        <w:tc>
          <w:tcPr>
            <w:tcW w:w="1165" w:type="pct"/>
          </w:tcPr>
          <w:p w:rsidR="004E2878" w:rsidRDefault="004E2878" w:rsidP="00DF4AC0">
            <w:pPr>
              <w:pStyle w:val="DecimalAligned"/>
              <w:tabs>
                <w:tab w:val="clear" w:pos="360"/>
              </w:tabs>
              <w:spacing w:line="240" w:lineRule="auto"/>
              <w:rPr>
                <w:sz w:val="20"/>
                <w:szCs w:val="20"/>
              </w:rPr>
            </w:pPr>
            <w:r>
              <w:rPr>
                <w:sz w:val="20"/>
                <w:szCs w:val="20"/>
              </w:rPr>
              <w:t>System zarządzania energią i środowiskiem w obiektach użyteczności publicznej.</w:t>
            </w:r>
          </w:p>
          <w:p w:rsidR="0017571E" w:rsidRPr="00EE2DB0" w:rsidRDefault="0017571E" w:rsidP="00DF4AC0">
            <w:pPr>
              <w:pStyle w:val="DecimalAligned"/>
              <w:tabs>
                <w:tab w:val="clear" w:pos="360"/>
              </w:tabs>
              <w:spacing w:line="240" w:lineRule="auto"/>
              <w:rPr>
                <w:sz w:val="20"/>
                <w:szCs w:val="20"/>
              </w:rPr>
            </w:pPr>
          </w:p>
        </w:tc>
        <w:tc>
          <w:tcPr>
            <w:tcW w:w="1696" w:type="pct"/>
          </w:tcPr>
          <w:p w:rsidR="004E2878" w:rsidRPr="00EE2DB0" w:rsidRDefault="004E2878" w:rsidP="0017571E">
            <w:pPr>
              <w:pStyle w:val="DecimalAligned"/>
              <w:spacing w:line="240" w:lineRule="auto"/>
              <w:rPr>
                <w:sz w:val="20"/>
                <w:szCs w:val="20"/>
              </w:rPr>
            </w:pPr>
            <w:r>
              <w:rPr>
                <w:sz w:val="20"/>
                <w:szCs w:val="20"/>
              </w:rPr>
              <w:t>Ocena efektów energetycznych: Monitorowanie</w:t>
            </w:r>
            <w:r w:rsidR="0017571E">
              <w:rPr>
                <w:sz w:val="20"/>
                <w:szCs w:val="20"/>
              </w:rPr>
              <w:t xml:space="preserve"> rzeczywistego zużycia energii i </w:t>
            </w:r>
            <w:r>
              <w:rPr>
                <w:sz w:val="20"/>
                <w:szCs w:val="20"/>
              </w:rPr>
              <w:t>paliwa w obiektach, porównanie zużycia.</w:t>
            </w:r>
          </w:p>
        </w:tc>
        <w:tc>
          <w:tcPr>
            <w:tcW w:w="622" w:type="pct"/>
          </w:tcPr>
          <w:p w:rsidR="004E2878" w:rsidRPr="00EE2DB0" w:rsidRDefault="004E2878" w:rsidP="00DF4AC0">
            <w:pPr>
              <w:pStyle w:val="DecimalAligned"/>
              <w:spacing w:line="240" w:lineRule="auto"/>
              <w:rPr>
                <w:sz w:val="20"/>
                <w:szCs w:val="20"/>
              </w:rPr>
            </w:pPr>
          </w:p>
        </w:tc>
        <w:tc>
          <w:tcPr>
            <w:tcW w:w="621" w:type="pct"/>
          </w:tcPr>
          <w:p w:rsidR="004E2878" w:rsidRPr="00EE2DB0" w:rsidRDefault="004E2878" w:rsidP="00DF4AC0">
            <w:pPr>
              <w:pStyle w:val="DecimalAligned"/>
              <w:spacing w:line="240" w:lineRule="auto"/>
              <w:rPr>
                <w:sz w:val="20"/>
                <w:szCs w:val="20"/>
              </w:rPr>
            </w:pPr>
          </w:p>
        </w:tc>
      </w:tr>
      <w:tr w:rsidR="004E2878" w:rsidRPr="00EE2DB0" w:rsidTr="00DF4AC0">
        <w:tc>
          <w:tcPr>
            <w:tcW w:w="896" w:type="pct"/>
            <w:noWrap/>
          </w:tcPr>
          <w:p w:rsidR="004E2878" w:rsidRPr="00EE2DB0" w:rsidRDefault="004E2878" w:rsidP="00DF4AC0">
            <w:pPr>
              <w:spacing w:line="240" w:lineRule="auto"/>
              <w:rPr>
                <w:sz w:val="20"/>
                <w:szCs w:val="20"/>
              </w:rPr>
            </w:pPr>
            <w:r>
              <w:rPr>
                <w:sz w:val="20"/>
                <w:szCs w:val="20"/>
              </w:rPr>
              <w:t>Oświetlenie publiczne</w:t>
            </w:r>
          </w:p>
        </w:tc>
        <w:tc>
          <w:tcPr>
            <w:tcW w:w="1165" w:type="pct"/>
          </w:tcPr>
          <w:p w:rsidR="004E2878" w:rsidRPr="00EE2DB0" w:rsidRDefault="004E2878" w:rsidP="00DF4AC0">
            <w:pPr>
              <w:pStyle w:val="DecimalAligned"/>
              <w:tabs>
                <w:tab w:val="clear" w:pos="360"/>
              </w:tabs>
              <w:spacing w:line="240" w:lineRule="auto"/>
              <w:rPr>
                <w:sz w:val="20"/>
                <w:szCs w:val="20"/>
              </w:rPr>
            </w:pPr>
            <w:r>
              <w:rPr>
                <w:sz w:val="20"/>
                <w:szCs w:val="20"/>
              </w:rPr>
              <w:t xml:space="preserve">Modernizacja pozostałych punktów świetlnych na terenie gminy. </w:t>
            </w:r>
          </w:p>
        </w:tc>
        <w:tc>
          <w:tcPr>
            <w:tcW w:w="1696" w:type="pct"/>
          </w:tcPr>
          <w:p w:rsidR="004E2878" w:rsidRDefault="004E2878" w:rsidP="00DF4AC0">
            <w:pPr>
              <w:pStyle w:val="DecimalAligned"/>
              <w:tabs>
                <w:tab w:val="clear" w:pos="360"/>
              </w:tabs>
              <w:spacing w:line="240" w:lineRule="auto"/>
              <w:rPr>
                <w:sz w:val="20"/>
                <w:szCs w:val="20"/>
              </w:rPr>
            </w:pPr>
            <w:r>
              <w:rPr>
                <w:sz w:val="20"/>
                <w:szCs w:val="20"/>
              </w:rPr>
              <w:t>Ocena efektów energetycznych:</w:t>
            </w:r>
          </w:p>
          <w:p w:rsidR="004E2878" w:rsidRDefault="004E2878" w:rsidP="00E7342B">
            <w:pPr>
              <w:pStyle w:val="DecimalAligned"/>
              <w:numPr>
                <w:ilvl w:val="0"/>
                <w:numId w:val="55"/>
              </w:numPr>
              <w:tabs>
                <w:tab w:val="clear" w:pos="360"/>
              </w:tabs>
              <w:spacing w:line="240" w:lineRule="auto"/>
              <w:ind w:left="317" w:hanging="283"/>
              <w:rPr>
                <w:sz w:val="20"/>
                <w:szCs w:val="20"/>
              </w:rPr>
            </w:pPr>
            <w:r>
              <w:rPr>
                <w:sz w:val="20"/>
                <w:szCs w:val="20"/>
              </w:rPr>
              <w:t>Ilość zużywanej energii elektrycznej,</w:t>
            </w:r>
          </w:p>
          <w:p w:rsidR="004E2878" w:rsidRDefault="004E2878" w:rsidP="00E7342B">
            <w:pPr>
              <w:pStyle w:val="DecimalAligned"/>
              <w:numPr>
                <w:ilvl w:val="0"/>
                <w:numId w:val="55"/>
              </w:numPr>
              <w:tabs>
                <w:tab w:val="clear" w:pos="360"/>
              </w:tabs>
              <w:spacing w:line="240" w:lineRule="auto"/>
              <w:ind w:left="317" w:hanging="283"/>
              <w:rPr>
                <w:sz w:val="20"/>
                <w:szCs w:val="20"/>
              </w:rPr>
            </w:pPr>
            <w:r>
              <w:rPr>
                <w:sz w:val="20"/>
                <w:szCs w:val="20"/>
              </w:rPr>
              <w:t>Moc jednostkowa punktów świetlnych,</w:t>
            </w:r>
          </w:p>
          <w:p w:rsidR="004E2878" w:rsidRDefault="004E2878" w:rsidP="00E7342B">
            <w:pPr>
              <w:pStyle w:val="DecimalAligned"/>
              <w:numPr>
                <w:ilvl w:val="0"/>
                <w:numId w:val="55"/>
              </w:numPr>
              <w:tabs>
                <w:tab w:val="clear" w:pos="360"/>
              </w:tabs>
              <w:spacing w:line="240" w:lineRule="auto"/>
              <w:ind w:left="317" w:hanging="283"/>
              <w:rPr>
                <w:sz w:val="20"/>
                <w:szCs w:val="20"/>
              </w:rPr>
            </w:pPr>
            <w:r>
              <w:rPr>
                <w:sz w:val="20"/>
                <w:szCs w:val="20"/>
              </w:rPr>
              <w:t xml:space="preserve">Liczba wymienionych punktów świetlnych. </w:t>
            </w:r>
          </w:p>
          <w:p w:rsidR="0017571E" w:rsidRPr="00EE2DB0" w:rsidRDefault="0017571E" w:rsidP="0017571E">
            <w:pPr>
              <w:pStyle w:val="DecimalAligned"/>
              <w:tabs>
                <w:tab w:val="clear" w:pos="360"/>
              </w:tabs>
              <w:spacing w:line="240" w:lineRule="auto"/>
              <w:ind w:left="317"/>
              <w:rPr>
                <w:sz w:val="20"/>
                <w:szCs w:val="20"/>
              </w:rPr>
            </w:pPr>
          </w:p>
        </w:tc>
        <w:tc>
          <w:tcPr>
            <w:tcW w:w="622" w:type="pct"/>
          </w:tcPr>
          <w:p w:rsidR="004E2878" w:rsidRPr="00EE2DB0" w:rsidRDefault="004E2878" w:rsidP="00DF4AC0">
            <w:pPr>
              <w:pStyle w:val="DecimalAligned"/>
              <w:spacing w:line="240" w:lineRule="auto"/>
              <w:rPr>
                <w:sz w:val="20"/>
                <w:szCs w:val="20"/>
              </w:rPr>
            </w:pPr>
          </w:p>
        </w:tc>
        <w:tc>
          <w:tcPr>
            <w:tcW w:w="621" w:type="pct"/>
          </w:tcPr>
          <w:p w:rsidR="004E2878" w:rsidRPr="00EE2DB0" w:rsidRDefault="004E2878" w:rsidP="00DF4AC0">
            <w:pPr>
              <w:pStyle w:val="DecimalAligned"/>
              <w:spacing w:line="240" w:lineRule="auto"/>
              <w:rPr>
                <w:sz w:val="20"/>
                <w:szCs w:val="20"/>
              </w:rPr>
            </w:pPr>
          </w:p>
        </w:tc>
      </w:tr>
      <w:tr w:rsidR="003E5E56" w:rsidRPr="003E5E56" w:rsidTr="00DF4AC0">
        <w:tc>
          <w:tcPr>
            <w:tcW w:w="896" w:type="pct"/>
            <w:noWrap/>
          </w:tcPr>
          <w:p w:rsidR="004E2878" w:rsidRPr="003E5E56" w:rsidRDefault="004E2878" w:rsidP="00794393">
            <w:pPr>
              <w:spacing w:line="240" w:lineRule="auto"/>
              <w:rPr>
                <w:sz w:val="20"/>
                <w:szCs w:val="20"/>
              </w:rPr>
            </w:pPr>
            <w:r w:rsidRPr="003E5E56">
              <w:rPr>
                <w:sz w:val="20"/>
                <w:szCs w:val="20"/>
              </w:rPr>
              <w:t xml:space="preserve">Transport </w:t>
            </w:r>
            <w:r w:rsidR="00794393" w:rsidRPr="003E5E56">
              <w:rPr>
                <w:sz w:val="20"/>
                <w:szCs w:val="20"/>
              </w:rPr>
              <w:t>lokalny</w:t>
            </w:r>
          </w:p>
        </w:tc>
        <w:tc>
          <w:tcPr>
            <w:tcW w:w="1165" w:type="pct"/>
          </w:tcPr>
          <w:p w:rsidR="004E2878" w:rsidRPr="003E5E56" w:rsidRDefault="00794393" w:rsidP="00DF4AC0">
            <w:pPr>
              <w:pStyle w:val="DecimalAligned"/>
              <w:tabs>
                <w:tab w:val="clear" w:pos="360"/>
              </w:tabs>
              <w:spacing w:line="240" w:lineRule="auto"/>
              <w:rPr>
                <w:sz w:val="20"/>
                <w:szCs w:val="20"/>
              </w:rPr>
            </w:pPr>
            <w:r w:rsidRPr="003E5E56">
              <w:rPr>
                <w:sz w:val="20"/>
                <w:szCs w:val="20"/>
              </w:rPr>
              <w:t>Zwiększenie bezpieczeństwa                    w ruchu drogowym</w:t>
            </w:r>
          </w:p>
          <w:p w:rsidR="0017571E" w:rsidRPr="003E5E56" w:rsidRDefault="0017571E" w:rsidP="00DF4AC0">
            <w:pPr>
              <w:pStyle w:val="DecimalAligned"/>
              <w:tabs>
                <w:tab w:val="clear" w:pos="360"/>
              </w:tabs>
              <w:spacing w:line="240" w:lineRule="auto"/>
              <w:rPr>
                <w:sz w:val="20"/>
                <w:szCs w:val="20"/>
              </w:rPr>
            </w:pPr>
          </w:p>
        </w:tc>
        <w:tc>
          <w:tcPr>
            <w:tcW w:w="1696" w:type="pct"/>
          </w:tcPr>
          <w:p w:rsidR="004E2878" w:rsidRPr="003E5E56" w:rsidRDefault="00794393" w:rsidP="00DF4AC0">
            <w:pPr>
              <w:pStyle w:val="DecimalAligned"/>
              <w:spacing w:line="240" w:lineRule="auto"/>
              <w:rPr>
                <w:sz w:val="20"/>
                <w:szCs w:val="20"/>
              </w:rPr>
            </w:pPr>
            <w:r w:rsidRPr="003E5E56">
              <w:rPr>
                <w:sz w:val="20"/>
                <w:szCs w:val="20"/>
              </w:rPr>
              <w:t>Ocena efektów</w:t>
            </w:r>
            <w:r w:rsidR="004E2878" w:rsidRPr="003E5E56">
              <w:rPr>
                <w:sz w:val="20"/>
                <w:szCs w:val="20"/>
              </w:rPr>
              <w:t>:</w:t>
            </w:r>
          </w:p>
          <w:p w:rsidR="00794393" w:rsidRPr="003E5E56" w:rsidRDefault="00794393" w:rsidP="00794393">
            <w:pPr>
              <w:pStyle w:val="DecimalAligned"/>
              <w:numPr>
                <w:ilvl w:val="0"/>
                <w:numId w:val="56"/>
              </w:numPr>
              <w:tabs>
                <w:tab w:val="clear" w:pos="360"/>
              </w:tabs>
              <w:spacing w:line="240" w:lineRule="auto"/>
              <w:ind w:left="317" w:hanging="283"/>
              <w:rPr>
                <w:sz w:val="20"/>
                <w:szCs w:val="20"/>
              </w:rPr>
            </w:pPr>
            <w:r w:rsidRPr="003E5E56">
              <w:rPr>
                <w:sz w:val="20"/>
                <w:szCs w:val="20"/>
              </w:rPr>
              <w:t xml:space="preserve">Liczba tzw. wozokilometrów </w:t>
            </w:r>
            <w:r w:rsidR="00BA4360" w:rsidRPr="003E5E56">
              <w:rPr>
                <w:sz w:val="20"/>
                <w:szCs w:val="20"/>
              </w:rPr>
              <w:t xml:space="preserve">w </w:t>
            </w:r>
            <w:r w:rsidRPr="003E5E56">
              <w:rPr>
                <w:sz w:val="20"/>
                <w:szCs w:val="20"/>
              </w:rPr>
              <w:t>komunikacji publicznej w ciągu roku,</w:t>
            </w:r>
          </w:p>
          <w:p w:rsidR="00794393" w:rsidRPr="003E5E56" w:rsidRDefault="00794393" w:rsidP="00794393">
            <w:pPr>
              <w:pStyle w:val="DecimalAligned"/>
              <w:numPr>
                <w:ilvl w:val="0"/>
                <w:numId w:val="56"/>
              </w:numPr>
              <w:tabs>
                <w:tab w:val="clear" w:pos="360"/>
              </w:tabs>
              <w:spacing w:line="240" w:lineRule="auto"/>
              <w:ind w:left="317" w:hanging="283"/>
              <w:rPr>
                <w:sz w:val="20"/>
                <w:szCs w:val="20"/>
              </w:rPr>
            </w:pPr>
            <w:r w:rsidRPr="003E5E56">
              <w:rPr>
                <w:sz w:val="20"/>
                <w:szCs w:val="20"/>
              </w:rPr>
              <w:t>Średnie zużycie paliwa w komunikacji publicznej,</w:t>
            </w:r>
          </w:p>
          <w:p w:rsidR="00794393" w:rsidRPr="003E5E56" w:rsidRDefault="00794393" w:rsidP="00794393">
            <w:pPr>
              <w:pStyle w:val="DecimalAligned"/>
              <w:numPr>
                <w:ilvl w:val="0"/>
                <w:numId w:val="56"/>
              </w:numPr>
              <w:tabs>
                <w:tab w:val="clear" w:pos="360"/>
              </w:tabs>
              <w:spacing w:line="240" w:lineRule="auto"/>
              <w:ind w:left="317" w:hanging="283"/>
              <w:rPr>
                <w:sz w:val="20"/>
                <w:szCs w:val="20"/>
              </w:rPr>
            </w:pPr>
            <w:r w:rsidRPr="003E5E56">
              <w:rPr>
                <w:sz w:val="20"/>
                <w:szCs w:val="20"/>
              </w:rPr>
              <w:t>Długość wybudowanych dróg rowerowych i ścieżek pieszo – rowerowych</w:t>
            </w:r>
          </w:p>
          <w:p w:rsidR="00BA4360" w:rsidRPr="003E5E56" w:rsidRDefault="00794393" w:rsidP="00794393">
            <w:pPr>
              <w:pStyle w:val="DecimalAligned"/>
              <w:numPr>
                <w:ilvl w:val="0"/>
                <w:numId w:val="56"/>
              </w:numPr>
              <w:tabs>
                <w:tab w:val="clear" w:pos="360"/>
              </w:tabs>
              <w:spacing w:line="240" w:lineRule="auto"/>
              <w:ind w:left="317" w:hanging="283"/>
              <w:rPr>
                <w:sz w:val="20"/>
                <w:szCs w:val="20"/>
              </w:rPr>
            </w:pPr>
            <w:r w:rsidRPr="003E5E56">
              <w:rPr>
                <w:sz w:val="20"/>
                <w:szCs w:val="20"/>
              </w:rPr>
              <w:t xml:space="preserve">Długość zmodernizowanych dróg   </w:t>
            </w:r>
          </w:p>
          <w:p w:rsidR="004E2878" w:rsidRPr="003E5E56" w:rsidRDefault="004E2878" w:rsidP="00BA4360">
            <w:pPr>
              <w:pStyle w:val="DecimalAligned"/>
              <w:tabs>
                <w:tab w:val="clear" w:pos="360"/>
              </w:tabs>
              <w:spacing w:line="240" w:lineRule="auto"/>
              <w:ind w:left="317"/>
              <w:rPr>
                <w:sz w:val="20"/>
                <w:szCs w:val="20"/>
              </w:rPr>
            </w:pPr>
          </w:p>
        </w:tc>
        <w:tc>
          <w:tcPr>
            <w:tcW w:w="622" w:type="pct"/>
          </w:tcPr>
          <w:p w:rsidR="004E2878" w:rsidRPr="003E5E56" w:rsidRDefault="004E2878" w:rsidP="00DF4AC0">
            <w:pPr>
              <w:pStyle w:val="DecimalAligned"/>
              <w:spacing w:line="240" w:lineRule="auto"/>
              <w:rPr>
                <w:sz w:val="20"/>
                <w:szCs w:val="20"/>
              </w:rPr>
            </w:pPr>
          </w:p>
        </w:tc>
        <w:tc>
          <w:tcPr>
            <w:tcW w:w="621" w:type="pct"/>
          </w:tcPr>
          <w:p w:rsidR="004E2878" w:rsidRPr="003E5E56" w:rsidRDefault="004E2878" w:rsidP="00DF4AC0">
            <w:pPr>
              <w:pStyle w:val="DecimalAligned"/>
              <w:spacing w:line="240" w:lineRule="auto"/>
              <w:rPr>
                <w:sz w:val="20"/>
                <w:szCs w:val="20"/>
              </w:rPr>
            </w:pPr>
          </w:p>
        </w:tc>
      </w:tr>
      <w:tr w:rsidR="004E2878" w:rsidRPr="00EE2DB0" w:rsidTr="00DF4AC0">
        <w:tc>
          <w:tcPr>
            <w:tcW w:w="896" w:type="pct"/>
            <w:noWrap/>
          </w:tcPr>
          <w:p w:rsidR="004E2878" w:rsidRPr="00EE2DB0" w:rsidRDefault="004E2878" w:rsidP="00DF4AC0">
            <w:pPr>
              <w:spacing w:line="240" w:lineRule="auto"/>
              <w:rPr>
                <w:sz w:val="20"/>
                <w:szCs w:val="20"/>
              </w:rPr>
            </w:pPr>
            <w:r>
              <w:rPr>
                <w:sz w:val="20"/>
                <w:szCs w:val="20"/>
              </w:rPr>
              <w:t>Społeczeństwo</w:t>
            </w:r>
          </w:p>
        </w:tc>
        <w:tc>
          <w:tcPr>
            <w:tcW w:w="1165" w:type="pct"/>
          </w:tcPr>
          <w:p w:rsidR="004E2878" w:rsidRPr="003E5E56" w:rsidRDefault="004E2878" w:rsidP="00DF4AC0">
            <w:pPr>
              <w:pStyle w:val="DecimalAligned"/>
              <w:tabs>
                <w:tab w:val="clear" w:pos="360"/>
              </w:tabs>
              <w:spacing w:line="240" w:lineRule="auto"/>
              <w:rPr>
                <w:sz w:val="20"/>
                <w:szCs w:val="20"/>
              </w:rPr>
            </w:pPr>
            <w:r w:rsidRPr="003E5E56">
              <w:rPr>
                <w:sz w:val="20"/>
                <w:szCs w:val="20"/>
              </w:rPr>
              <w:t>Wymiana źródeł ciepła, termomodernizacja budynków, wsparcie dla instalacji OZE</w:t>
            </w:r>
            <w:r w:rsidR="00BA4360" w:rsidRPr="003E5E56">
              <w:rPr>
                <w:sz w:val="20"/>
                <w:szCs w:val="20"/>
              </w:rPr>
              <w:t xml:space="preserve"> realizowanych za pośrednictwem gminy</w:t>
            </w:r>
          </w:p>
        </w:tc>
        <w:tc>
          <w:tcPr>
            <w:tcW w:w="1696" w:type="pct"/>
          </w:tcPr>
          <w:p w:rsidR="004E2878" w:rsidRDefault="004E2878" w:rsidP="00DF4AC0">
            <w:pPr>
              <w:pStyle w:val="DecimalAligned"/>
              <w:spacing w:line="240" w:lineRule="auto"/>
              <w:rPr>
                <w:sz w:val="20"/>
                <w:szCs w:val="20"/>
              </w:rPr>
            </w:pPr>
            <w:r>
              <w:rPr>
                <w:sz w:val="20"/>
                <w:szCs w:val="20"/>
              </w:rPr>
              <w:t>Ocena efektów w odniesieniu rocznym:</w:t>
            </w:r>
          </w:p>
          <w:p w:rsidR="004E2878" w:rsidRDefault="004E2878" w:rsidP="00E7342B">
            <w:pPr>
              <w:pStyle w:val="DecimalAligned"/>
              <w:numPr>
                <w:ilvl w:val="0"/>
                <w:numId w:val="57"/>
              </w:numPr>
              <w:tabs>
                <w:tab w:val="clear" w:pos="360"/>
              </w:tabs>
              <w:spacing w:line="240" w:lineRule="auto"/>
              <w:ind w:left="317" w:hanging="283"/>
              <w:rPr>
                <w:sz w:val="20"/>
                <w:szCs w:val="20"/>
              </w:rPr>
            </w:pPr>
            <w:r>
              <w:rPr>
                <w:sz w:val="20"/>
                <w:szCs w:val="20"/>
              </w:rPr>
              <w:t>Liczba wymienionych źródeł ciepła,</w:t>
            </w:r>
          </w:p>
          <w:p w:rsidR="004E2878" w:rsidRDefault="004E2878" w:rsidP="00E7342B">
            <w:pPr>
              <w:pStyle w:val="DecimalAligned"/>
              <w:numPr>
                <w:ilvl w:val="0"/>
                <w:numId w:val="57"/>
              </w:numPr>
              <w:tabs>
                <w:tab w:val="clear" w:pos="360"/>
              </w:tabs>
              <w:spacing w:line="240" w:lineRule="auto"/>
              <w:ind w:left="317" w:hanging="283"/>
              <w:rPr>
                <w:sz w:val="20"/>
                <w:szCs w:val="20"/>
              </w:rPr>
            </w:pPr>
            <w:r>
              <w:rPr>
                <w:sz w:val="20"/>
                <w:szCs w:val="20"/>
              </w:rPr>
              <w:t>Rodzaj stosowanego paliwa przed i po wymienia źródła,</w:t>
            </w:r>
          </w:p>
          <w:p w:rsidR="004E2878" w:rsidRDefault="004E2878" w:rsidP="00E7342B">
            <w:pPr>
              <w:pStyle w:val="DecimalAligned"/>
              <w:numPr>
                <w:ilvl w:val="0"/>
                <w:numId w:val="57"/>
              </w:numPr>
              <w:tabs>
                <w:tab w:val="clear" w:pos="360"/>
              </w:tabs>
              <w:spacing w:line="240" w:lineRule="auto"/>
              <w:ind w:left="317" w:hanging="283"/>
              <w:rPr>
                <w:sz w:val="20"/>
                <w:szCs w:val="20"/>
              </w:rPr>
            </w:pPr>
            <w:r>
              <w:rPr>
                <w:sz w:val="20"/>
                <w:szCs w:val="20"/>
              </w:rPr>
              <w:t>Liczba budynków poddanych termomodernizacji,</w:t>
            </w:r>
          </w:p>
          <w:p w:rsidR="004E2878" w:rsidRDefault="004E2878" w:rsidP="00E7342B">
            <w:pPr>
              <w:pStyle w:val="DecimalAligned"/>
              <w:numPr>
                <w:ilvl w:val="0"/>
                <w:numId w:val="57"/>
              </w:numPr>
              <w:tabs>
                <w:tab w:val="clear" w:pos="360"/>
              </w:tabs>
              <w:spacing w:line="240" w:lineRule="auto"/>
              <w:ind w:left="317" w:hanging="283"/>
              <w:rPr>
                <w:sz w:val="20"/>
                <w:szCs w:val="20"/>
              </w:rPr>
            </w:pPr>
            <w:r>
              <w:rPr>
                <w:sz w:val="20"/>
                <w:szCs w:val="20"/>
              </w:rPr>
              <w:t>Liczba zainstalowanych OZE.</w:t>
            </w:r>
          </w:p>
          <w:p w:rsidR="00EF0785" w:rsidRPr="00EE2DB0" w:rsidRDefault="00EF0785" w:rsidP="00EF0785">
            <w:pPr>
              <w:pStyle w:val="DecimalAligned"/>
              <w:tabs>
                <w:tab w:val="clear" w:pos="360"/>
              </w:tabs>
              <w:spacing w:line="240" w:lineRule="auto"/>
              <w:ind w:left="317"/>
              <w:rPr>
                <w:sz w:val="20"/>
                <w:szCs w:val="20"/>
              </w:rPr>
            </w:pPr>
          </w:p>
        </w:tc>
        <w:tc>
          <w:tcPr>
            <w:tcW w:w="622" w:type="pct"/>
          </w:tcPr>
          <w:p w:rsidR="004E2878" w:rsidRPr="00EE2DB0" w:rsidRDefault="004E2878" w:rsidP="00DF4AC0">
            <w:pPr>
              <w:pStyle w:val="DecimalAligned"/>
              <w:spacing w:line="240" w:lineRule="auto"/>
              <w:rPr>
                <w:sz w:val="20"/>
                <w:szCs w:val="20"/>
              </w:rPr>
            </w:pPr>
          </w:p>
        </w:tc>
        <w:tc>
          <w:tcPr>
            <w:tcW w:w="621" w:type="pct"/>
          </w:tcPr>
          <w:p w:rsidR="004E2878" w:rsidRPr="00EE2DB0" w:rsidRDefault="004E2878" w:rsidP="00DF4AC0">
            <w:pPr>
              <w:pStyle w:val="DecimalAligned"/>
              <w:spacing w:line="240" w:lineRule="auto"/>
              <w:rPr>
                <w:sz w:val="20"/>
                <w:szCs w:val="20"/>
              </w:rPr>
            </w:pPr>
          </w:p>
        </w:tc>
      </w:tr>
      <w:tr w:rsidR="004E2878" w:rsidRPr="00E87020" w:rsidTr="00DF4AC0">
        <w:tc>
          <w:tcPr>
            <w:tcW w:w="896" w:type="pct"/>
            <w:tcBorders>
              <w:bottom w:val="nil"/>
            </w:tcBorders>
            <w:noWrap/>
          </w:tcPr>
          <w:p w:rsidR="004E2878" w:rsidRPr="00E87020" w:rsidRDefault="004E2878" w:rsidP="00DF4AC0">
            <w:pPr>
              <w:spacing w:line="240" w:lineRule="auto"/>
              <w:rPr>
                <w:color w:val="FF0000"/>
                <w:sz w:val="20"/>
                <w:szCs w:val="20"/>
              </w:rPr>
            </w:pPr>
          </w:p>
        </w:tc>
        <w:tc>
          <w:tcPr>
            <w:tcW w:w="1165" w:type="pct"/>
            <w:tcBorders>
              <w:bottom w:val="nil"/>
            </w:tcBorders>
          </w:tcPr>
          <w:p w:rsidR="00BA68DC" w:rsidRPr="00E87020" w:rsidRDefault="00BA68DC" w:rsidP="00DF4AC0">
            <w:pPr>
              <w:pStyle w:val="DecimalAligned"/>
              <w:tabs>
                <w:tab w:val="clear" w:pos="360"/>
              </w:tabs>
              <w:spacing w:line="240" w:lineRule="auto"/>
              <w:rPr>
                <w:color w:val="FF0000"/>
                <w:sz w:val="20"/>
                <w:szCs w:val="20"/>
              </w:rPr>
            </w:pPr>
          </w:p>
        </w:tc>
        <w:tc>
          <w:tcPr>
            <w:tcW w:w="1696" w:type="pct"/>
            <w:tcBorders>
              <w:bottom w:val="nil"/>
            </w:tcBorders>
          </w:tcPr>
          <w:p w:rsidR="004E2878" w:rsidRDefault="004E2878" w:rsidP="00BA4360">
            <w:pPr>
              <w:pStyle w:val="DecimalAligned"/>
              <w:tabs>
                <w:tab w:val="clear" w:pos="360"/>
              </w:tabs>
              <w:spacing w:line="240" w:lineRule="auto"/>
              <w:ind w:left="317"/>
              <w:rPr>
                <w:color w:val="FF0000"/>
                <w:sz w:val="20"/>
                <w:szCs w:val="20"/>
              </w:rPr>
            </w:pPr>
          </w:p>
          <w:p w:rsidR="00BA4360" w:rsidRPr="00E87020" w:rsidRDefault="00BA4360" w:rsidP="00BA4360">
            <w:pPr>
              <w:pStyle w:val="DecimalAligned"/>
              <w:tabs>
                <w:tab w:val="clear" w:pos="360"/>
              </w:tabs>
              <w:spacing w:line="240" w:lineRule="auto"/>
              <w:ind w:left="317"/>
              <w:rPr>
                <w:color w:val="FF0000"/>
                <w:sz w:val="20"/>
                <w:szCs w:val="20"/>
              </w:rPr>
            </w:pPr>
          </w:p>
        </w:tc>
        <w:tc>
          <w:tcPr>
            <w:tcW w:w="622" w:type="pct"/>
            <w:tcBorders>
              <w:bottom w:val="nil"/>
            </w:tcBorders>
          </w:tcPr>
          <w:p w:rsidR="004E2878" w:rsidRPr="00E87020" w:rsidRDefault="004E2878" w:rsidP="00DF4AC0">
            <w:pPr>
              <w:pStyle w:val="DecimalAligned"/>
              <w:spacing w:line="240" w:lineRule="auto"/>
              <w:rPr>
                <w:color w:val="FF0000"/>
                <w:sz w:val="20"/>
                <w:szCs w:val="20"/>
              </w:rPr>
            </w:pPr>
          </w:p>
        </w:tc>
        <w:tc>
          <w:tcPr>
            <w:tcW w:w="621" w:type="pct"/>
            <w:tcBorders>
              <w:bottom w:val="nil"/>
            </w:tcBorders>
          </w:tcPr>
          <w:p w:rsidR="004E2878" w:rsidRPr="00E87020" w:rsidRDefault="004E2878" w:rsidP="00DF4AC0">
            <w:pPr>
              <w:pStyle w:val="DecimalAligned"/>
              <w:spacing w:line="240" w:lineRule="auto"/>
              <w:rPr>
                <w:color w:val="FF0000"/>
                <w:sz w:val="20"/>
                <w:szCs w:val="20"/>
              </w:rPr>
            </w:pPr>
          </w:p>
        </w:tc>
      </w:tr>
      <w:tr w:rsidR="004E2878" w:rsidRPr="005230C5" w:rsidTr="00DF4AC0">
        <w:trPr>
          <w:cnfStyle w:val="010000000000"/>
        </w:trPr>
        <w:tc>
          <w:tcPr>
            <w:tcW w:w="896" w:type="pct"/>
            <w:tcBorders>
              <w:top w:val="nil"/>
            </w:tcBorders>
            <w:noWrap/>
          </w:tcPr>
          <w:p w:rsidR="004E2878" w:rsidRPr="005230C5" w:rsidRDefault="004E2878" w:rsidP="00DF4AC0">
            <w:pPr>
              <w:spacing w:line="240" w:lineRule="auto"/>
              <w:rPr>
                <w:b w:val="0"/>
                <w:sz w:val="20"/>
                <w:szCs w:val="20"/>
              </w:rPr>
            </w:pPr>
            <w:r w:rsidRPr="005230C5">
              <w:rPr>
                <w:b w:val="0"/>
                <w:sz w:val="20"/>
                <w:szCs w:val="20"/>
              </w:rPr>
              <w:lastRenderedPageBreak/>
              <w:t>Inwestor prywatny</w:t>
            </w:r>
          </w:p>
        </w:tc>
        <w:tc>
          <w:tcPr>
            <w:tcW w:w="1165" w:type="pct"/>
            <w:tcBorders>
              <w:top w:val="nil"/>
            </w:tcBorders>
          </w:tcPr>
          <w:p w:rsidR="004E2878" w:rsidRPr="003E5E56" w:rsidRDefault="004E2878" w:rsidP="00DF4AC0">
            <w:pPr>
              <w:pStyle w:val="DecimalAligned"/>
              <w:spacing w:line="240" w:lineRule="auto"/>
              <w:rPr>
                <w:b w:val="0"/>
                <w:sz w:val="20"/>
                <w:szCs w:val="20"/>
              </w:rPr>
            </w:pPr>
            <w:r w:rsidRPr="003E5E56">
              <w:rPr>
                <w:b w:val="0"/>
                <w:sz w:val="20"/>
                <w:szCs w:val="20"/>
              </w:rPr>
              <w:t xml:space="preserve">Realizacja przedsięwzięć opartych o OZE w tym farmy wiatrowe i farmy fotowoltaiczne lub inne skutkujące ograniczeniem emisji na obszarze gminy. </w:t>
            </w:r>
          </w:p>
        </w:tc>
        <w:tc>
          <w:tcPr>
            <w:tcW w:w="1696" w:type="pct"/>
            <w:tcBorders>
              <w:top w:val="nil"/>
            </w:tcBorders>
          </w:tcPr>
          <w:p w:rsidR="004E2878" w:rsidRPr="003E5E56" w:rsidRDefault="004E2878" w:rsidP="00DF4AC0">
            <w:pPr>
              <w:pStyle w:val="DecimalAligned"/>
              <w:spacing w:line="240" w:lineRule="auto"/>
              <w:rPr>
                <w:b w:val="0"/>
                <w:sz w:val="20"/>
                <w:szCs w:val="20"/>
              </w:rPr>
            </w:pPr>
            <w:r w:rsidRPr="003E5E56">
              <w:rPr>
                <w:b w:val="0"/>
                <w:sz w:val="20"/>
                <w:szCs w:val="20"/>
              </w:rPr>
              <w:t>Ocena efektów:</w:t>
            </w:r>
          </w:p>
          <w:p w:rsidR="004E2878" w:rsidRPr="003E5E56" w:rsidRDefault="004E2878" w:rsidP="00BA4360">
            <w:pPr>
              <w:pStyle w:val="DecimalAligned"/>
              <w:spacing w:line="240" w:lineRule="auto"/>
              <w:rPr>
                <w:b w:val="0"/>
                <w:sz w:val="20"/>
                <w:szCs w:val="20"/>
              </w:rPr>
            </w:pPr>
            <w:r w:rsidRPr="003E5E56">
              <w:rPr>
                <w:b w:val="0"/>
                <w:sz w:val="20"/>
                <w:szCs w:val="20"/>
              </w:rPr>
              <w:t xml:space="preserve">Liczba </w:t>
            </w:r>
            <w:r w:rsidR="00BA4360" w:rsidRPr="003E5E56">
              <w:rPr>
                <w:b w:val="0"/>
                <w:sz w:val="20"/>
                <w:szCs w:val="20"/>
              </w:rPr>
              <w:t>zrealizowanych przedsięwzięć</w:t>
            </w:r>
            <w:r w:rsidRPr="003E5E56">
              <w:rPr>
                <w:b w:val="0"/>
                <w:sz w:val="20"/>
                <w:szCs w:val="20"/>
              </w:rPr>
              <w:t xml:space="preserve">. </w:t>
            </w:r>
          </w:p>
        </w:tc>
        <w:tc>
          <w:tcPr>
            <w:tcW w:w="622" w:type="pct"/>
            <w:tcBorders>
              <w:top w:val="nil"/>
            </w:tcBorders>
          </w:tcPr>
          <w:p w:rsidR="004E2878" w:rsidRPr="005230C5" w:rsidRDefault="004E2878" w:rsidP="00DF4AC0">
            <w:pPr>
              <w:pStyle w:val="DecimalAligned"/>
              <w:spacing w:line="240" w:lineRule="auto"/>
              <w:rPr>
                <w:b w:val="0"/>
                <w:sz w:val="20"/>
                <w:szCs w:val="20"/>
              </w:rPr>
            </w:pPr>
          </w:p>
        </w:tc>
        <w:tc>
          <w:tcPr>
            <w:tcW w:w="621" w:type="pct"/>
            <w:tcBorders>
              <w:top w:val="nil"/>
            </w:tcBorders>
          </w:tcPr>
          <w:p w:rsidR="004E2878" w:rsidRPr="005230C5" w:rsidRDefault="004E2878" w:rsidP="00DF4AC0">
            <w:pPr>
              <w:pStyle w:val="DecimalAligned"/>
              <w:spacing w:line="240" w:lineRule="auto"/>
              <w:rPr>
                <w:b w:val="0"/>
                <w:sz w:val="20"/>
                <w:szCs w:val="20"/>
              </w:rPr>
            </w:pPr>
          </w:p>
        </w:tc>
      </w:tr>
    </w:tbl>
    <w:p w:rsidR="004E2878" w:rsidRPr="004E2878" w:rsidRDefault="004E2878" w:rsidP="004E2878">
      <w:pPr>
        <w:pStyle w:val="Tekstprzypisudolnego"/>
      </w:pPr>
      <w:r w:rsidRPr="004E2878">
        <w:rPr>
          <w:rStyle w:val="Wyrnieniedelikatne"/>
          <w:i w:val="0"/>
          <w:color w:val="auto"/>
        </w:rPr>
        <w:t>Źródło: Opracowanie własne</w:t>
      </w:r>
    </w:p>
    <w:p w:rsidR="00662727" w:rsidRDefault="00662727" w:rsidP="00662727"/>
    <w:p w:rsidR="00781C9B" w:rsidRPr="00401C43" w:rsidRDefault="002E6091" w:rsidP="00401C43">
      <w:pPr>
        <w:pStyle w:val="Nagwek2"/>
        <w:numPr>
          <w:ilvl w:val="1"/>
          <w:numId w:val="1"/>
        </w:numPr>
      </w:pPr>
      <w:bookmarkStart w:id="122" w:name="_Toc438118409"/>
      <w:r>
        <w:t xml:space="preserve"> </w:t>
      </w:r>
      <w:r w:rsidR="00B617E2" w:rsidRPr="00401C43">
        <w:t>Efekt ekologiczny i ekonomiczny wdrażania Planu Gospodarki Niskoemisyjnej</w:t>
      </w:r>
      <w:bookmarkEnd w:id="122"/>
    </w:p>
    <w:p w:rsidR="00B617E2" w:rsidRDefault="00B617E2" w:rsidP="00B617E2"/>
    <w:p w:rsidR="001E772D" w:rsidRPr="00DD2474" w:rsidRDefault="001E772D" w:rsidP="001E772D">
      <w:r w:rsidRPr="00DD2474">
        <w:t>Najważniejszym efektem ekologicznym i ekonomicznym wdrożenia określonych w P</w:t>
      </w:r>
      <w:r>
        <w:t>GN</w:t>
      </w:r>
      <w:r w:rsidR="00AD4662">
        <w:t xml:space="preserve"> </w:t>
      </w:r>
      <w:r>
        <w:t>działań dla gminy Herby</w:t>
      </w:r>
      <w:r w:rsidRPr="00DD2474">
        <w:t xml:space="preserve"> jest: </w:t>
      </w:r>
    </w:p>
    <w:p w:rsidR="001E772D" w:rsidRPr="00DD2474" w:rsidRDefault="001E772D" w:rsidP="00E7342B">
      <w:pPr>
        <w:numPr>
          <w:ilvl w:val="0"/>
          <w:numId w:val="59"/>
        </w:numPr>
        <w:spacing w:before="120" w:after="120" w:line="276" w:lineRule="auto"/>
      </w:pPr>
      <w:r w:rsidRPr="00DD2474">
        <w:t xml:space="preserve">redukcja emisji gazów cieplarnianych, </w:t>
      </w:r>
    </w:p>
    <w:p w:rsidR="001E772D" w:rsidRPr="00DD2474" w:rsidRDefault="001E772D" w:rsidP="00E7342B">
      <w:pPr>
        <w:numPr>
          <w:ilvl w:val="0"/>
          <w:numId w:val="59"/>
        </w:numPr>
        <w:spacing w:before="120" w:after="120" w:line="276" w:lineRule="auto"/>
      </w:pPr>
      <w:r w:rsidRPr="00DD2474">
        <w:t xml:space="preserve">zwiększenie udziału zużycia energii ze źródeł odnawialnych, </w:t>
      </w:r>
    </w:p>
    <w:p w:rsidR="001E772D" w:rsidRPr="00DD2474" w:rsidRDefault="001E772D" w:rsidP="00E7342B">
      <w:pPr>
        <w:numPr>
          <w:ilvl w:val="0"/>
          <w:numId w:val="59"/>
        </w:numPr>
        <w:spacing w:before="120" w:after="120" w:line="276" w:lineRule="auto"/>
      </w:pPr>
      <w:r w:rsidRPr="00DD2474">
        <w:t xml:space="preserve">redukcję zużycia energii elektrycznej i cieplnej. </w:t>
      </w:r>
    </w:p>
    <w:p w:rsidR="001E772D" w:rsidRPr="00DD2474" w:rsidRDefault="001E772D" w:rsidP="001E772D">
      <w:r w:rsidRPr="00DD2474">
        <w:t xml:space="preserve">ale także: </w:t>
      </w:r>
    </w:p>
    <w:p w:rsidR="001E772D" w:rsidRPr="00DD2474" w:rsidRDefault="001E772D" w:rsidP="00E7342B">
      <w:pPr>
        <w:numPr>
          <w:ilvl w:val="0"/>
          <w:numId w:val="60"/>
        </w:numPr>
        <w:spacing w:before="120" w:after="120" w:line="276" w:lineRule="auto"/>
      </w:pPr>
      <w:r w:rsidRPr="00DD2474">
        <w:t>oszczędności, dzięki ograniczeniu i optymalizacji zużycia energii elektrycznej</w:t>
      </w:r>
      <w:r>
        <w:t xml:space="preserve">, </w:t>
      </w:r>
    </w:p>
    <w:p w:rsidR="001E772D" w:rsidRPr="00DD2474" w:rsidRDefault="001E772D" w:rsidP="00E7342B">
      <w:pPr>
        <w:numPr>
          <w:ilvl w:val="0"/>
          <w:numId w:val="60"/>
        </w:numPr>
        <w:spacing w:before="120" w:after="120" w:line="276" w:lineRule="auto"/>
      </w:pPr>
      <w:r w:rsidRPr="00DD2474">
        <w:t xml:space="preserve">zwiększenia sprawności wytwarzania ciepła, </w:t>
      </w:r>
    </w:p>
    <w:p w:rsidR="001E772D" w:rsidRPr="00DD2474" w:rsidRDefault="001E772D" w:rsidP="00E7342B">
      <w:pPr>
        <w:numPr>
          <w:ilvl w:val="0"/>
          <w:numId w:val="60"/>
        </w:numPr>
        <w:spacing w:before="120" w:after="120" w:line="276" w:lineRule="auto"/>
      </w:pPr>
      <w:r w:rsidRPr="00DD2474">
        <w:t>ograniczenia strat ciepła w ogrzewanych budynkach</w:t>
      </w:r>
      <w:r w:rsidR="00170CC3">
        <w:t>.</w:t>
      </w:r>
    </w:p>
    <w:p w:rsidR="001E772D" w:rsidRDefault="001E772D" w:rsidP="001E772D">
      <w:r w:rsidRPr="00DD2474">
        <w:t>Z tego też względu zaproponowane cele oraz poszczególne działania przewidują uzyskanie odpowiedniej kwoty dofinansowania inwestycji zmierzającej do poprawy jakośc</w:t>
      </w:r>
      <w:r>
        <w:t>i życia mieszkańców na terenie g</w:t>
      </w:r>
      <w:r w:rsidRPr="00DD2474">
        <w:t xml:space="preserve">miny </w:t>
      </w:r>
      <w:r>
        <w:t>Herby</w:t>
      </w:r>
      <w:r w:rsidRPr="00DD2474">
        <w:t xml:space="preserve">. </w:t>
      </w:r>
    </w:p>
    <w:p w:rsidR="001E772D" w:rsidRPr="00DD2474" w:rsidRDefault="001E772D" w:rsidP="001E772D">
      <w:r>
        <w:t>Dodatkowo mieszkańcy g</w:t>
      </w:r>
      <w:r w:rsidRPr="00DD2474">
        <w:t xml:space="preserve">miny zyskują: </w:t>
      </w:r>
    </w:p>
    <w:p w:rsidR="001E772D" w:rsidRPr="00DD2474" w:rsidRDefault="001E772D" w:rsidP="00E7342B">
      <w:pPr>
        <w:numPr>
          <w:ilvl w:val="0"/>
          <w:numId w:val="61"/>
        </w:numPr>
        <w:spacing w:before="120" w:after="120"/>
      </w:pPr>
      <w:r w:rsidRPr="00DD2474">
        <w:rPr>
          <w:b/>
          <w:bCs/>
        </w:rPr>
        <w:t xml:space="preserve">czystsze powietrze </w:t>
      </w:r>
      <w:r>
        <w:t>na terenie g</w:t>
      </w:r>
      <w:r w:rsidRPr="00DD2474">
        <w:t xml:space="preserve">miny (odczuwalne szczególnie w okresie grzewczym), </w:t>
      </w:r>
    </w:p>
    <w:p w:rsidR="001E772D" w:rsidRPr="00DD2474" w:rsidRDefault="001E772D" w:rsidP="00E7342B">
      <w:pPr>
        <w:numPr>
          <w:ilvl w:val="0"/>
          <w:numId w:val="61"/>
        </w:numPr>
        <w:spacing w:before="120" w:after="120"/>
      </w:pPr>
      <w:r w:rsidRPr="00DD2474">
        <w:rPr>
          <w:b/>
          <w:bCs/>
        </w:rPr>
        <w:t xml:space="preserve">oszczędności </w:t>
      </w:r>
      <w:r>
        <w:t>pośrednie (oszczędza g</w:t>
      </w:r>
      <w:r w:rsidRPr="00DD2474">
        <w:t xml:space="preserve">mina – oszczędza też mieszkaniec) oraz bezpośrednie (oszczędności z tytułu mniejszego zużycia poszczególnych mediów), </w:t>
      </w:r>
    </w:p>
    <w:p w:rsidR="001E772D" w:rsidRPr="00DD2474" w:rsidRDefault="001E772D" w:rsidP="00E7342B">
      <w:pPr>
        <w:numPr>
          <w:ilvl w:val="0"/>
          <w:numId w:val="61"/>
        </w:numPr>
        <w:spacing w:before="120" w:after="120"/>
      </w:pPr>
      <w:r w:rsidRPr="00DD2474">
        <w:rPr>
          <w:b/>
          <w:bCs/>
        </w:rPr>
        <w:t xml:space="preserve">dotacje UE </w:t>
      </w:r>
      <w:r w:rsidRPr="00DD2474">
        <w:t xml:space="preserve">na działania takie, jak: </w:t>
      </w:r>
    </w:p>
    <w:p w:rsidR="001E772D" w:rsidRPr="00DD2474" w:rsidRDefault="001E772D" w:rsidP="00E7342B">
      <w:pPr>
        <w:numPr>
          <w:ilvl w:val="0"/>
          <w:numId w:val="62"/>
        </w:numPr>
        <w:spacing w:before="120" w:after="120"/>
      </w:pPr>
      <w:r w:rsidRPr="00DD2474">
        <w:t xml:space="preserve">termomodernizacje budynków użyteczności publicznej, budynków należących do gminy oraz budynków mieszkalnych społeczeństwa, </w:t>
      </w:r>
    </w:p>
    <w:p w:rsidR="001E772D" w:rsidRPr="00DD2474" w:rsidRDefault="001E772D" w:rsidP="00E7342B">
      <w:pPr>
        <w:numPr>
          <w:ilvl w:val="0"/>
          <w:numId w:val="62"/>
        </w:numPr>
        <w:spacing w:before="120" w:after="120"/>
      </w:pPr>
      <w:r w:rsidRPr="00DD2474">
        <w:lastRenderedPageBreak/>
        <w:t>pop</w:t>
      </w:r>
      <w:r>
        <w:t xml:space="preserve">rawę jakości dróg i </w:t>
      </w:r>
      <w:r w:rsidRPr="00DD2474">
        <w:t>komfort</w:t>
      </w:r>
      <w:r>
        <w:t>u</w:t>
      </w:r>
      <w:r w:rsidRPr="00DD2474">
        <w:t xml:space="preserve"> ich użytkowania, </w:t>
      </w:r>
    </w:p>
    <w:p w:rsidR="001E772D" w:rsidRPr="00DD2474" w:rsidRDefault="001E772D" w:rsidP="00E7342B">
      <w:pPr>
        <w:numPr>
          <w:ilvl w:val="0"/>
          <w:numId w:val="62"/>
        </w:numPr>
        <w:spacing w:before="120" w:after="120"/>
      </w:pPr>
      <w:r w:rsidRPr="00DD2474">
        <w:t xml:space="preserve">wykorzystywanie odnawialnych źródeł energii, takich jak: instalacje solarne, </w:t>
      </w:r>
      <w:proofErr w:type="spellStart"/>
      <w:r w:rsidRPr="00DD2474">
        <w:t>fotowoltaika</w:t>
      </w:r>
      <w:proofErr w:type="spellEnd"/>
      <w:r w:rsidRPr="00DD2474">
        <w:t xml:space="preserve">, pompy ciepła i inne, zarówno przez jednostki gminne, jak i społeczeństwo, na potrzeby ogrzewania wody użytkowej oraz wspomagania ogrzewania pomieszczeń, co skutkować będzie wyraźnymi oszczędnościami z tytułu mniejszego zużycia mediów grzewczych, </w:t>
      </w:r>
    </w:p>
    <w:p w:rsidR="001E772D" w:rsidRPr="00DD2474" w:rsidRDefault="001E772D" w:rsidP="00E7342B">
      <w:pPr>
        <w:numPr>
          <w:ilvl w:val="0"/>
          <w:numId w:val="62"/>
        </w:numPr>
        <w:spacing w:before="120" w:after="120"/>
      </w:pPr>
      <w:r w:rsidRPr="00DD2474">
        <w:t xml:space="preserve">wymianę starych kotłów/ pieców na nowe i sprawniejsze w budynkach społeczeństwa, co skutkować będzie mniejszą emisją pyłów i substancji do powietrza (czystsze powietrze) oraz oszczędnościami wynikającymi z większej </w:t>
      </w:r>
      <w:r>
        <w:t>sprawności nowego kotła/pieca i </w:t>
      </w:r>
      <w:r w:rsidRPr="00DD2474">
        <w:t>mniejszego zuży</w:t>
      </w:r>
      <w:r w:rsidR="003E5E56">
        <w:t>cia tańszego medium grzewczego.</w:t>
      </w:r>
    </w:p>
    <w:p w:rsidR="001E772D" w:rsidRPr="00DD2474" w:rsidRDefault="001E772D" w:rsidP="001E772D">
      <w:r w:rsidRPr="00DD2474">
        <w:t xml:space="preserve">Przedstawiony w niniejszym dokumencie plan działań pozwoli na osiągnięcie wyznaczonych celów, pod warunkiem konsekwentnej i skutecznej realizacji zaplanowanych działań. Nie byłoby to możliwe bez uzyskania dofinansowania na te działania. Szczególnie dla mieszkańców </w:t>
      </w:r>
      <w:r>
        <w:t>g</w:t>
      </w:r>
      <w:r w:rsidRPr="00DD2474">
        <w:t>miny finansowanie lub dofinansowanie przedsięwzięć stwarz</w:t>
      </w:r>
      <w:r>
        <w:t xml:space="preserve">a możliwości czynnego udziału w ich realizacji. </w:t>
      </w:r>
    </w:p>
    <w:p w:rsidR="001E772D" w:rsidRPr="00DD2474" w:rsidRDefault="001E772D" w:rsidP="001E772D">
      <w:r w:rsidRPr="00DD2474">
        <w:t xml:space="preserve">Mieszkańcy </w:t>
      </w:r>
      <w:r>
        <w:t>g</w:t>
      </w:r>
      <w:r w:rsidRPr="00DD2474">
        <w:t>miny obecnie mają możliwość skorzystania z różnego rod</w:t>
      </w:r>
      <w:r>
        <w:t>zaju dofinansowań lub kredytów. Jednak j</w:t>
      </w:r>
      <w:r w:rsidRPr="00DD2474">
        <w:t xml:space="preserve">ak wykazała przeprowadzona ankietyzacja zainteresowanie działaniami na rzecz efektywności energetycznej wśród mieszkańców </w:t>
      </w:r>
      <w:r>
        <w:t xml:space="preserve">jest nieduże, wynosi zaledwie 44,48%. </w:t>
      </w:r>
    </w:p>
    <w:p w:rsidR="001E772D" w:rsidRPr="00DD2474" w:rsidRDefault="001E772D" w:rsidP="001E772D">
      <w:r w:rsidRPr="00DD2474">
        <w:t xml:space="preserve">Beneficjentami programów dofinansowania przedsięwzięć związanych z realizacją działań określonych w </w:t>
      </w:r>
      <w:r>
        <w:t>PGN</w:t>
      </w:r>
      <w:r w:rsidRPr="00DD2474">
        <w:t xml:space="preserve"> mogą być zarówno osoby fizyczne (społeczeństwo), firmy, jak i jednostki samorządowe. Te ostatnie będą przeznaczać uzyskane środki na realizację działań związanych z obszarem samorządowym, jak i obszarem społeczeństwa. </w:t>
      </w:r>
    </w:p>
    <w:p w:rsidR="006E0FD1" w:rsidRDefault="006E0FD1">
      <w:pPr>
        <w:spacing w:line="276" w:lineRule="auto"/>
        <w:jc w:val="left"/>
      </w:pPr>
      <w:r>
        <w:br w:type="page"/>
      </w:r>
    </w:p>
    <w:p w:rsidR="001E772D" w:rsidRDefault="0053457C" w:rsidP="0053457C">
      <w:pPr>
        <w:pStyle w:val="Nagwek1"/>
      </w:pPr>
      <w:bookmarkStart w:id="123" w:name="_Toc438118410"/>
      <w:r>
        <w:lastRenderedPageBreak/>
        <w:t>SPIS TABEL I WYKRESÓW</w:t>
      </w:r>
      <w:bookmarkEnd w:id="123"/>
    </w:p>
    <w:p w:rsidR="00C40786" w:rsidRPr="00C40786" w:rsidRDefault="00C40786" w:rsidP="00C40786"/>
    <w:p w:rsidR="00902FA1" w:rsidRDefault="00844CE4">
      <w:pPr>
        <w:pStyle w:val="Spisilustracji"/>
        <w:tabs>
          <w:tab w:val="right" w:leader="dot" w:pos="9062"/>
        </w:tabs>
        <w:rPr>
          <w:rFonts w:eastAsiaTheme="minorEastAsia"/>
          <w:noProof/>
          <w:sz w:val="22"/>
          <w:lang w:eastAsia="pl-PL"/>
        </w:rPr>
      </w:pPr>
      <w:r>
        <w:fldChar w:fldCharType="begin"/>
      </w:r>
      <w:r w:rsidR="00C40786">
        <w:instrText xml:space="preserve"> TOC \h \z \c "Tabela" </w:instrText>
      </w:r>
      <w:r>
        <w:fldChar w:fldCharType="separate"/>
      </w:r>
      <w:hyperlink w:anchor="_Toc436586223" w:history="1">
        <w:r w:rsidR="00902FA1" w:rsidRPr="00067586">
          <w:rPr>
            <w:rStyle w:val="Hipercze"/>
            <w:noProof/>
          </w:rPr>
          <w:t>Tabela 1 Sołectwa gminy Herby</w:t>
        </w:r>
        <w:r w:rsidR="00902FA1">
          <w:rPr>
            <w:noProof/>
            <w:webHidden/>
          </w:rPr>
          <w:tab/>
        </w:r>
        <w:r>
          <w:rPr>
            <w:noProof/>
            <w:webHidden/>
          </w:rPr>
          <w:fldChar w:fldCharType="begin"/>
        </w:r>
        <w:r w:rsidR="00902FA1">
          <w:rPr>
            <w:noProof/>
            <w:webHidden/>
          </w:rPr>
          <w:instrText xml:space="preserve"> PAGEREF _Toc436586223 \h </w:instrText>
        </w:r>
        <w:r>
          <w:rPr>
            <w:noProof/>
            <w:webHidden/>
          </w:rPr>
        </w:r>
        <w:r>
          <w:rPr>
            <w:noProof/>
            <w:webHidden/>
          </w:rPr>
          <w:fldChar w:fldCharType="separate"/>
        </w:r>
        <w:r w:rsidR="005C42FD">
          <w:rPr>
            <w:noProof/>
            <w:webHidden/>
          </w:rPr>
          <w:t>22</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24" w:history="1">
        <w:r w:rsidR="00902FA1" w:rsidRPr="00067586">
          <w:rPr>
            <w:rStyle w:val="Hipercze"/>
            <w:noProof/>
          </w:rPr>
          <w:t>Tabela 2 Stężenia zanieczyszcze</w:t>
        </w:r>
        <w:r w:rsidR="002E6091">
          <w:rPr>
            <w:rStyle w:val="Hipercze"/>
            <w:noProof/>
          </w:rPr>
          <w:t>ń wody w punkcie pomiarowym w B</w:t>
        </w:r>
        <w:r w:rsidR="00902FA1" w:rsidRPr="00067586">
          <w:rPr>
            <w:rStyle w:val="Hipercze"/>
            <w:noProof/>
          </w:rPr>
          <w:t>o</w:t>
        </w:r>
        <w:r w:rsidR="002E6091">
          <w:rPr>
            <w:rStyle w:val="Hipercze"/>
            <w:noProof/>
          </w:rPr>
          <w:t>ro</w:t>
        </w:r>
        <w:r w:rsidR="00902FA1" w:rsidRPr="00067586">
          <w:rPr>
            <w:rStyle w:val="Hipercze"/>
            <w:noProof/>
          </w:rPr>
          <w:t>nowie</w:t>
        </w:r>
        <w:r w:rsidR="00902FA1">
          <w:rPr>
            <w:noProof/>
            <w:webHidden/>
          </w:rPr>
          <w:tab/>
        </w:r>
        <w:r>
          <w:rPr>
            <w:noProof/>
            <w:webHidden/>
          </w:rPr>
          <w:fldChar w:fldCharType="begin"/>
        </w:r>
        <w:r w:rsidR="00902FA1">
          <w:rPr>
            <w:noProof/>
            <w:webHidden/>
          </w:rPr>
          <w:instrText xml:space="preserve"> PAGEREF _Toc436586224 \h </w:instrText>
        </w:r>
        <w:r>
          <w:rPr>
            <w:noProof/>
            <w:webHidden/>
          </w:rPr>
        </w:r>
        <w:r>
          <w:rPr>
            <w:noProof/>
            <w:webHidden/>
          </w:rPr>
          <w:fldChar w:fldCharType="separate"/>
        </w:r>
        <w:r w:rsidR="005C42FD">
          <w:rPr>
            <w:noProof/>
            <w:webHidden/>
          </w:rPr>
          <w:t>26</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25" w:history="1">
        <w:r w:rsidR="00902FA1" w:rsidRPr="00067586">
          <w:rPr>
            <w:rStyle w:val="Hipercze"/>
            <w:noProof/>
          </w:rPr>
          <w:t>Tabela 3 Ludność wg grup wieku i płci (stan na 31.XII.2014 r.)</w:t>
        </w:r>
        <w:r w:rsidR="00902FA1">
          <w:rPr>
            <w:noProof/>
            <w:webHidden/>
          </w:rPr>
          <w:tab/>
        </w:r>
        <w:r>
          <w:rPr>
            <w:noProof/>
            <w:webHidden/>
          </w:rPr>
          <w:fldChar w:fldCharType="begin"/>
        </w:r>
        <w:r w:rsidR="00902FA1">
          <w:rPr>
            <w:noProof/>
            <w:webHidden/>
          </w:rPr>
          <w:instrText xml:space="preserve"> PAGEREF _Toc436586225 \h </w:instrText>
        </w:r>
        <w:r>
          <w:rPr>
            <w:noProof/>
            <w:webHidden/>
          </w:rPr>
        </w:r>
        <w:r>
          <w:rPr>
            <w:noProof/>
            <w:webHidden/>
          </w:rPr>
          <w:fldChar w:fldCharType="separate"/>
        </w:r>
        <w:r w:rsidR="005C42FD">
          <w:rPr>
            <w:noProof/>
            <w:webHidden/>
          </w:rPr>
          <w:t>33</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26" w:history="1">
        <w:r w:rsidR="00902FA1" w:rsidRPr="00067586">
          <w:rPr>
            <w:rStyle w:val="Hipercze"/>
            <w:noProof/>
          </w:rPr>
          <w:t>Tabela 4 Struktura ludności w wieku przedprodukcyjnym, produkcyjnym i poprodukcyjnym</w:t>
        </w:r>
        <w:r w:rsidR="00902FA1">
          <w:rPr>
            <w:noProof/>
            <w:webHidden/>
          </w:rPr>
          <w:tab/>
        </w:r>
        <w:r>
          <w:rPr>
            <w:noProof/>
            <w:webHidden/>
          </w:rPr>
          <w:fldChar w:fldCharType="begin"/>
        </w:r>
        <w:r w:rsidR="00902FA1">
          <w:rPr>
            <w:noProof/>
            <w:webHidden/>
          </w:rPr>
          <w:instrText xml:space="preserve"> PAGEREF _Toc436586226 \h </w:instrText>
        </w:r>
        <w:r>
          <w:rPr>
            <w:noProof/>
            <w:webHidden/>
          </w:rPr>
        </w:r>
        <w:r>
          <w:rPr>
            <w:noProof/>
            <w:webHidden/>
          </w:rPr>
          <w:fldChar w:fldCharType="separate"/>
        </w:r>
        <w:r w:rsidR="005C42FD">
          <w:rPr>
            <w:noProof/>
            <w:webHidden/>
          </w:rPr>
          <w:t>34</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27" w:history="1">
        <w:r w:rsidR="00902FA1" w:rsidRPr="00067586">
          <w:rPr>
            <w:rStyle w:val="Hipercze"/>
            <w:noProof/>
          </w:rPr>
          <w:t>Tabela 5 Struktura dróg według rodzaju w gminie Herby</w:t>
        </w:r>
        <w:r w:rsidR="00902FA1">
          <w:rPr>
            <w:noProof/>
            <w:webHidden/>
          </w:rPr>
          <w:tab/>
        </w:r>
        <w:r>
          <w:rPr>
            <w:noProof/>
            <w:webHidden/>
          </w:rPr>
          <w:fldChar w:fldCharType="begin"/>
        </w:r>
        <w:r w:rsidR="00902FA1">
          <w:rPr>
            <w:noProof/>
            <w:webHidden/>
          </w:rPr>
          <w:instrText xml:space="preserve"> PAGEREF _Toc436586227 \h </w:instrText>
        </w:r>
        <w:r>
          <w:rPr>
            <w:noProof/>
            <w:webHidden/>
          </w:rPr>
        </w:r>
        <w:r>
          <w:rPr>
            <w:noProof/>
            <w:webHidden/>
          </w:rPr>
          <w:fldChar w:fldCharType="separate"/>
        </w:r>
        <w:r w:rsidR="005C42FD">
          <w:rPr>
            <w:noProof/>
            <w:webHidden/>
          </w:rPr>
          <w:t>45</w:t>
        </w:r>
        <w:r>
          <w:rPr>
            <w:noProof/>
            <w:webHidden/>
          </w:rPr>
          <w:fldChar w:fldCharType="end"/>
        </w:r>
      </w:hyperlink>
    </w:p>
    <w:p w:rsidR="00902FA1" w:rsidRDefault="00844CE4">
      <w:pPr>
        <w:pStyle w:val="Spisilustracji"/>
        <w:tabs>
          <w:tab w:val="right" w:leader="dot" w:pos="9062"/>
        </w:tabs>
      </w:pPr>
      <w:hyperlink w:anchor="_Toc436586228" w:history="1">
        <w:r w:rsidR="00902FA1" w:rsidRPr="00067586">
          <w:rPr>
            <w:rStyle w:val="Hipercze"/>
            <w:noProof/>
          </w:rPr>
          <w:t>Tabela 6 Zasoby mieszkaniowe na terenie gminy Herby – wskaźniki na lata 2010-2013</w:t>
        </w:r>
        <w:r w:rsidR="00902FA1">
          <w:rPr>
            <w:noProof/>
            <w:webHidden/>
          </w:rPr>
          <w:tab/>
        </w:r>
        <w:r>
          <w:rPr>
            <w:noProof/>
            <w:webHidden/>
          </w:rPr>
          <w:fldChar w:fldCharType="begin"/>
        </w:r>
        <w:r w:rsidR="00902FA1">
          <w:rPr>
            <w:noProof/>
            <w:webHidden/>
          </w:rPr>
          <w:instrText xml:space="preserve"> PAGEREF _Toc436586228 \h </w:instrText>
        </w:r>
        <w:r>
          <w:rPr>
            <w:noProof/>
            <w:webHidden/>
          </w:rPr>
        </w:r>
        <w:r>
          <w:rPr>
            <w:noProof/>
            <w:webHidden/>
          </w:rPr>
          <w:fldChar w:fldCharType="separate"/>
        </w:r>
        <w:r w:rsidR="005C42FD">
          <w:rPr>
            <w:noProof/>
            <w:webHidden/>
          </w:rPr>
          <w:t>52</w:t>
        </w:r>
        <w:r>
          <w:rPr>
            <w:noProof/>
            <w:webHidden/>
          </w:rPr>
          <w:fldChar w:fldCharType="end"/>
        </w:r>
      </w:hyperlink>
    </w:p>
    <w:p w:rsidR="00902FA1" w:rsidRDefault="001B313E" w:rsidP="005C5BB4">
      <w:pPr>
        <w:spacing w:after="0"/>
        <w:rPr>
          <w:rFonts w:eastAsiaTheme="minorEastAsia"/>
          <w:noProof/>
          <w:sz w:val="22"/>
          <w:lang w:eastAsia="pl-PL"/>
        </w:rPr>
      </w:pPr>
      <w:r>
        <w:t xml:space="preserve">Tabela 7 </w:t>
      </w:r>
      <w:r w:rsidRPr="00944937">
        <w:t>Wartości wskaźników emisji CO2 użytych w ramach inwentaryzacji emisji</w:t>
      </w:r>
      <w:r>
        <w:t xml:space="preserve"> ……………….76</w:t>
      </w:r>
      <w:r w:rsidR="005C5BB4">
        <w:t xml:space="preserve"> </w:t>
      </w:r>
      <w:hyperlink w:anchor="_Toc436586229" w:history="1">
        <w:r w:rsidR="00902FA1" w:rsidRPr="00067586">
          <w:rPr>
            <w:rStyle w:val="Hipercze"/>
            <w:noProof/>
          </w:rPr>
          <w:t>Tabela 8 Zużycie energii na poszczególne nośniki energii i roczna emisja CO2 w sektorze budynków jedno- i wielo-rodzinnych w mieszkalnictwie na terenie gminy</w:t>
        </w:r>
        <w:r w:rsidR="005C5BB4">
          <w:rPr>
            <w:rStyle w:val="Hipercze"/>
            <w:noProof/>
          </w:rPr>
          <w:t>……………………………..</w:t>
        </w:r>
        <w:r w:rsidR="00844CE4">
          <w:rPr>
            <w:noProof/>
            <w:webHidden/>
          </w:rPr>
          <w:fldChar w:fldCharType="begin"/>
        </w:r>
        <w:r w:rsidR="00902FA1">
          <w:rPr>
            <w:noProof/>
            <w:webHidden/>
          </w:rPr>
          <w:instrText xml:space="preserve"> PAGEREF _Toc436586229 \h </w:instrText>
        </w:r>
        <w:r w:rsidR="00844CE4">
          <w:rPr>
            <w:noProof/>
            <w:webHidden/>
          </w:rPr>
        </w:r>
        <w:r w:rsidR="00844CE4">
          <w:rPr>
            <w:noProof/>
            <w:webHidden/>
          </w:rPr>
          <w:fldChar w:fldCharType="separate"/>
        </w:r>
        <w:r w:rsidR="005C42FD">
          <w:rPr>
            <w:noProof/>
            <w:webHidden/>
          </w:rPr>
          <w:t>78</w:t>
        </w:r>
        <w:r w:rsidR="00844CE4">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0" w:history="1">
        <w:r w:rsidR="00902FA1" w:rsidRPr="00067586">
          <w:rPr>
            <w:rStyle w:val="Hipercze"/>
            <w:noProof/>
          </w:rPr>
          <w:t>Tabela 9 Zużycie energii na poszczególne nośniki energii i roczna emisja CO</w:t>
        </w:r>
        <w:r w:rsidR="00902FA1" w:rsidRPr="00067586">
          <w:rPr>
            <w:rStyle w:val="Hipercze"/>
            <w:noProof/>
            <w:vertAlign w:val="subscript"/>
          </w:rPr>
          <w:t>2</w:t>
        </w:r>
        <w:r w:rsidR="00902FA1" w:rsidRPr="00067586">
          <w:rPr>
            <w:rStyle w:val="Hipercze"/>
            <w:noProof/>
          </w:rPr>
          <w:t xml:space="preserve"> w sektorze użyteczności publicznej</w:t>
        </w:r>
        <w:r w:rsidR="00902FA1">
          <w:rPr>
            <w:noProof/>
            <w:webHidden/>
          </w:rPr>
          <w:tab/>
        </w:r>
        <w:r>
          <w:rPr>
            <w:noProof/>
            <w:webHidden/>
          </w:rPr>
          <w:fldChar w:fldCharType="begin"/>
        </w:r>
        <w:r w:rsidR="00902FA1">
          <w:rPr>
            <w:noProof/>
            <w:webHidden/>
          </w:rPr>
          <w:instrText xml:space="preserve"> PAGEREF _Toc436586230 \h </w:instrText>
        </w:r>
        <w:r>
          <w:rPr>
            <w:noProof/>
            <w:webHidden/>
          </w:rPr>
        </w:r>
        <w:r>
          <w:rPr>
            <w:noProof/>
            <w:webHidden/>
          </w:rPr>
          <w:fldChar w:fldCharType="separate"/>
        </w:r>
        <w:r w:rsidR="005C42FD">
          <w:rPr>
            <w:noProof/>
            <w:webHidden/>
          </w:rPr>
          <w:t>83</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1" w:history="1">
        <w:r w:rsidR="00902FA1" w:rsidRPr="00067586">
          <w:rPr>
            <w:rStyle w:val="Hipercze"/>
            <w:noProof/>
          </w:rPr>
          <w:t>Tabela 10 Zestawienie informacji o oświetleniu ulicznym w gminie Herby</w:t>
        </w:r>
        <w:r w:rsidR="00902FA1">
          <w:rPr>
            <w:noProof/>
            <w:webHidden/>
          </w:rPr>
          <w:tab/>
        </w:r>
        <w:r>
          <w:rPr>
            <w:noProof/>
            <w:webHidden/>
          </w:rPr>
          <w:fldChar w:fldCharType="begin"/>
        </w:r>
        <w:r w:rsidR="00902FA1">
          <w:rPr>
            <w:noProof/>
            <w:webHidden/>
          </w:rPr>
          <w:instrText xml:space="preserve"> PAGEREF _Toc436586231 \h </w:instrText>
        </w:r>
        <w:r>
          <w:rPr>
            <w:noProof/>
            <w:webHidden/>
          </w:rPr>
        </w:r>
        <w:r>
          <w:rPr>
            <w:noProof/>
            <w:webHidden/>
          </w:rPr>
          <w:fldChar w:fldCharType="separate"/>
        </w:r>
        <w:r w:rsidR="005C42FD">
          <w:rPr>
            <w:noProof/>
            <w:webHidden/>
          </w:rPr>
          <w:t>85</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2" w:history="1">
        <w:r w:rsidR="00902FA1" w:rsidRPr="00067586">
          <w:rPr>
            <w:rStyle w:val="Hipercze"/>
            <w:noProof/>
          </w:rPr>
          <w:t>Tabela 11 Zużycie energii na poszczególne nośniki energii i roczna emisja CO2 w sektorze transportu</w:t>
        </w:r>
        <w:r w:rsidR="00902FA1">
          <w:rPr>
            <w:noProof/>
            <w:webHidden/>
          </w:rPr>
          <w:tab/>
        </w:r>
        <w:r>
          <w:rPr>
            <w:noProof/>
            <w:webHidden/>
          </w:rPr>
          <w:fldChar w:fldCharType="begin"/>
        </w:r>
        <w:r w:rsidR="00902FA1">
          <w:rPr>
            <w:noProof/>
            <w:webHidden/>
          </w:rPr>
          <w:instrText xml:space="preserve"> PAGEREF _Toc436586232 \h </w:instrText>
        </w:r>
        <w:r>
          <w:rPr>
            <w:noProof/>
            <w:webHidden/>
          </w:rPr>
        </w:r>
        <w:r>
          <w:rPr>
            <w:noProof/>
            <w:webHidden/>
          </w:rPr>
          <w:fldChar w:fldCharType="separate"/>
        </w:r>
        <w:r w:rsidR="005C42FD">
          <w:rPr>
            <w:noProof/>
            <w:webHidden/>
          </w:rPr>
          <w:t>87</w:t>
        </w:r>
        <w:r>
          <w:rPr>
            <w:noProof/>
            <w:webHidden/>
          </w:rPr>
          <w:fldChar w:fldCharType="end"/>
        </w:r>
      </w:hyperlink>
    </w:p>
    <w:p w:rsidR="00902FA1" w:rsidRDefault="00844CE4" w:rsidP="005C5BB4">
      <w:pPr>
        <w:pStyle w:val="Spisilustracji"/>
        <w:tabs>
          <w:tab w:val="right" w:leader="dot" w:pos="9062"/>
        </w:tabs>
        <w:rPr>
          <w:rFonts w:eastAsiaTheme="minorEastAsia"/>
          <w:noProof/>
          <w:sz w:val="22"/>
          <w:lang w:eastAsia="pl-PL"/>
        </w:rPr>
      </w:pPr>
      <w:hyperlink w:anchor="_Toc436586233" w:history="1">
        <w:r w:rsidR="00902FA1" w:rsidRPr="00067586">
          <w:rPr>
            <w:rStyle w:val="Hipercze"/>
            <w:noProof/>
          </w:rPr>
          <w:t>Tabela 12 Zużycie energii na poszczególne nośniki energii i roczna emisja CO2 w poszczególnych sektorach odbiorców</w:t>
        </w:r>
        <w:r w:rsidR="00902FA1">
          <w:rPr>
            <w:noProof/>
            <w:webHidden/>
          </w:rPr>
          <w:tab/>
        </w:r>
        <w:r>
          <w:rPr>
            <w:noProof/>
            <w:webHidden/>
          </w:rPr>
          <w:fldChar w:fldCharType="begin"/>
        </w:r>
        <w:r w:rsidR="00902FA1">
          <w:rPr>
            <w:noProof/>
            <w:webHidden/>
          </w:rPr>
          <w:instrText xml:space="preserve"> PAGEREF _Toc436586233 \h </w:instrText>
        </w:r>
        <w:r>
          <w:rPr>
            <w:noProof/>
            <w:webHidden/>
          </w:rPr>
        </w:r>
        <w:r>
          <w:rPr>
            <w:noProof/>
            <w:webHidden/>
          </w:rPr>
          <w:fldChar w:fldCharType="separate"/>
        </w:r>
        <w:r w:rsidR="005C42FD">
          <w:rPr>
            <w:noProof/>
            <w:webHidden/>
          </w:rPr>
          <w:t>90</w:t>
        </w:r>
        <w:r>
          <w:rPr>
            <w:noProof/>
            <w:webHidden/>
          </w:rPr>
          <w:fldChar w:fldCharType="end"/>
        </w:r>
      </w:hyperlink>
    </w:p>
    <w:p w:rsidR="00902FA1" w:rsidRDefault="00844CE4" w:rsidP="005C5BB4">
      <w:pPr>
        <w:pStyle w:val="Spisilustracji"/>
        <w:tabs>
          <w:tab w:val="right" w:leader="dot" w:pos="9062"/>
        </w:tabs>
      </w:pPr>
      <w:hyperlink w:anchor="_Toc436586234" w:history="1">
        <w:r w:rsidR="00902FA1" w:rsidRPr="00067586">
          <w:rPr>
            <w:rStyle w:val="Hipercze"/>
            <w:noProof/>
          </w:rPr>
          <w:t>Tabela 13 Zużycie energii dla poszczególnych nośników energii i roczna emisja CO2</w:t>
        </w:r>
        <w:r w:rsidR="00902FA1">
          <w:rPr>
            <w:noProof/>
            <w:webHidden/>
          </w:rPr>
          <w:tab/>
        </w:r>
        <w:r>
          <w:rPr>
            <w:noProof/>
            <w:webHidden/>
          </w:rPr>
          <w:fldChar w:fldCharType="begin"/>
        </w:r>
        <w:r w:rsidR="00902FA1">
          <w:rPr>
            <w:noProof/>
            <w:webHidden/>
          </w:rPr>
          <w:instrText xml:space="preserve"> PAGEREF _Toc436586234 \h </w:instrText>
        </w:r>
        <w:r>
          <w:rPr>
            <w:noProof/>
            <w:webHidden/>
          </w:rPr>
        </w:r>
        <w:r>
          <w:rPr>
            <w:noProof/>
            <w:webHidden/>
          </w:rPr>
          <w:fldChar w:fldCharType="separate"/>
        </w:r>
        <w:r w:rsidR="005C42FD">
          <w:rPr>
            <w:noProof/>
            <w:webHidden/>
          </w:rPr>
          <w:t>92</w:t>
        </w:r>
        <w:r>
          <w:rPr>
            <w:noProof/>
            <w:webHidden/>
          </w:rPr>
          <w:fldChar w:fldCharType="end"/>
        </w:r>
      </w:hyperlink>
    </w:p>
    <w:p w:rsidR="005C5BB4" w:rsidRPr="005C5BB4" w:rsidRDefault="005C5BB4" w:rsidP="005C5BB4">
      <w:pPr>
        <w:spacing w:after="0"/>
      </w:pPr>
      <w:r>
        <w:t xml:space="preserve">Tabela 14 </w:t>
      </w:r>
      <w:r w:rsidRPr="00DE1C6B">
        <w:t>Procentowy udział poszczególnych nośników energii</w:t>
      </w:r>
      <w:r>
        <w:t xml:space="preserve"> …………………………………………...93</w:t>
      </w:r>
    </w:p>
    <w:p w:rsidR="00902FA1" w:rsidRDefault="00844CE4" w:rsidP="005C5BB4">
      <w:pPr>
        <w:pStyle w:val="Spisilustracji"/>
        <w:tabs>
          <w:tab w:val="right" w:leader="dot" w:pos="9062"/>
        </w:tabs>
        <w:rPr>
          <w:rFonts w:eastAsiaTheme="minorEastAsia"/>
          <w:noProof/>
          <w:sz w:val="22"/>
          <w:lang w:eastAsia="pl-PL"/>
        </w:rPr>
      </w:pPr>
      <w:hyperlink w:anchor="_Toc436586235" w:history="1">
        <w:r w:rsidR="00902FA1" w:rsidRPr="00067586">
          <w:rPr>
            <w:rStyle w:val="Hipercze"/>
            <w:noProof/>
          </w:rPr>
          <w:t>Tabela 1</w:t>
        </w:r>
        <w:r w:rsidR="005C5BB4">
          <w:rPr>
            <w:rStyle w:val="Hipercze"/>
            <w:noProof/>
          </w:rPr>
          <w:t>5</w:t>
        </w:r>
        <w:r w:rsidR="00902FA1" w:rsidRPr="00067586">
          <w:rPr>
            <w:rStyle w:val="Hipercze"/>
            <w:noProof/>
          </w:rPr>
          <w:t xml:space="preserve"> Wyznaczenie redukcji emisji CO2 do roku 2020</w:t>
        </w:r>
        <w:r w:rsidR="00902FA1">
          <w:rPr>
            <w:noProof/>
            <w:webHidden/>
          </w:rPr>
          <w:tab/>
        </w:r>
        <w:r>
          <w:rPr>
            <w:noProof/>
            <w:webHidden/>
          </w:rPr>
          <w:fldChar w:fldCharType="begin"/>
        </w:r>
        <w:r w:rsidR="00902FA1">
          <w:rPr>
            <w:noProof/>
            <w:webHidden/>
          </w:rPr>
          <w:instrText xml:space="preserve"> PAGEREF _Toc436586235 \h </w:instrText>
        </w:r>
        <w:r>
          <w:rPr>
            <w:noProof/>
            <w:webHidden/>
          </w:rPr>
        </w:r>
        <w:r>
          <w:rPr>
            <w:noProof/>
            <w:webHidden/>
          </w:rPr>
          <w:fldChar w:fldCharType="separate"/>
        </w:r>
        <w:r w:rsidR="005C42FD">
          <w:rPr>
            <w:noProof/>
            <w:webHidden/>
          </w:rPr>
          <w:t>96</w:t>
        </w:r>
        <w:r>
          <w:rPr>
            <w:noProof/>
            <w:webHidden/>
          </w:rPr>
          <w:fldChar w:fldCharType="end"/>
        </w:r>
      </w:hyperlink>
    </w:p>
    <w:p w:rsidR="00902FA1" w:rsidRDefault="00844CE4" w:rsidP="005C5BB4">
      <w:pPr>
        <w:pStyle w:val="Spisilustracji"/>
        <w:tabs>
          <w:tab w:val="right" w:leader="dot" w:pos="9062"/>
        </w:tabs>
        <w:rPr>
          <w:rFonts w:eastAsiaTheme="minorEastAsia"/>
          <w:noProof/>
          <w:sz w:val="22"/>
          <w:lang w:eastAsia="pl-PL"/>
        </w:rPr>
      </w:pPr>
      <w:hyperlink w:anchor="_Toc436586236" w:history="1">
        <w:r w:rsidR="00902FA1" w:rsidRPr="00067586">
          <w:rPr>
            <w:rStyle w:val="Hipercze"/>
            <w:noProof/>
          </w:rPr>
          <w:t>Tabela 1</w:t>
        </w:r>
        <w:r w:rsidR="005C5BB4">
          <w:rPr>
            <w:rStyle w:val="Hipercze"/>
            <w:noProof/>
          </w:rPr>
          <w:t>6</w:t>
        </w:r>
        <w:r w:rsidR="00902FA1" w:rsidRPr="00067586">
          <w:rPr>
            <w:rStyle w:val="Hipercze"/>
            <w:noProof/>
          </w:rPr>
          <w:t xml:space="preserve"> Ilościowe efekty wybranych przedsięwzięć termomodernizacyjnych</w:t>
        </w:r>
        <w:r w:rsidR="00902FA1">
          <w:rPr>
            <w:noProof/>
            <w:webHidden/>
          </w:rPr>
          <w:tab/>
        </w:r>
        <w:r>
          <w:rPr>
            <w:noProof/>
            <w:webHidden/>
          </w:rPr>
          <w:fldChar w:fldCharType="begin"/>
        </w:r>
        <w:r w:rsidR="00902FA1">
          <w:rPr>
            <w:noProof/>
            <w:webHidden/>
          </w:rPr>
          <w:instrText xml:space="preserve"> PAGEREF _Toc436586236 \h </w:instrText>
        </w:r>
        <w:r>
          <w:rPr>
            <w:noProof/>
            <w:webHidden/>
          </w:rPr>
        </w:r>
        <w:r>
          <w:rPr>
            <w:noProof/>
            <w:webHidden/>
          </w:rPr>
          <w:fldChar w:fldCharType="separate"/>
        </w:r>
        <w:r w:rsidR="005C42FD">
          <w:rPr>
            <w:noProof/>
            <w:webHidden/>
          </w:rPr>
          <w:t>99</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7" w:history="1">
        <w:r w:rsidR="00902FA1" w:rsidRPr="00067586">
          <w:rPr>
            <w:rStyle w:val="Hipercze"/>
            <w:noProof/>
          </w:rPr>
          <w:t>Tabela 1</w:t>
        </w:r>
        <w:r w:rsidR="005C5BB4">
          <w:rPr>
            <w:rStyle w:val="Hipercze"/>
            <w:noProof/>
          </w:rPr>
          <w:t>7</w:t>
        </w:r>
        <w:r w:rsidR="00902FA1" w:rsidRPr="00067586">
          <w:rPr>
            <w:rStyle w:val="Hipercze"/>
            <w:noProof/>
          </w:rPr>
          <w:t xml:space="preserve"> Zestawienie granicznych parametrów źródeł światła do ogólnych celów oświetleniowych</w:t>
        </w:r>
        <w:r w:rsidR="00902FA1">
          <w:rPr>
            <w:noProof/>
            <w:webHidden/>
          </w:rPr>
          <w:tab/>
        </w:r>
        <w:r>
          <w:rPr>
            <w:noProof/>
            <w:webHidden/>
          </w:rPr>
          <w:fldChar w:fldCharType="begin"/>
        </w:r>
        <w:r w:rsidR="00902FA1">
          <w:rPr>
            <w:noProof/>
            <w:webHidden/>
          </w:rPr>
          <w:instrText xml:space="preserve"> PAGEREF _Toc436586237 \h </w:instrText>
        </w:r>
        <w:r>
          <w:rPr>
            <w:noProof/>
            <w:webHidden/>
          </w:rPr>
        </w:r>
        <w:r>
          <w:rPr>
            <w:noProof/>
            <w:webHidden/>
          </w:rPr>
          <w:fldChar w:fldCharType="separate"/>
        </w:r>
        <w:r w:rsidR="005C42FD">
          <w:rPr>
            <w:noProof/>
            <w:webHidden/>
          </w:rPr>
          <w:t>100</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8" w:history="1">
        <w:r w:rsidR="00902FA1" w:rsidRPr="00067586">
          <w:rPr>
            <w:rStyle w:val="Hipercze"/>
            <w:noProof/>
          </w:rPr>
          <w:t>Tabela 1</w:t>
        </w:r>
        <w:r w:rsidR="005C5BB4">
          <w:rPr>
            <w:rStyle w:val="Hipercze"/>
            <w:noProof/>
          </w:rPr>
          <w:t>8</w:t>
        </w:r>
        <w:r w:rsidR="00902FA1" w:rsidRPr="00067586">
          <w:rPr>
            <w:rStyle w:val="Hipercze"/>
            <w:noProof/>
          </w:rPr>
          <w:t xml:space="preserve"> Oszczędności energii elektrycznej, wynikające z wymiany różnych źródeł światła</w:t>
        </w:r>
        <w:r w:rsidR="00902FA1">
          <w:rPr>
            <w:noProof/>
            <w:webHidden/>
          </w:rPr>
          <w:tab/>
        </w:r>
        <w:r>
          <w:rPr>
            <w:noProof/>
            <w:webHidden/>
          </w:rPr>
          <w:fldChar w:fldCharType="begin"/>
        </w:r>
        <w:r w:rsidR="00902FA1">
          <w:rPr>
            <w:noProof/>
            <w:webHidden/>
          </w:rPr>
          <w:instrText xml:space="preserve"> PAGEREF _Toc436586238 \h </w:instrText>
        </w:r>
        <w:r>
          <w:rPr>
            <w:noProof/>
            <w:webHidden/>
          </w:rPr>
        </w:r>
        <w:r>
          <w:rPr>
            <w:noProof/>
            <w:webHidden/>
          </w:rPr>
          <w:fldChar w:fldCharType="separate"/>
        </w:r>
        <w:r w:rsidR="005C42FD">
          <w:rPr>
            <w:noProof/>
            <w:webHidden/>
          </w:rPr>
          <w:t>101</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39" w:history="1">
        <w:r w:rsidR="00902FA1" w:rsidRPr="00067586">
          <w:rPr>
            <w:rStyle w:val="Hipercze"/>
            <w:noProof/>
          </w:rPr>
          <w:t>Tabela 1</w:t>
        </w:r>
        <w:r w:rsidR="005C5BB4">
          <w:rPr>
            <w:rStyle w:val="Hipercze"/>
            <w:noProof/>
          </w:rPr>
          <w:t>9</w:t>
        </w:r>
        <w:r w:rsidR="00902FA1" w:rsidRPr="00067586">
          <w:rPr>
            <w:rStyle w:val="Hipercze"/>
            <w:noProof/>
          </w:rPr>
          <w:t xml:space="preserve"> Możliwości oszczędności energii elektrycznej na poziomie użytkownika finalnego</w:t>
        </w:r>
        <w:r w:rsidR="00902FA1">
          <w:rPr>
            <w:noProof/>
            <w:webHidden/>
          </w:rPr>
          <w:tab/>
        </w:r>
        <w:r>
          <w:rPr>
            <w:noProof/>
            <w:webHidden/>
          </w:rPr>
          <w:fldChar w:fldCharType="begin"/>
        </w:r>
        <w:r w:rsidR="00902FA1">
          <w:rPr>
            <w:noProof/>
            <w:webHidden/>
          </w:rPr>
          <w:instrText xml:space="preserve"> PAGEREF _Toc436586239 \h </w:instrText>
        </w:r>
        <w:r>
          <w:rPr>
            <w:noProof/>
            <w:webHidden/>
          </w:rPr>
        </w:r>
        <w:r>
          <w:rPr>
            <w:noProof/>
            <w:webHidden/>
          </w:rPr>
          <w:fldChar w:fldCharType="separate"/>
        </w:r>
        <w:r w:rsidR="005C42FD">
          <w:rPr>
            <w:noProof/>
            <w:webHidden/>
          </w:rPr>
          <w:t>101</w:t>
        </w:r>
        <w:r>
          <w:rPr>
            <w:noProof/>
            <w:webHidden/>
          </w:rPr>
          <w:fldChar w:fldCharType="end"/>
        </w:r>
      </w:hyperlink>
    </w:p>
    <w:p w:rsidR="00902FA1" w:rsidRDefault="00844CE4">
      <w:pPr>
        <w:pStyle w:val="Spisilustracji"/>
        <w:tabs>
          <w:tab w:val="right" w:leader="dot" w:pos="9062"/>
        </w:tabs>
        <w:rPr>
          <w:rFonts w:eastAsiaTheme="minorEastAsia"/>
          <w:noProof/>
          <w:sz w:val="22"/>
          <w:lang w:eastAsia="pl-PL"/>
        </w:rPr>
      </w:pPr>
      <w:hyperlink w:anchor="_Toc436586240" w:history="1">
        <w:r w:rsidR="005C5BB4">
          <w:rPr>
            <w:rStyle w:val="Hipercze"/>
            <w:noProof/>
          </w:rPr>
          <w:t>Tabela 20</w:t>
        </w:r>
        <w:r w:rsidR="00902FA1" w:rsidRPr="00067586">
          <w:rPr>
            <w:rStyle w:val="Hipercze"/>
            <w:noProof/>
          </w:rPr>
          <w:t xml:space="preserve"> Rodzaje </w:t>
        </w:r>
        <w:r w:rsidR="005C5BB4">
          <w:rPr>
            <w:rStyle w:val="Hipercze"/>
            <w:noProof/>
          </w:rPr>
          <w:t xml:space="preserve">proponowanych </w:t>
        </w:r>
        <w:r w:rsidR="00902FA1" w:rsidRPr="00067586">
          <w:rPr>
            <w:rStyle w:val="Hipercze"/>
            <w:noProof/>
          </w:rPr>
          <w:t>wskaźników do weryfikacji procesu wdrażania Planu Gospodarki Niskoemisyjnej</w:t>
        </w:r>
        <w:r w:rsidR="00902FA1">
          <w:rPr>
            <w:noProof/>
            <w:webHidden/>
          </w:rPr>
          <w:tab/>
        </w:r>
        <w:r>
          <w:rPr>
            <w:noProof/>
            <w:webHidden/>
          </w:rPr>
          <w:fldChar w:fldCharType="begin"/>
        </w:r>
        <w:r w:rsidR="00902FA1">
          <w:rPr>
            <w:noProof/>
            <w:webHidden/>
          </w:rPr>
          <w:instrText xml:space="preserve"> PAGEREF _Toc436586240 \h </w:instrText>
        </w:r>
        <w:r>
          <w:rPr>
            <w:noProof/>
            <w:webHidden/>
          </w:rPr>
        </w:r>
        <w:r>
          <w:rPr>
            <w:noProof/>
            <w:webHidden/>
          </w:rPr>
          <w:fldChar w:fldCharType="separate"/>
        </w:r>
        <w:r w:rsidR="005C42FD">
          <w:rPr>
            <w:noProof/>
            <w:webHidden/>
          </w:rPr>
          <w:t>113</w:t>
        </w:r>
        <w:r>
          <w:rPr>
            <w:noProof/>
            <w:webHidden/>
          </w:rPr>
          <w:fldChar w:fldCharType="end"/>
        </w:r>
      </w:hyperlink>
    </w:p>
    <w:p w:rsidR="0053457C" w:rsidRPr="007D0ECB" w:rsidRDefault="00844CE4" w:rsidP="0053457C">
      <w:r>
        <w:fldChar w:fldCharType="end"/>
      </w:r>
    </w:p>
    <w:p w:rsidR="00616653" w:rsidRPr="007D0ECB" w:rsidRDefault="00844CE4" w:rsidP="005C5BB4">
      <w:pPr>
        <w:pStyle w:val="Spisilustracji"/>
        <w:tabs>
          <w:tab w:val="right" w:leader="dot" w:pos="9062"/>
        </w:tabs>
        <w:rPr>
          <w:rFonts w:eastAsiaTheme="minorEastAsia"/>
          <w:noProof/>
          <w:sz w:val="22"/>
          <w:lang w:eastAsia="pl-PL"/>
        </w:rPr>
      </w:pPr>
      <w:r w:rsidRPr="007D0ECB">
        <w:fldChar w:fldCharType="begin"/>
      </w:r>
      <w:r w:rsidR="00616653" w:rsidRPr="007D0ECB">
        <w:instrText xml:space="preserve"> TOC \h \z \c "Wykres" </w:instrText>
      </w:r>
      <w:r w:rsidRPr="007D0ECB">
        <w:fldChar w:fldCharType="separate"/>
      </w:r>
      <w:hyperlink w:anchor="_Toc429726503" w:history="1">
        <w:r w:rsidR="00616653" w:rsidRPr="007D0ECB">
          <w:rPr>
            <w:rStyle w:val="Hipercze"/>
            <w:noProof/>
          </w:rPr>
          <w:t>Wykres 1 Wskaźnik bonitacji negatywnej [w %]w powiecie lublinieckim</w:t>
        </w:r>
        <w:r w:rsidR="00616653" w:rsidRPr="007D0ECB">
          <w:rPr>
            <w:noProof/>
            <w:webHidden/>
          </w:rPr>
          <w:tab/>
        </w:r>
        <w:r w:rsidRPr="007D0ECB">
          <w:rPr>
            <w:noProof/>
            <w:webHidden/>
          </w:rPr>
          <w:fldChar w:fldCharType="begin"/>
        </w:r>
        <w:r w:rsidR="00616653" w:rsidRPr="007D0ECB">
          <w:rPr>
            <w:noProof/>
            <w:webHidden/>
          </w:rPr>
          <w:instrText xml:space="preserve"> PAGEREF _Toc429726503 \h </w:instrText>
        </w:r>
        <w:r w:rsidRPr="007D0ECB">
          <w:rPr>
            <w:noProof/>
            <w:webHidden/>
          </w:rPr>
        </w:r>
        <w:r w:rsidRPr="007D0ECB">
          <w:rPr>
            <w:noProof/>
            <w:webHidden/>
          </w:rPr>
          <w:fldChar w:fldCharType="separate"/>
        </w:r>
        <w:r w:rsidR="005C42FD">
          <w:rPr>
            <w:noProof/>
            <w:webHidden/>
          </w:rPr>
          <w:t>26</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4" w:history="1">
        <w:r w:rsidR="00616653" w:rsidRPr="007D0ECB">
          <w:rPr>
            <w:rStyle w:val="Hipercze"/>
            <w:bCs/>
            <w:noProof/>
          </w:rPr>
          <w:t>Wykres 2 Użytkowanie gruntów w gospodarstwach rolnych</w:t>
        </w:r>
        <w:r w:rsidR="00616653" w:rsidRPr="007D0ECB">
          <w:rPr>
            <w:noProof/>
            <w:webHidden/>
          </w:rPr>
          <w:tab/>
        </w:r>
        <w:r w:rsidRPr="007D0ECB">
          <w:rPr>
            <w:noProof/>
            <w:webHidden/>
          </w:rPr>
          <w:fldChar w:fldCharType="begin"/>
        </w:r>
        <w:r w:rsidR="00616653" w:rsidRPr="007D0ECB">
          <w:rPr>
            <w:noProof/>
            <w:webHidden/>
          </w:rPr>
          <w:instrText xml:space="preserve"> PAGEREF _Toc429726504 \h </w:instrText>
        </w:r>
        <w:r w:rsidRPr="007D0ECB">
          <w:rPr>
            <w:noProof/>
            <w:webHidden/>
          </w:rPr>
        </w:r>
        <w:r w:rsidRPr="007D0ECB">
          <w:rPr>
            <w:noProof/>
            <w:webHidden/>
          </w:rPr>
          <w:fldChar w:fldCharType="separate"/>
        </w:r>
        <w:r w:rsidR="005C42FD">
          <w:rPr>
            <w:noProof/>
            <w:webHidden/>
          </w:rPr>
          <w:t>29</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5" w:history="1">
        <w:r w:rsidR="00616653" w:rsidRPr="007D0ECB">
          <w:rPr>
            <w:rStyle w:val="Hipercze"/>
            <w:bCs/>
            <w:noProof/>
          </w:rPr>
          <w:t>Wykres 3 Powierzchnia zasiewów według typu gospodarstwa</w:t>
        </w:r>
        <w:r w:rsidR="00616653" w:rsidRPr="007D0ECB">
          <w:rPr>
            <w:noProof/>
            <w:webHidden/>
          </w:rPr>
          <w:tab/>
        </w:r>
        <w:r w:rsidRPr="007D0ECB">
          <w:rPr>
            <w:noProof/>
            <w:webHidden/>
          </w:rPr>
          <w:fldChar w:fldCharType="begin"/>
        </w:r>
        <w:r w:rsidR="00616653" w:rsidRPr="007D0ECB">
          <w:rPr>
            <w:noProof/>
            <w:webHidden/>
          </w:rPr>
          <w:instrText xml:space="preserve"> PAGEREF _Toc429726505 \h </w:instrText>
        </w:r>
        <w:r w:rsidRPr="007D0ECB">
          <w:rPr>
            <w:noProof/>
            <w:webHidden/>
          </w:rPr>
        </w:r>
        <w:r w:rsidRPr="007D0ECB">
          <w:rPr>
            <w:noProof/>
            <w:webHidden/>
          </w:rPr>
          <w:fldChar w:fldCharType="separate"/>
        </w:r>
        <w:r w:rsidR="005C42FD">
          <w:rPr>
            <w:noProof/>
            <w:webHidden/>
          </w:rPr>
          <w:t>31</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6" w:history="1">
        <w:r w:rsidR="00616653" w:rsidRPr="007D0ECB">
          <w:rPr>
            <w:rStyle w:val="Hipercze"/>
            <w:bCs/>
            <w:noProof/>
          </w:rPr>
          <w:t>Wykres 4 Pogłowie zwierząt hodowlanych</w:t>
        </w:r>
        <w:r w:rsidR="00616653" w:rsidRPr="007D0ECB">
          <w:rPr>
            <w:noProof/>
            <w:webHidden/>
          </w:rPr>
          <w:tab/>
        </w:r>
        <w:r w:rsidRPr="007D0ECB">
          <w:rPr>
            <w:noProof/>
            <w:webHidden/>
          </w:rPr>
          <w:fldChar w:fldCharType="begin"/>
        </w:r>
        <w:r w:rsidR="00616653" w:rsidRPr="007D0ECB">
          <w:rPr>
            <w:noProof/>
            <w:webHidden/>
          </w:rPr>
          <w:instrText xml:space="preserve"> PAGEREF _Toc429726506 \h </w:instrText>
        </w:r>
        <w:r w:rsidRPr="007D0ECB">
          <w:rPr>
            <w:noProof/>
            <w:webHidden/>
          </w:rPr>
        </w:r>
        <w:r w:rsidRPr="007D0ECB">
          <w:rPr>
            <w:noProof/>
            <w:webHidden/>
          </w:rPr>
          <w:fldChar w:fldCharType="separate"/>
        </w:r>
        <w:r w:rsidR="005C42FD">
          <w:rPr>
            <w:noProof/>
            <w:webHidden/>
          </w:rPr>
          <w:t>32</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7" w:history="1">
        <w:r w:rsidR="00616653" w:rsidRPr="007D0ECB">
          <w:rPr>
            <w:rStyle w:val="Hipercze"/>
            <w:noProof/>
          </w:rPr>
          <w:t>Wykres 5 Ruch naturalny wg płci</w:t>
        </w:r>
        <w:r w:rsidR="00616653" w:rsidRPr="007D0ECB">
          <w:rPr>
            <w:noProof/>
            <w:webHidden/>
          </w:rPr>
          <w:tab/>
        </w:r>
        <w:r w:rsidRPr="007D0ECB">
          <w:rPr>
            <w:noProof/>
            <w:webHidden/>
          </w:rPr>
          <w:fldChar w:fldCharType="begin"/>
        </w:r>
        <w:r w:rsidR="00616653" w:rsidRPr="007D0ECB">
          <w:rPr>
            <w:noProof/>
            <w:webHidden/>
          </w:rPr>
          <w:instrText xml:space="preserve"> PAGEREF _Toc429726507 \h </w:instrText>
        </w:r>
        <w:r w:rsidRPr="007D0ECB">
          <w:rPr>
            <w:noProof/>
            <w:webHidden/>
          </w:rPr>
        </w:r>
        <w:r w:rsidRPr="007D0ECB">
          <w:rPr>
            <w:noProof/>
            <w:webHidden/>
          </w:rPr>
          <w:fldChar w:fldCharType="separate"/>
        </w:r>
        <w:r w:rsidR="005C42FD">
          <w:rPr>
            <w:noProof/>
            <w:webHidden/>
          </w:rPr>
          <w:t>35</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8" w:history="1">
        <w:r w:rsidR="00616653" w:rsidRPr="007D0ECB">
          <w:rPr>
            <w:rStyle w:val="Hipercze"/>
            <w:noProof/>
          </w:rPr>
          <w:t>Wykres 6 Saldo migracji na pobyt stały w gminie Herby</w:t>
        </w:r>
        <w:r w:rsidR="00616653" w:rsidRPr="007D0ECB">
          <w:rPr>
            <w:noProof/>
            <w:webHidden/>
          </w:rPr>
          <w:tab/>
        </w:r>
        <w:r w:rsidRPr="007D0ECB">
          <w:rPr>
            <w:noProof/>
            <w:webHidden/>
          </w:rPr>
          <w:fldChar w:fldCharType="begin"/>
        </w:r>
        <w:r w:rsidR="00616653" w:rsidRPr="007D0ECB">
          <w:rPr>
            <w:noProof/>
            <w:webHidden/>
          </w:rPr>
          <w:instrText xml:space="preserve"> PAGEREF _Toc429726508 \h </w:instrText>
        </w:r>
        <w:r w:rsidRPr="007D0ECB">
          <w:rPr>
            <w:noProof/>
            <w:webHidden/>
          </w:rPr>
        </w:r>
        <w:r w:rsidRPr="007D0ECB">
          <w:rPr>
            <w:noProof/>
            <w:webHidden/>
          </w:rPr>
          <w:fldChar w:fldCharType="separate"/>
        </w:r>
        <w:r w:rsidR="005C42FD">
          <w:rPr>
            <w:noProof/>
            <w:webHidden/>
          </w:rPr>
          <w:t>36</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09" w:history="1">
        <w:r w:rsidR="00616653" w:rsidRPr="007D0ECB">
          <w:rPr>
            <w:rStyle w:val="Hipercze"/>
            <w:noProof/>
          </w:rPr>
          <w:t>Wykres 7 Stopa bezrobocia rejestrowanego dla gminy Herby</w:t>
        </w:r>
        <w:r w:rsidR="00616653" w:rsidRPr="007D0ECB">
          <w:rPr>
            <w:noProof/>
            <w:webHidden/>
          </w:rPr>
          <w:tab/>
        </w:r>
        <w:r w:rsidRPr="007D0ECB">
          <w:rPr>
            <w:noProof/>
            <w:webHidden/>
          </w:rPr>
          <w:fldChar w:fldCharType="begin"/>
        </w:r>
        <w:r w:rsidR="00616653" w:rsidRPr="007D0ECB">
          <w:rPr>
            <w:noProof/>
            <w:webHidden/>
          </w:rPr>
          <w:instrText xml:space="preserve"> PAGEREF _Toc429726509 \h </w:instrText>
        </w:r>
        <w:r w:rsidRPr="007D0ECB">
          <w:rPr>
            <w:noProof/>
            <w:webHidden/>
          </w:rPr>
        </w:r>
        <w:r w:rsidRPr="007D0ECB">
          <w:rPr>
            <w:noProof/>
            <w:webHidden/>
          </w:rPr>
          <w:fldChar w:fldCharType="separate"/>
        </w:r>
        <w:r w:rsidR="005C42FD">
          <w:rPr>
            <w:noProof/>
            <w:webHidden/>
          </w:rPr>
          <w:t>38</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0" w:history="1">
        <w:r w:rsidR="00616653" w:rsidRPr="007D0ECB">
          <w:rPr>
            <w:rStyle w:val="Hipercze"/>
            <w:noProof/>
          </w:rPr>
          <w:t>Wykres 8 Bezrobotni zarejestrowani wg poziomu wykształcenia – powiat lubliniecki</w:t>
        </w:r>
        <w:r w:rsidR="00616653" w:rsidRPr="007D0ECB">
          <w:rPr>
            <w:noProof/>
            <w:webHidden/>
          </w:rPr>
          <w:tab/>
        </w:r>
        <w:r w:rsidRPr="007D0ECB">
          <w:rPr>
            <w:noProof/>
            <w:webHidden/>
          </w:rPr>
          <w:fldChar w:fldCharType="begin"/>
        </w:r>
        <w:r w:rsidR="00616653" w:rsidRPr="007D0ECB">
          <w:rPr>
            <w:noProof/>
            <w:webHidden/>
          </w:rPr>
          <w:instrText xml:space="preserve"> PAGEREF _Toc429726510 \h </w:instrText>
        </w:r>
        <w:r w:rsidRPr="007D0ECB">
          <w:rPr>
            <w:noProof/>
            <w:webHidden/>
          </w:rPr>
        </w:r>
        <w:r w:rsidRPr="007D0ECB">
          <w:rPr>
            <w:noProof/>
            <w:webHidden/>
          </w:rPr>
          <w:fldChar w:fldCharType="separate"/>
        </w:r>
        <w:r w:rsidR="005C42FD">
          <w:rPr>
            <w:noProof/>
            <w:webHidden/>
          </w:rPr>
          <w:t>38</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1" w:history="1">
        <w:r w:rsidR="00616653" w:rsidRPr="007D0ECB">
          <w:rPr>
            <w:rStyle w:val="Hipercze"/>
            <w:noProof/>
          </w:rPr>
          <w:t>Wykres 9 Stopień natężenia bezrobocia dla powiatu lublinieckiego</w:t>
        </w:r>
        <w:r w:rsidR="00616653" w:rsidRPr="007D0ECB">
          <w:rPr>
            <w:noProof/>
            <w:webHidden/>
          </w:rPr>
          <w:tab/>
        </w:r>
        <w:r w:rsidRPr="007D0ECB">
          <w:rPr>
            <w:noProof/>
            <w:webHidden/>
          </w:rPr>
          <w:fldChar w:fldCharType="begin"/>
        </w:r>
        <w:r w:rsidR="00616653" w:rsidRPr="007D0ECB">
          <w:rPr>
            <w:noProof/>
            <w:webHidden/>
          </w:rPr>
          <w:instrText xml:space="preserve"> PAGEREF _Toc429726511 \h </w:instrText>
        </w:r>
        <w:r w:rsidRPr="007D0ECB">
          <w:rPr>
            <w:noProof/>
            <w:webHidden/>
          </w:rPr>
        </w:r>
        <w:r w:rsidRPr="007D0ECB">
          <w:rPr>
            <w:noProof/>
            <w:webHidden/>
          </w:rPr>
          <w:fldChar w:fldCharType="separate"/>
        </w:r>
        <w:r w:rsidR="005C42FD">
          <w:rPr>
            <w:noProof/>
            <w:webHidden/>
          </w:rPr>
          <w:t>39</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2" w:history="1">
        <w:r w:rsidR="00616653" w:rsidRPr="007D0ECB">
          <w:rPr>
            <w:rStyle w:val="Hipercze"/>
            <w:noProof/>
          </w:rPr>
          <w:t>Wykres 10 Struktura wiekowa bezrobotnych zarejestrowanych w PUP w Lublińcu</w:t>
        </w:r>
        <w:r w:rsidR="00616653" w:rsidRPr="007D0ECB">
          <w:rPr>
            <w:noProof/>
            <w:webHidden/>
          </w:rPr>
          <w:tab/>
        </w:r>
        <w:r w:rsidRPr="007D0ECB">
          <w:rPr>
            <w:noProof/>
            <w:webHidden/>
          </w:rPr>
          <w:fldChar w:fldCharType="begin"/>
        </w:r>
        <w:r w:rsidR="00616653" w:rsidRPr="007D0ECB">
          <w:rPr>
            <w:noProof/>
            <w:webHidden/>
          </w:rPr>
          <w:instrText xml:space="preserve"> PAGEREF _Toc429726512 \h </w:instrText>
        </w:r>
        <w:r w:rsidRPr="007D0ECB">
          <w:rPr>
            <w:noProof/>
            <w:webHidden/>
          </w:rPr>
        </w:r>
        <w:r w:rsidRPr="007D0ECB">
          <w:rPr>
            <w:noProof/>
            <w:webHidden/>
          </w:rPr>
          <w:fldChar w:fldCharType="separate"/>
        </w:r>
        <w:r w:rsidR="005C42FD">
          <w:rPr>
            <w:noProof/>
            <w:webHidden/>
          </w:rPr>
          <w:t>40</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3" w:history="1">
        <w:r w:rsidR="00616653" w:rsidRPr="007D0ECB">
          <w:rPr>
            <w:rStyle w:val="Hipercze"/>
            <w:noProof/>
          </w:rPr>
          <w:t>Wykres 11 Podmioty gospodarki narodowej według sektorów własnościowych w gminie Herby</w:t>
        </w:r>
        <w:r w:rsidR="00616653" w:rsidRPr="007D0ECB">
          <w:rPr>
            <w:noProof/>
            <w:webHidden/>
          </w:rPr>
          <w:tab/>
        </w:r>
        <w:r w:rsidRPr="007D0ECB">
          <w:rPr>
            <w:noProof/>
            <w:webHidden/>
          </w:rPr>
          <w:fldChar w:fldCharType="begin"/>
        </w:r>
        <w:r w:rsidR="00616653" w:rsidRPr="007D0ECB">
          <w:rPr>
            <w:noProof/>
            <w:webHidden/>
          </w:rPr>
          <w:instrText xml:space="preserve"> PAGEREF _Toc429726513 \h </w:instrText>
        </w:r>
        <w:r w:rsidRPr="007D0ECB">
          <w:rPr>
            <w:noProof/>
            <w:webHidden/>
          </w:rPr>
        </w:r>
        <w:r w:rsidRPr="007D0ECB">
          <w:rPr>
            <w:noProof/>
            <w:webHidden/>
          </w:rPr>
          <w:fldChar w:fldCharType="separate"/>
        </w:r>
        <w:r w:rsidR="005C42FD">
          <w:rPr>
            <w:noProof/>
            <w:webHidden/>
          </w:rPr>
          <w:t>41</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4" w:history="1">
        <w:r w:rsidR="00616653" w:rsidRPr="007D0ECB">
          <w:rPr>
            <w:rStyle w:val="Hipercze"/>
            <w:noProof/>
          </w:rPr>
          <w:t>Wykres 12 Podmioty gospodarcze wg klas wielkości w gminie Herby</w:t>
        </w:r>
        <w:r w:rsidR="00616653" w:rsidRPr="007D0ECB">
          <w:rPr>
            <w:noProof/>
            <w:webHidden/>
          </w:rPr>
          <w:tab/>
        </w:r>
        <w:r w:rsidRPr="007D0ECB">
          <w:rPr>
            <w:noProof/>
            <w:webHidden/>
          </w:rPr>
          <w:fldChar w:fldCharType="begin"/>
        </w:r>
        <w:r w:rsidR="00616653" w:rsidRPr="007D0ECB">
          <w:rPr>
            <w:noProof/>
            <w:webHidden/>
          </w:rPr>
          <w:instrText xml:space="preserve"> PAGEREF _Toc429726514 \h </w:instrText>
        </w:r>
        <w:r w:rsidRPr="007D0ECB">
          <w:rPr>
            <w:noProof/>
            <w:webHidden/>
          </w:rPr>
        </w:r>
        <w:r w:rsidRPr="007D0ECB">
          <w:rPr>
            <w:noProof/>
            <w:webHidden/>
          </w:rPr>
          <w:fldChar w:fldCharType="separate"/>
        </w:r>
        <w:r w:rsidR="005C42FD">
          <w:rPr>
            <w:noProof/>
            <w:webHidden/>
          </w:rPr>
          <w:t>42</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5" w:history="1">
        <w:r w:rsidR="00616653" w:rsidRPr="007D0ECB">
          <w:rPr>
            <w:rStyle w:val="Hipercze"/>
            <w:noProof/>
          </w:rPr>
          <w:t>Wykres 13 Jednostki wpisane do rejestru REGON wg sekcji PKD 2007 w gminie Herby</w:t>
        </w:r>
        <w:r w:rsidR="00616653" w:rsidRPr="007D0ECB">
          <w:rPr>
            <w:noProof/>
            <w:webHidden/>
          </w:rPr>
          <w:tab/>
        </w:r>
        <w:r w:rsidRPr="007D0ECB">
          <w:rPr>
            <w:noProof/>
            <w:webHidden/>
          </w:rPr>
          <w:fldChar w:fldCharType="begin"/>
        </w:r>
        <w:r w:rsidR="00616653" w:rsidRPr="007D0ECB">
          <w:rPr>
            <w:noProof/>
            <w:webHidden/>
          </w:rPr>
          <w:instrText xml:space="preserve"> PAGEREF _Toc429726515 \h </w:instrText>
        </w:r>
        <w:r w:rsidRPr="007D0ECB">
          <w:rPr>
            <w:noProof/>
            <w:webHidden/>
          </w:rPr>
        </w:r>
        <w:r w:rsidRPr="007D0ECB">
          <w:rPr>
            <w:noProof/>
            <w:webHidden/>
          </w:rPr>
          <w:fldChar w:fldCharType="separate"/>
        </w:r>
        <w:r w:rsidR="005C42FD">
          <w:rPr>
            <w:noProof/>
            <w:webHidden/>
          </w:rPr>
          <w:t>42</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6" w:history="1">
        <w:r w:rsidR="00616653" w:rsidRPr="007D0ECB">
          <w:rPr>
            <w:rStyle w:val="Hipercze"/>
            <w:noProof/>
          </w:rPr>
          <w:t>Wykres 14 Podmioty według sektorów własnościowych w gminie Herby w latach 2010-2014</w:t>
        </w:r>
        <w:r w:rsidR="00616653" w:rsidRPr="007D0ECB">
          <w:rPr>
            <w:noProof/>
            <w:webHidden/>
          </w:rPr>
          <w:tab/>
        </w:r>
        <w:r w:rsidRPr="007D0ECB">
          <w:rPr>
            <w:noProof/>
            <w:webHidden/>
          </w:rPr>
          <w:fldChar w:fldCharType="begin"/>
        </w:r>
        <w:r w:rsidR="00616653" w:rsidRPr="007D0ECB">
          <w:rPr>
            <w:noProof/>
            <w:webHidden/>
          </w:rPr>
          <w:instrText xml:space="preserve"> PAGEREF _Toc429726516 \h </w:instrText>
        </w:r>
        <w:r w:rsidRPr="007D0ECB">
          <w:rPr>
            <w:noProof/>
            <w:webHidden/>
          </w:rPr>
        </w:r>
        <w:r w:rsidRPr="007D0ECB">
          <w:rPr>
            <w:noProof/>
            <w:webHidden/>
          </w:rPr>
          <w:fldChar w:fldCharType="separate"/>
        </w:r>
        <w:r w:rsidR="005C42FD">
          <w:rPr>
            <w:noProof/>
            <w:webHidden/>
          </w:rPr>
          <w:t>43</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7" w:history="1">
        <w:r w:rsidR="00616653" w:rsidRPr="007D0ECB">
          <w:rPr>
            <w:rStyle w:val="Hipercze"/>
            <w:noProof/>
          </w:rPr>
          <w:t>Wykres 15 Mieszkania na terenach wiejskich gminy Herby wyposażone w instalacje –  % ogółu mieszkań w latach 2010-2013</w:t>
        </w:r>
        <w:r w:rsidR="00616653" w:rsidRPr="007D0ECB">
          <w:rPr>
            <w:noProof/>
            <w:webHidden/>
          </w:rPr>
          <w:tab/>
        </w:r>
        <w:r w:rsidRPr="007D0ECB">
          <w:rPr>
            <w:noProof/>
            <w:webHidden/>
          </w:rPr>
          <w:fldChar w:fldCharType="begin"/>
        </w:r>
        <w:r w:rsidR="00616653" w:rsidRPr="007D0ECB">
          <w:rPr>
            <w:noProof/>
            <w:webHidden/>
          </w:rPr>
          <w:instrText xml:space="preserve"> PAGEREF _Toc429726517 \h </w:instrText>
        </w:r>
        <w:r w:rsidRPr="007D0ECB">
          <w:rPr>
            <w:noProof/>
            <w:webHidden/>
          </w:rPr>
        </w:r>
        <w:r w:rsidRPr="007D0ECB">
          <w:rPr>
            <w:noProof/>
            <w:webHidden/>
          </w:rPr>
          <w:fldChar w:fldCharType="separate"/>
        </w:r>
        <w:r w:rsidR="005C42FD">
          <w:rPr>
            <w:noProof/>
            <w:webHidden/>
          </w:rPr>
          <w:t>47</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8" w:history="1">
        <w:r w:rsidR="00616653" w:rsidRPr="007D0ECB">
          <w:rPr>
            <w:rStyle w:val="Hipercze"/>
            <w:noProof/>
          </w:rPr>
          <w:t>Wykres 16 Mieszkania wyposażone w instalacje techniczno-sanitarne w gminie Herby w latach 2010-2014</w:t>
        </w:r>
        <w:r w:rsidR="00616653" w:rsidRPr="007D0ECB">
          <w:rPr>
            <w:noProof/>
            <w:webHidden/>
          </w:rPr>
          <w:tab/>
        </w:r>
        <w:r w:rsidRPr="007D0ECB">
          <w:rPr>
            <w:noProof/>
            <w:webHidden/>
          </w:rPr>
          <w:fldChar w:fldCharType="begin"/>
        </w:r>
        <w:r w:rsidR="00616653" w:rsidRPr="007D0ECB">
          <w:rPr>
            <w:noProof/>
            <w:webHidden/>
          </w:rPr>
          <w:instrText xml:space="preserve"> PAGEREF _Toc429726518 \h </w:instrText>
        </w:r>
        <w:r w:rsidRPr="007D0ECB">
          <w:rPr>
            <w:noProof/>
            <w:webHidden/>
          </w:rPr>
        </w:r>
        <w:r w:rsidRPr="007D0ECB">
          <w:rPr>
            <w:noProof/>
            <w:webHidden/>
          </w:rPr>
          <w:fldChar w:fldCharType="separate"/>
        </w:r>
        <w:r w:rsidR="005C42FD">
          <w:rPr>
            <w:noProof/>
            <w:webHidden/>
          </w:rPr>
          <w:t>47</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19" w:history="1">
        <w:r w:rsidR="00616653" w:rsidRPr="007D0ECB">
          <w:rPr>
            <w:rStyle w:val="Hipercze"/>
            <w:noProof/>
          </w:rPr>
          <w:t xml:space="preserve">Wykres 17 Powierzchnia użytkowa mieszkań </w:t>
        </w:r>
        <w:r w:rsidR="00616653" w:rsidRPr="007D0ECB">
          <w:rPr>
            <w:rFonts w:eastAsiaTheme="minorEastAsia"/>
            <w:noProof/>
            <w:sz w:val="22"/>
            <w:lang w:eastAsia="pl-PL"/>
          </w:rPr>
          <w:tab/>
        </w:r>
        <w:r w:rsidR="00616653" w:rsidRPr="007D0ECB">
          <w:rPr>
            <w:rStyle w:val="Hipercze"/>
            <w:noProof/>
          </w:rPr>
          <w:t xml:space="preserve">        Wykres 18 Liczba mieszkań na terenie gminy</w:t>
        </w:r>
        <w:r w:rsidR="00616653" w:rsidRPr="007D0ECB">
          <w:rPr>
            <w:noProof/>
            <w:webHidden/>
          </w:rPr>
          <w:tab/>
        </w:r>
        <w:r w:rsidRPr="007D0ECB">
          <w:rPr>
            <w:noProof/>
            <w:webHidden/>
          </w:rPr>
          <w:fldChar w:fldCharType="begin"/>
        </w:r>
        <w:r w:rsidR="00616653" w:rsidRPr="007D0ECB">
          <w:rPr>
            <w:noProof/>
            <w:webHidden/>
          </w:rPr>
          <w:instrText xml:space="preserve"> PAGEREF _Toc429726519 \h </w:instrText>
        </w:r>
        <w:r w:rsidRPr="007D0ECB">
          <w:rPr>
            <w:noProof/>
            <w:webHidden/>
          </w:rPr>
        </w:r>
        <w:r w:rsidRPr="007D0ECB">
          <w:rPr>
            <w:noProof/>
            <w:webHidden/>
          </w:rPr>
          <w:fldChar w:fldCharType="separate"/>
        </w:r>
        <w:r w:rsidR="005C42FD">
          <w:rPr>
            <w:noProof/>
            <w:webHidden/>
          </w:rPr>
          <w:t>52</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0" w:history="1">
        <w:r w:rsidR="00616653" w:rsidRPr="007D0ECB">
          <w:rPr>
            <w:rStyle w:val="Hipercze"/>
            <w:noProof/>
          </w:rPr>
          <w:t>Wykres 19 Procentowy udział poszczególnych nośników energii</w:t>
        </w:r>
        <w:r w:rsidR="00616653" w:rsidRPr="007D0ECB">
          <w:rPr>
            <w:noProof/>
            <w:webHidden/>
          </w:rPr>
          <w:tab/>
        </w:r>
        <w:r w:rsidRPr="007D0ECB">
          <w:rPr>
            <w:noProof/>
            <w:webHidden/>
          </w:rPr>
          <w:fldChar w:fldCharType="begin"/>
        </w:r>
        <w:r w:rsidR="00616653" w:rsidRPr="007D0ECB">
          <w:rPr>
            <w:noProof/>
            <w:webHidden/>
          </w:rPr>
          <w:instrText xml:space="preserve"> PAGEREF _Toc429726520 \h </w:instrText>
        </w:r>
        <w:r w:rsidRPr="007D0ECB">
          <w:rPr>
            <w:noProof/>
            <w:webHidden/>
          </w:rPr>
        </w:r>
        <w:r w:rsidRPr="007D0ECB">
          <w:rPr>
            <w:noProof/>
            <w:webHidden/>
          </w:rPr>
          <w:fldChar w:fldCharType="separate"/>
        </w:r>
        <w:r w:rsidR="005C42FD">
          <w:rPr>
            <w:noProof/>
            <w:webHidden/>
          </w:rPr>
          <w:t>79</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1" w:history="1">
        <w:r w:rsidR="00616653" w:rsidRPr="007D0ECB">
          <w:rPr>
            <w:rStyle w:val="Hipercze"/>
            <w:noProof/>
          </w:rPr>
          <w:t>Wykres 20 Procentowy udział zużycia energii na cele ciepłownicze</w:t>
        </w:r>
        <w:r w:rsidR="00616653" w:rsidRPr="007D0ECB">
          <w:rPr>
            <w:noProof/>
            <w:webHidden/>
          </w:rPr>
          <w:tab/>
        </w:r>
        <w:r w:rsidRPr="007D0ECB">
          <w:rPr>
            <w:noProof/>
            <w:webHidden/>
          </w:rPr>
          <w:fldChar w:fldCharType="begin"/>
        </w:r>
        <w:r w:rsidR="00616653" w:rsidRPr="007D0ECB">
          <w:rPr>
            <w:noProof/>
            <w:webHidden/>
          </w:rPr>
          <w:instrText xml:space="preserve"> PAGEREF _Toc429726521 \h </w:instrText>
        </w:r>
        <w:r w:rsidRPr="007D0ECB">
          <w:rPr>
            <w:noProof/>
            <w:webHidden/>
          </w:rPr>
        </w:r>
        <w:r w:rsidRPr="007D0ECB">
          <w:rPr>
            <w:noProof/>
            <w:webHidden/>
          </w:rPr>
          <w:fldChar w:fldCharType="separate"/>
        </w:r>
        <w:r w:rsidR="005C42FD">
          <w:rPr>
            <w:noProof/>
            <w:webHidden/>
          </w:rPr>
          <w:t>80</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2" w:history="1">
        <w:r w:rsidR="00616653" w:rsidRPr="007D0ECB">
          <w:rPr>
            <w:rStyle w:val="Hipercze"/>
            <w:noProof/>
          </w:rPr>
          <w:t>Wykres 21 Procentowy udział wielkości emisji CO2 z nośników energii wykorzystywany w sektorze budownictwa jednorodzinnego/mieszkalnictwa</w:t>
        </w:r>
        <w:r w:rsidR="00616653" w:rsidRPr="007D0ECB">
          <w:rPr>
            <w:noProof/>
            <w:webHidden/>
          </w:rPr>
          <w:tab/>
        </w:r>
        <w:r w:rsidRPr="007D0ECB">
          <w:rPr>
            <w:noProof/>
            <w:webHidden/>
          </w:rPr>
          <w:fldChar w:fldCharType="begin"/>
        </w:r>
        <w:r w:rsidR="00616653" w:rsidRPr="007D0ECB">
          <w:rPr>
            <w:noProof/>
            <w:webHidden/>
          </w:rPr>
          <w:instrText xml:space="preserve"> PAGEREF _Toc429726522 \h </w:instrText>
        </w:r>
        <w:r w:rsidRPr="007D0ECB">
          <w:rPr>
            <w:noProof/>
            <w:webHidden/>
          </w:rPr>
        </w:r>
        <w:r w:rsidRPr="007D0ECB">
          <w:rPr>
            <w:noProof/>
            <w:webHidden/>
          </w:rPr>
          <w:fldChar w:fldCharType="separate"/>
        </w:r>
        <w:r w:rsidR="005C42FD">
          <w:rPr>
            <w:noProof/>
            <w:webHidden/>
          </w:rPr>
          <w:t>81</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3" w:history="1">
        <w:r w:rsidR="00616653" w:rsidRPr="007D0ECB">
          <w:rPr>
            <w:rStyle w:val="Hipercze"/>
            <w:noProof/>
          </w:rPr>
          <w:t>Wykres 22 procentowy udział poszczególnych nośników energii w 2009 r.</w:t>
        </w:r>
        <w:r w:rsidR="00616653" w:rsidRPr="007D0ECB">
          <w:rPr>
            <w:noProof/>
            <w:webHidden/>
          </w:rPr>
          <w:tab/>
        </w:r>
        <w:r w:rsidRPr="007D0ECB">
          <w:rPr>
            <w:noProof/>
            <w:webHidden/>
          </w:rPr>
          <w:fldChar w:fldCharType="begin"/>
        </w:r>
        <w:r w:rsidR="00616653" w:rsidRPr="007D0ECB">
          <w:rPr>
            <w:noProof/>
            <w:webHidden/>
          </w:rPr>
          <w:instrText xml:space="preserve"> PAGEREF _Toc429726523 \h </w:instrText>
        </w:r>
        <w:r w:rsidRPr="007D0ECB">
          <w:rPr>
            <w:noProof/>
            <w:webHidden/>
          </w:rPr>
        </w:r>
        <w:r w:rsidRPr="007D0ECB">
          <w:rPr>
            <w:noProof/>
            <w:webHidden/>
          </w:rPr>
          <w:fldChar w:fldCharType="separate"/>
        </w:r>
        <w:r w:rsidR="005C42FD">
          <w:rPr>
            <w:noProof/>
            <w:webHidden/>
          </w:rPr>
          <w:t>83</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4" w:history="1">
        <w:r w:rsidR="00616653" w:rsidRPr="007D0ECB">
          <w:rPr>
            <w:rStyle w:val="Hipercze"/>
            <w:noProof/>
          </w:rPr>
          <w:t>Wykres 23 Procentowy udział poszczególnych nośników energii w 2014 r.</w:t>
        </w:r>
        <w:r w:rsidR="00616653" w:rsidRPr="007D0ECB">
          <w:rPr>
            <w:noProof/>
            <w:webHidden/>
          </w:rPr>
          <w:tab/>
        </w:r>
        <w:r w:rsidRPr="007D0ECB">
          <w:rPr>
            <w:noProof/>
            <w:webHidden/>
          </w:rPr>
          <w:fldChar w:fldCharType="begin"/>
        </w:r>
        <w:r w:rsidR="00616653" w:rsidRPr="007D0ECB">
          <w:rPr>
            <w:noProof/>
            <w:webHidden/>
          </w:rPr>
          <w:instrText xml:space="preserve"> PAGEREF _Toc429726524 \h </w:instrText>
        </w:r>
        <w:r w:rsidRPr="007D0ECB">
          <w:rPr>
            <w:noProof/>
            <w:webHidden/>
          </w:rPr>
        </w:r>
        <w:r w:rsidRPr="007D0ECB">
          <w:rPr>
            <w:noProof/>
            <w:webHidden/>
          </w:rPr>
          <w:fldChar w:fldCharType="separate"/>
        </w:r>
        <w:r w:rsidR="005C42FD">
          <w:rPr>
            <w:noProof/>
            <w:webHidden/>
          </w:rPr>
          <w:t>84</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5" w:history="1">
        <w:r w:rsidR="00616653" w:rsidRPr="007D0ECB">
          <w:rPr>
            <w:rStyle w:val="Hipercze"/>
            <w:noProof/>
          </w:rPr>
          <w:t>Wykres 24 Procentowy udział wielkości źródła w emisji CO</w:t>
        </w:r>
        <w:r w:rsidR="00616653" w:rsidRPr="007D0ECB">
          <w:rPr>
            <w:rStyle w:val="Hipercze"/>
            <w:noProof/>
            <w:vertAlign w:val="subscript"/>
          </w:rPr>
          <w:t>2</w:t>
        </w:r>
        <w:r w:rsidR="00616653" w:rsidRPr="007D0ECB">
          <w:rPr>
            <w:rStyle w:val="Hipercze"/>
            <w:noProof/>
          </w:rPr>
          <w:t xml:space="preserve"> w 2009 roku</w:t>
        </w:r>
        <w:r w:rsidR="00616653" w:rsidRPr="007D0ECB">
          <w:rPr>
            <w:noProof/>
            <w:webHidden/>
          </w:rPr>
          <w:tab/>
        </w:r>
        <w:r w:rsidRPr="007D0ECB">
          <w:rPr>
            <w:noProof/>
            <w:webHidden/>
          </w:rPr>
          <w:fldChar w:fldCharType="begin"/>
        </w:r>
        <w:r w:rsidR="00616653" w:rsidRPr="007D0ECB">
          <w:rPr>
            <w:noProof/>
            <w:webHidden/>
          </w:rPr>
          <w:instrText xml:space="preserve"> PAGEREF _Toc429726525 \h </w:instrText>
        </w:r>
        <w:r w:rsidRPr="007D0ECB">
          <w:rPr>
            <w:noProof/>
            <w:webHidden/>
          </w:rPr>
        </w:r>
        <w:r w:rsidRPr="007D0ECB">
          <w:rPr>
            <w:noProof/>
            <w:webHidden/>
          </w:rPr>
          <w:fldChar w:fldCharType="separate"/>
        </w:r>
        <w:r w:rsidR="005C42FD">
          <w:rPr>
            <w:noProof/>
            <w:webHidden/>
          </w:rPr>
          <w:t>85</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6" w:history="1">
        <w:r w:rsidR="00616653" w:rsidRPr="007D0ECB">
          <w:rPr>
            <w:rStyle w:val="Hipercze"/>
            <w:noProof/>
          </w:rPr>
          <w:t>Wykres 25 Emisja MgCO2/rok</w:t>
        </w:r>
        <w:r w:rsidR="00616653" w:rsidRPr="007D0ECB">
          <w:rPr>
            <w:noProof/>
            <w:webHidden/>
          </w:rPr>
          <w:tab/>
        </w:r>
        <w:r w:rsidRPr="007D0ECB">
          <w:rPr>
            <w:noProof/>
            <w:webHidden/>
          </w:rPr>
          <w:fldChar w:fldCharType="begin"/>
        </w:r>
        <w:r w:rsidR="00616653" w:rsidRPr="007D0ECB">
          <w:rPr>
            <w:noProof/>
            <w:webHidden/>
          </w:rPr>
          <w:instrText xml:space="preserve"> PAGEREF _Toc429726526 \h </w:instrText>
        </w:r>
        <w:r w:rsidRPr="007D0ECB">
          <w:rPr>
            <w:noProof/>
            <w:webHidden/>
          </w:rPr>
        </w:r>
        <w:r w:rsidRPr="007D0ECB">
          <w:rPr>
            <w:noProof/>
            <w:webHidden/>
          </w:rPr>
          <w:fldChar w:fldCharType="separate"/>
        </w:r>
        <w:r w:rsidR="005C42FD">
          <w:rPr>
            <w:noProof/>
            <w:webHidden/>
          </w:rPr>
          <w:t>86</w:t>
        </w:r>
        <w:r w:rsidRPr="007D0ECB">
          <w:rPr>
            <w:noProof/>
            <w:webHidden/>
          </w:rPr>
          <w:fldChar w:fldCharType="end"/>
        </w:r>
      </w:hyperlink>
    </w:p>
    <w:p w:rsidR="00616653" w:rsidRPr="007D0ECB" w:rsidRDefault="00844CE4" w:rsidP="005C5BB4">
      <w:pPr>
        <w:pStyle w:val="Spisilustracji"/>
        <w:tabs>
          <w:tab w:val="right" w:leader="dot" w:pos="9062"/>
        </w:tabs>
        <w:rPr>
          <w:rFonts w:eastAsiaTheme="minorEastAsia"/>
          <w:noProof/>
          <w:sz w:val="22"/>
          <w:lang w:eastAsia="pl-PL"/>
        </w:rPr>
      </w:pPr>
      <w:hyperlink w:anchor="_Toc429726527" w:history="1">
        <w:r w:rsidR="00616653" w:rsidRPr="007D0ECB">
          <w:rPr>
            <w:rStyle w:val="Hipercze"/>
            <w:noProof/>
          </w:rPr>
          <w:t>Wykres 26 Procentowy udział poszczególnych nośników energii</w:t>
        </w:r>
        <w:r w:rsidR="00616653" w:rsidRPr="007D0ECB">
          <w:rPr>
            <w:noProof/>
            <w:webHidden/>
          </w:rPr>
          <w:tab/>
        </w:r>
        <w:r w:rsidRPr="007D0ECB">
          <w:rPr>
            <w:noProof/>
            <w:webHidden/>
          </w:rPr>
          <w:fldChar w:fldCharType="begin"/>
        </w:r>
        <w:r w:rsidR="00616653" w:rsidRPr="007D0ECB">
          <w:rPr>
            <w:noProof/>
            <w:webHidden/>
          </w:rPr>
          <w:instrText xml:space="preserve"> PAGEREF _Toc429726527 \h </w:instrText>
        </w:r>
        <w:r w:rsidRPr="007D0ECB">
          <w:rPr>
            <w:noProof/>
            <w:webHidden/>
          </w:rPr>
        </w:r>
        <w:r w:rsidRPr="007D0ECB">
          <w:rPr>
            <w:noProof/>
            <w:webHidden/>
          </w:rPr>
          <w:fldChar w:fldCharType="separate"/>
        </w:r>
        <w:r w:rsidR="005C42FD">
          <w:rPr>
            <w:noProof/>
            <w:webHidden/>
          </w:rPr>
          <w:t>88</w:t>
        </w:r>
        <w:r w:rsidRPr="007D0ECB">
          <w:rPr>
            <w:noProof/>
            <w:webHidden/>
          </w:rPr>
          <w:fldChar w:fldCharType="end"/>
        </w:r>
      </w:hyperlink>
    </w:p>
    <w:p w:rsidR="00616653" w:rsidRDefault="00844CE4" w:rsidP="005C5BB4">
      <w:pPr>
        <w:pStyle w:val="Spisilustracji"/>
        <w:tabs>
          <w:tab w:val="right" w:leader="dot" w:pos="9062"/>
        </w:tabs>
      </w:pPr>
      <w:hyperlink w:anchor="_Toc429726528" w:history="1">
        <w:r w:rsidR="00616653" w:rsidRPr="007D0ECB">
          <w:rPr>
            <w:rStyle w:val="Hipercze"/>
            <w:noProof/>
          </w:rPr>
          <w:t>Wykres 27 Procentowy udział wielkości emisji CO2 w sektorze transportu</w:t>
        </w:r>
        <w:r w:rsidR="00616653" w:rsidRPr="007D0ECB">
          <w:rPr>
            <w:noProof/>
            <w:webHidden/>
          </w:rPr>
          <w:tab/>
        </w:r>
        <w:r w:rsidRPr="007D0ECB">
          <w:rPr>
            <w:noProof/>
            <w:webHidden/>
          </w:rPr>
          <w:fldChar w:fldCharType="begin"/>
        </w:r>
        <w:r w:rsidR="00616653" w:rsidRPr="007D0ECB">
          <w:rPr>
            <w:noProof/>
            <w:webHidden/>
          </w:rPr>
          <w:instrText xml:space="preserve"> PAGEREF _Toc429726528 \h </w:instrText>
        </w:r>
        <w:r w:rsidRPr="007D0ECB">
          <w:rPr>
            <w:noProof/>
            <w:webHidden/>
          </w:rPr>
        </w:r>
        <w:r w:rsidRPr="007D0ECB">
          <w:rPr>
            <w:noProof/>
            <w:webHidden/>
          </w:rPr>
          <w:fldChar w:fldCharType="separate"/>
        </w:r>
        <w:r w:rsidR="005C42FD">
          <w:rPr>
            <w:noProof/>
            <w:webHidden/>
          </w:rPr>
          <w:t>89</w:t>
        </w:r>
        <w:r w:rsidRPr="007D0ECB">
          <w:rPr>
            <w:noProof/>
            <w:webHidden/>
          </w:rPr>
          <w:fldChar w:fldCharType="end"/>
        </w:r>
      </w:hyperlink>
    </w:p>
    <w:p w:rsidR="005C5BB4" w:rsidRDefault="005C5BB4" w:rsidP="005C5BB4">
      <w:pPr>
        <w:spacing w:after="0"/>
      </w:pPr>
      <w:r>
        <w:t xml:space="preserve">Wykres 28 </w:t>
      </w:r>
      <w:r w:rsidRPr="00DE1C6B">
        <w:t>Procentowy udział zużycia energii w poszczególnych sektorach</w:t>
      </w:r>
      <w:r>
        <w:t xml:space="preserve"> …………………………..91</w:t>
      </w:r>
    </w:p>
    <w:p w:rsidR="005C5BB4" w:rsidRPr="005C5BB4" w:rsidRDefault="005C5BB4" w:rsidP="005C5BB4">
      <w:pPr>
        <w:spacing w:after="0"/>
      </w:pPr>
      <w:r>
        <w:t xml:space="preserve">Wykres 29 </w:t>
      </w:r>
      <w:r w:rsidRPr="00DE1C6B">
        <w:t>Procentowy udział wielkości emisji CO2 w poszczególnych sektorach</w:t>
      </w:r>
      <w:r>
        <w:t xml:space="preserve"> ……………………92</w:t>
      </w:r>
    </w:p>
    <w:p w:rsidR="00616653" w:rsidRDefault="00844CE4" w:rsidP="005C5BB4">
      <w:pPr>
        <w:spacing w:after="0"/>
      </w:pPr>
      <w:r w:rsidRPr="007D0ECB">
        <w:fldChar w:fldCharType="end"/>
      </w:r>
    </w:p>
    <w:p w:rsidR="00616653" w:rsidRDefault="00844CE4">
      <w:pPr>
        <w:pStyle w:val="Spisilustracji"/>
        <w:tabs>
          <w:tab w:val="right" w:leader="dot" w:pos="9062"/>
        </w:tabs>
        <w:rPr>
          <w:rFonts w:eastAsiaTheme="minorEastAsia"/>
          <w:noProof/>
          <w:sz w:val="22"/>
          <w:lang w:eastAsia="pl-PL"/>
        </w:rPr>
      </w:pPr>
      <w:r>
        <w:fldChar w:fldCharType="begin"/>
      </w:r>
      <w:r w:rsidR="00616653">
        <w:instrText xml:space="preserve"> TOC \h \z \c "Rysunek" </w:instrText>
      </w:r>
      <w:r>
        <w:fldChar w:fldCharType="separate"/>
      </w:r>
      <w:hyperlink w:anchor="_Toc429726544" w:history="1">
        <w:r w:rsidR="00616653" w:rsidRPr="00F65A10">
          <w:rPr>
            <w:rStyle w:val="Hipercze"/>
            <w:noProof/>
          </w:rPr>
          <w:t>Rysunek 1 Liczba bezrobotnych i stopa bezrobocia według województw stan na koniec marca 2015 r.</w:t>
        </w:r>
        <w:r w:rsidR="00616653">
          <w:rPr>
            <w:noProof/>
            <w:webHidden/>
          </w:rPr>
          <w:tab/>
        </w:r>
        <w:r>
          <w:rPr>
            <w:noProof/>
            <w:webHidden/>
          </w:rPr>
          <w:fldChar w:fldCharType="begin"/>
        </w:r>
        <w:r w:rsidR="00616653">
          <w:rPr>
            <w:noProof/>
            <w:webHidden/>
          </w:rPr>
          <w:instrText xml:space="preserve"> PAGEREF _Toc429726544 \h </w:instrText>
        </w:r>
        <w:r>
          <w:rPr>
            <w:noProof/>
            <w:webHidden/>
          </w:rPr>
        </w:r>
        <w:r>
          <w:rPr>
            <w:noProof/>
            <w:webHidden/>
          </w:rPr>
          <w:fldChar w:fldCharType="separate"/>
        </w:r>
        <w:r w:rsidR="005C42FD">
          <w:rPr>
            <w:noProof/>
            <w:webHidden/>
          </w:rPr>
          <w:t>37</w:t>
        </w:r>
        <w:r>
          <w:rPr>
            <w:noProof/>
            <w:webHidden/>
          </w:rPr>
          <w:fldChar w:fldCharType="end"/>
        </w:r>
      </w:hyperlink>
      <w:bookmarkStart w:id="124" w:name="_GoBack"/>
      <w:bookmarkEnd w:id="124"/>
    </w:p>
    <w:p w:rsidR="00616653" w:rsidRPr="0053457C" w:rsidRDefault="00844CE4" w:rsidP="0053457C">
      <w:r>
        <w:fldChar w:fldCharType="end"/>
      </w:r>
    </w:p>
    <w:sectPr w:rsidR="00616653" w:rsidRPr="0053457C" w:rsidSect="005039B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AB" w:rsidRDefault="006D69AB" w:rsidP="001E65F7">
      <w:pPr>
        <w:spacing w:after="0" w:line="240" w:lineRule="auto"/>
      </w:pPr>
      <w:r>
        <w:separator/>
      </w:r>
    </w:p>
  </w:endnote>
  <w:endnote w:type="continuationSeparator" w:id="0">
    <w:p w:rsidR="006D69AB" w:rsidRDefault="006D69AB" w:rsidP="001E6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6D69AB">
      <w:tc>
        <w:tcPr>
          <w:tcW w:w="4500" w:type="pct"/>
          <w:tcBorders>
            <w:top w:val="single" w:sz="4" w:space="0" w:color="000000" w:themeColor="text1"/>
          </w:tcBorders>
        </w:tcPr>
        <w:p w:rsidR="006D69AB" w:rsidRDefault="006D69AB">
          <w:pPr>
            <w:pStyle w:val="Stopka"/>
            <w:jc w:val="right"/>
          </w:pPr>
        </w:p>
      </w:tc>
      <w:tc>
        <w:tcPr>
          <w:tcW w:w="500" w:type="pct"/>
          <w:tcBorders>
            <w:top w:val="single" w:sz="4" w:space="0" w:color="C0504D" w:themeColor="accent2"/>
          </w:tcBorders>
          <w:shd w:val="clear" w:color="auto" w:fill="943634" w:themeFill="accent2" w:themeFillShade="BF"/>
        </w:tcPr>
        <w:p w:rsidR="006D69AB" w:rsidRDefault="006D69AB">
          <w:pPr>
            <w:pStyle w:val="Nagwek"/>
            <w:rPr>
              <w:color w:val="FFFFFF" w:themeColor="background1"/>
            </w:rPr>
          </w:pPr>
          <w:r w:rsidRPr="00844CE4">
            <w:fldChar w:fldCharType="begin"/>
          </w:r>
          <w:r>
            <w:instrText xml:space="preserve"> PAGE   \* MERGEFORMAT </w:instrText>
          </w:r>
          <w:r w:rsidRPr="00844CE4">
            <w:fldChar w:fldCharType="separate"/>
          </w:r>
          <w:r w:rsidR="00E10CEA" w:rsidRPr="00E10CEA">
            <w:rPr>
              <w:noProof/>
              <w:color w:val="FFFFFF" w:themeColor="background1"/>
            </w:rPr>
            <w:t>94</w:t>
          </w:r>
          <w:r>
            <w:rPr>
              <w:noProof/>
              <w:color w:val="FFFFFF" w:themeColor="background1"/>
            </w:rPr>
            <w:fldChar w:fldCharType="end"/>
          </w:r>
        </w:p>
      </w:tc>
    </w:tr>
  </w:tbl>
  <w:p w:rsidR="006D69AB" w:rsidRDefault="006D69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1" w:type="pct"/>
      <w:tblCellMar>
        <w:top w:w="72" w:type="dxa"/>
        <w:left w:w="115" w:type="dxa"/>
        <w:bottom w:w="72" w:type="dxa"/>
        <w:right w:w="115" w:type="dxa"/>
      </w:tblCellMar>
      <w:tblLook w:val="04A0"/>
    </w:tblPr>
    <w:tblGrid>
      <w:gridCol w:w="5471"/>
    </w:tblGrid>
    <w:tr w:rsidR="006D69AB" w:rsidTr="005F0E81">
      <w:tc>
        <w:tcPr>
          <w:tcW w:w="5000" w:type="pct"/>
          <w:tcBorders>
            <w:top w:val="single" w:sz="4" w:space="0" w:color="000000" w:themeColor="text1"/>
          </w:tcBorders>
        </w:tcPr>
        <w:p w:rsidR="006D69AB" w:rsidRDefault="006D69AB" w:rsidP="003875A0">
          <w:pPr>
            <w:pStyle w:val="Stopka"/>
            <w:jc w:val="right"/>
          </w:pPr>
        </w:p>
      </w:tc>
    </w:tr>
  </w:tbl>
  <w:p w:rsidR="006D69AB" w:rsidRDefault="006D69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AB" w:rsidRDefault="006D69AB" w:rsidP="001E65F7">
      <w:pPr>
        <w:spacing w:after="0" w:line="240" w:lineRule="auto"/>
      </w:pPr>
      <w:r>
        <w:separator/>
      </w:r>
    </w:p>
  </w:footnote>
  <w:footnote w:type="continuationSeparator" w:id="0">
    <w:p w:rsidR="006D69AB" w:rsidRDefault="006D69AB" w:rsidP="001E65F7">
      <w:pPr>
        <w:spacing w:after="0" w:line="240" w:lineRule="auto"/>
      </w:pPr>
      <w:r>
        <w:continuationSeparator/>
      </w:r>
    </w:p>
  </w:footnote>
  <w:footnote w:id="1">
    <w:p w:rsidR="006D69AB" w:rsidRDefault="006D69AB" w:rsidP="0064369D">
      <w:pPr>
        <w:pStyle w:val="Tekstprzypisudolnego"/>
      </w:pPr>
      <w:r>
        <w:rPr>
          <w:rStyle w:val="Odwoanieprzypisudolnego"/>
        </w:rPr>
        <w:footnoteRef/>
      </w:r>
      <w:r w:rsidRPr="00051965">
        <w:t xml:space="preserve">Józef Andrzej </w:t>
      </w:r>
      <w:proofErr w:type="spellStart"/>
      <w:r w:rsidRPr="00051965">
        <w:t>Bossowski</w:t>
      </w:r>
      <w:proofErr w:type="spellEnd"/>
      <w:r w:rsidRPr="00051965">
        <w:t xml:space="preserve">, Zdzisław Urbański, </w:t>
      </w:r>
      <w:r w:rsidRPr="00051965">
        <w:rPr>
          <w:i/>
          <w:iCs/>
        </w:rPr>
        <w:t>Historia kolei Herby-Częstochowa</w:t>
      </w:r>
      <w:r>
        <w:t>, Częstochowa 2002.</w:t>
      </w:r>
    </w:p>
  </w:footnote>
  <w:footnote w:id="2">
    <w:p w:rsidR="006D69AB" w:rsidRDefault="006D69AB" w:rsidP="0064369D">
      <w:pPr>
        <w:pStyle w:val="Tekstprzypisudolnego"/>
      </w:pPr>
      <w:r>
        <w:rPr>
          <w:rStyle w:val="Odwoanieprzypisudolnego"/>
        </w:rPr>
        <w:footnoteRef/>
      </w:r>
      <w:r>
        <w:t xml:space="preserve"> Informacje dotyczące historii gminy Herby zaczerpnięte ze strony Spichlerz Górnego Śląska </w:t>
      </w:r>
      <w:r w:rsidRPr="002E37CF">
        <w:t>spichlerz.org.pl</w:t>
      </w:r>
      <w:r>
        <w:t xml:space="preserve">. </w:t>
      </w:r>
    </w:p>
  </w:footnote>
  <w:footnote w:id="3">
    <w:p w:rsidR="006D69AB" w:rsidRDefault="006D69AB" w:rsidP="0064369D">
      <w:pPr>
        <w:pStyle w:val="Tekstprzypisudolnego"/>
      </w:pPr>
      <w:r>
        <w:rPr>
          <w:rStyle w:val="Odwoanieprzypisudolnego"/>
        </w:rPr>
        <w:footnoteRef/>
      </w:r>
      <w:r w:rsidRPr="00DF3347">
        <w:t>http://przyroda.katowice.pl/pl/przyroda-nieozywiona/klimat/127-klimat</w:t>
      </w:r>
    </w:p>
  </w:footnote>
  <w:footnote w:id="4">
    <w:p w:rsidR="006D69AB" w:rsidRDefault="006D69AB" w:rsidP="00632B49">
      <w:pPr>
        <w:pStyle w:val="Tekstprzypisudolnego"/>
      </w:pPr>
      <w:r>
        <w:rPr>
          <w:rStyle w:val="Odwoanieprzypisudolnego"/>
        </w:rPr>
        <w:footnoteRef/>
      </w:r>
      <w:r>
        <w:t xml:space="preserve"> Gminny Program Ochrony Środowiska gminy Herby na lata 2008-2013, z perspektywą do 2020 r., s. 10-11.</w:t>
      </w:r>
    </w:p>
  </w:footnote>
  <w:footnote w:id="5">
    <w:p w:rsidR="006D69AB" w:rsidRDefault="006D69AB" w:rsidP="00632B49">
      <w:pPr>
        <w:pStyle w:val="Tekstprzypisudolnego"/>
      </w:pPr>
      <w:r>
        <w:rPr>
          <w:rStyle w:val="Odwoanieprzypisudolnego"/>
        </w:rPr>
        <w:footnoteRef/>
      </w:r>
      <w:r w:rsidRPr="000F62C7">
        <w:t>http://przyroda.katowice.pl/pl/przyroda-nieozywiona/rzezba-terenu/138-rzezba-nizinna</w:t>
      </w:r>
    </w:p>
  </w:footnote>
  <w:footnote w:id="6">
    <w:p w:rsidR="006D69AB" w:rsidRDefault="006D69AB" w:rsidP="00632B49">
      <w:pPr>
        <w:pStyle w:val="Tekstprzypisudolnego"/>
      </w:pPr>
      <w:r>
        <w:rPr>
          <w:rStyle w:val="Odwoanieprzypisudolnego"/>
        </w:rPr>
        <w:footnoteRef/>
      </w:r>
      <w:r>
        <w:t xml:space="preserve"> Gminny Program Ochrony Środowiska…, s. 11.</w:t>
      </w:r>
    </w:p>
  </w:footnote>
  <w:footnote w:id="7">
    <w:p w:rsidR="006D69AB" w:rsidRDefault="006D69AB" w:rsidP="00103DD3">
      <w:pPr>
        <w:pStyle w:val="Tekstprzypisudolnego"/>
      </w:pPr>
      <w:r>
        <w:rPr>
          <w:rStyle w:val="Odwoanieprzypisudolnego"/>
        </w:rPr>
        <w:footnoteRef/>
      </w:r>
      <w:r>
        <w:t xml:space="preserve"> Gleby. Stan gleb w województwie śląskim w oparciu o wyniki badań przeprowadzonych przez Okręgową Stację Chemiczno-Rolniczą w Gliwicach, Z. Adrianek, K. Skowronek, s. 125, </w:t>
      </w:r>
      <w:r w:rsidRPr="00271DB6">
        <w:t>www.katowice.pios.gov.pl/monitoring/raporty/2005/gleby.pdf</w:t>
      </w:r>
    </w:p>
  </w:footnote>
  <w:footnote w:id="8">
    <w:p w:rsidR="006D69AB" w:rsidRDefault="006D69AB" w:rsidP="00AA5699">
      <w:pPr>
        <w:pStyle w:val="Tekstprzypisudolnego"/>
      </w:pPr>
      <w:r>
        <w:rPr>
          <w:rStyle w:val="Odwoanieprzypisudolnego"/>
        </w:rPr>
        <w:footnoteRef/>
      </w:r>
      <w:r>
        <w:t xml:space="preserve"> Stan Środowiska w województwie śląskim w 2013 roku, Wojewódzki Inspektorat Ochrony Środowiska w Katowicach, praca zbiorowa: A. Wrześniak, J. </w:t>
      </w:r>
      <w:proofErr w:type="spellStart"/>
      <w:r>
        <w:t>Kopyczok</w:t>
      </w:r>
      <w:proofErr w:type="spellEnd"/>
      <w:r>
        <w:t>, s. 73.</w:t>
      </w:r>
    </w:p>
  </w:footnote>
  <w:footnote w:id="9">
    <w:p w:rsidR="006D69AB" w:rsidRDefault="006D69AB" w:rsidP="00AA5699">
      <w:pPr>
        <w:pStyle w:val="Tekstprzypisudolnego"/>
      </w:pPr>
      <w:r>
        <w:rPr>
          <w:rStyle w:val="Odwoanieprzypisudolnego"/>
        </w:rPr>
        <w:footnoteRef/>
      </w:r>
      <w:r>
        <w:t xml:space="preserve"> Informacje dotyczące regionu pochodzą ze strony: Śląski System Informacji Turystycznej </w:t>
      </w:r>
      <w:proofErr w:type="spellStart"/>
      <w:r>
        <w:t>www.slaskie.travel</w:t>
      </w:r>
      <w:proofErr w:type="spellEnd"/>
      <w:r>
        <w:t>.</w:t>
      </w:r>
    </w:p>
  </w:footnote>
  <w:footnote w:id="10">
    <w:p w:rsidR="006D69AB" w:rsidRDefault="006D69AB" w:rsidP="00D43557">
      <w:pPr>
        <w:pStyle w:val="Tekstprzypisudolnego"/>
      </w:pPr>
      <w:r>
        <w:rPr>
          <w:rStyle w:val="Odwoanieprzypisudolnego"/>
        </w:rPr>
        <w:footnoteRef/>
      </w:r>
      <w:r>
        <w:t xml:space="preserve"> Bezrobocie rejestrowane w Polsce. Raport miesięczny – marzec 2015, Ministerstwo Pracy i Polityki Społecznej, s. 1-4. </w:t>
      </w:r>
    </w:p>
  </w:footnote>
  <w:footnote w:id="11">
    <w:p w:rsidR="006D69AB" w:rsidRDefault="006D69AB" w:rsidP="00D43557">
      <w:pPr>
        <w:pStyle w:val="Tekstprzypisudolnego"/>
      </w:pPr>
      <w:r>
        <w:rPr>
          <w:rStyle w:val="Odwoanieprzypisudolnego"/>
        </w:rPr>
        <w:footnoteRef/>
      </w:r>
      <w:r>
        <w:t xml:space="preserve"> </w:t>
      </w:r>
      <w:proofErr w:type="spellStart"/>
      <w:r>
        <w:t>Ibidem</w:t>
      </w:r>
      <w:proofErr w:type="spellEnd"/>
      <w:r>
        <w:t>, s. 2.</w:t>
      </w:r>
    </w:p>
  </w:footnote>
  <w:footnote w:id="12">
    <w:p w:rsidR="006D69AB" w:rsidRDefault="006D69AB" w:rsidP="00D43557">
      <w:pPr>
        <w:pStyle w:val="Tekstprzypisudolnego"/>
      </w:pPr>
      <w:r>
        <w:rPr>
          <w:rStyle w:val="Odwoanieprzypisudolnego"/>
        </w:rPr>
        <w:footnoteRef/>
      </w:r>
      <w:r w:rsidRPr="0019227C">
        <w:t>www.puplubliniec.samorzady.pl/art/2260/informacja_o_lokalnym_rynku_pracy</w:t>
      </w:r>
    </w:p>
  </w:footnote>
  <w:footnote w:id="13">
    <w:p w:rsidR="006D69AB" w:rsidRDefault="006D69AB" w:rsidP="00FA5462">
      <w:pPr>
        <w:pStyle w:val="Tekstprzypisudolnego"/>
      </w:pPr>
      <w:r>
        <w:rPr>
          <w:rStyle w:val="Odwoanieprzypisudolnego"/>
        </w:rPr>
        <w:footnoteRef/>
      </w:r>
      <w:r>
        <w:t xml:space="preserve"> Gminny Program Ochrony Środowiska, s. 51-52.</w:t>
      </w:r>
    </w:p>
  </w:footnote>
  <w:footnote w:id="14">
    <w:p w:rsidR="006D69AB" w:rsidRDefault="006D69AB" w:rsidP="00DF7229">
      <w:pPr>
        <w:pStyle w:val="Tekstprzypisudolnego"/>
      </w:pPr>
      <w:r>
        <w:rPr>
          <w:rStyle w:val="Odwoanieprzypisudolnego"/>
        </w:rPr>
        <w:footnoteRef/>
      </w:r>
      <w:r>
        <w:t xml:space="preserve"> Gminny program ochrony środowiska gminy Herby, dane z UG.</w:t>
      </w:r>
    </w:p>
  </w:footnote>
  <w:footnote w:id="15">
    <w:p w:rsidR="006D69AB" w:rsidRDefault="006D69AB" w:rsidP="006075F3">
      <w:pPr>
        <w:pStyle w:val="Tekstprzypisudolnego"/>
      </w:pPr>
      <w:r>
        <w:rPr>
          <w:rStyle w:val="Odwoanieprzypisudolnego"/>
        </w:rPr>
        <w:footnoteRef/>
      </w:r>
      <w:r>
        <w:t xml:space="preserve"> Sprawozdanie Wójta z realizacji zadań z zakresu gospodarowania odpadami komunalnymi, 2014, Urząd Gminy Herby. </w:t>
      </w:r>
    </w:p>
  </w:footnote>
  <w:footnote w:id="16">
    <w:p w:rsidR="006D69AB" w:rsidRDefault="006D69AB" w:rsidP="00F726BC">
      <w:pPr>
        <w:pStyle w:val="Tekstprzypisudolnego"/>
      </w:pPr>
      <w:r>
        <w:rPr>
          <w:rStyle w:val="Odwoanieprzypisudolnego"/>
        </w:rPr>
        <w:footnoteRef/>
      </w:r>
      <w:r>
        <w:t xml:space="preserve"> Standardowe wskaźniki emisji IPCC 2006.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1"/>
    <w:lvl w:ilvl="0">
      <w:start w:val="1"/>
      <w:numFmt w:val="bullet"/>
      <w:lvlText w:val=""/>
      <w:lvlJc w:val="left"/>
      <w:pPr>
        <w:tabs>
          <w:tab w:val="num" w:pos="720"/>
        </w:tabs>
        <w:ind w:left="720" w:hanging="360"/>
      </w:pPr>
      <w:rPr>
        <w:rFonts w:ascii="Wingdings" w:hAnsi="Wingdings"/>
      </w:rPr>
    </w:lvl>
  </w:abstractNum>
  <w:abstractNum w:abstractNumId="1">
    <w:nsid w:val="009A3607"/>
    <w:multiLevelType w:val="hybridMultilevel"/>
    <w:tmpl w:val="CDEC5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F18D8"/>
    <w:multiLevelType w:val="hybridMultilevel"/>
    <w:tmpl w:val="913AF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244C1C"/>
    <w:multiLevelType w:val="hybridMultilevel"/>
    <w:tmpl w:val="1736C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001BD6"/>
    <w:multiLevelType w:val="multilevel"/>
    <w:tmpl w:val="2820D3C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862C1E"/>
    <w:multiLevelType w:val="hybridMultilevel"/>
    <w:tmpl w:val="7694792C"/>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FD092E"/>
    <w:multiLevelType w:val="hybridMultilevel"/>
    <w:tmpl w:val="C94ACC66"/>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EF5FAB"/>
    <w:multiLevelType w:val="hybridMultilevel"/>
    <w:tmpl w:val="CD2A6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D95716"/>
    <w:multiLevelType w:val="hybridMultilevel"/>
    <w:tmpl w:val="64C8E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242655"/>
    <w:multiLevelType w:val="hybridMultilevel"/>
    <w:tmpl w:val="873A2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3768C1"/>
    <w:multiLevelType w:val="hybridMultilevel"/>
    <w:tmpl w:val="1186AB08"/>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0053E"/>
    <w:multiLevelType w:val="hybridMultilevel"/>
    <w:tmpl w:val="AFE46480"/>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E86D2D"/>
    <w:multiLevelType w:val="hybridMultilevel"/>
    <w:tmpl w:val="327A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8318D6"/>
    <w:multiLevelType w:val="hybridMultilevel"/>
    <w:tmpl w:val="11EE2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6134EB"/>
    <w:multiLevelType w:val="hybridMultilevel"/>
    <w:tmpl w:val="AC606480"/>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FD224F"/>
    <w:multiLevelType w:val="hybridMultilevel"/>
    <w:tmpl w:val="B7969EB8"/>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CD362B"/>
    <w:multiLevelType w:val="hybridMultilevel"/>
    <w:tmpl w:val="EB92E84C"/>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3B3365"/>
    <w:multiLevelType w:val="hybridMultilevel"/>
    <w:tmpl w:val="CC4ABB32"/>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E15EAB"/>
    <w:multiLevelType w:val="hybridMultilevel"/>
    <w:tmpl w:val="2DA683CC"/>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6A67F2"/>
    <w:multiLevelType w:val="hybridMultilevel"/>
    <w:tmpl w:val="D3260106"/>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DA06AB"/>
    <w:multiLevelType w:val="multilevel"/>
    <w:tmpl w:val="67628C0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8A90904"/>
    <w:multiLevelType w:val="multilevel"/>
    <w:tmpl w:val="96CEFCD2"/>
    <w:lvl w:ilvl="0">
      <w:start w:val="1"/>
      <w:numFmt w:val="decimal"/>
      <w:lvlText w:val="%1."/>
      <w:lvlJc w:val="left"/>
      <w:pPr>
        <w:ind w:left="360" w:hanging="360"/>
      </w:pPr>
    </w:lvl>
    <w:lvl w:ilvl="1">
      <w:start w:val="2"/>
      <w:numFmt w:val="decimal"/>
      <w:isLgl/>
      <w:lvlText w:val="%1.%2."/>
      <w:lvlJc w:val="left"/>
      <w:pPr>
        <w:ind w:left="540" w:hanging="540"/>
      </w:pPr>
      <w:rPr>
        <w:rFonts w:hint="default"/>
        <w:u w:val="none"/>
      </w:rPr>
    </w:lvl>
    <w:lvl w:ilvl="2">
      <w:start w:val="6"/>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22">
    <w:nsid w:val="295E25C8"/>
    <w:multiLevelType w:val="hybridMultilevel"/>
    <w:tmpl w:val="CAA0D2B0"/>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A0672C"/>
    <w:multiLevelType w:val="hybridMultilevel"/>
    <w:tmpl w:val="D7126104"/>
    <w:lvl w:ilvl="0" w:tplc="42C4E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2C125B70"/>
    <w:multiLevelType w:val="multilevel"/>
    <w:tmpl w:val="BEB250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FF04C2F"/>
    <w:multiLevelType w:val="hybridMultilevel"/>
    <w:tmpl w:val="65109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152DF5"/>
    <w:multiLevelType w:val="hybridMultilevel"/>
    <w:tmpl w:val="B0F65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ED1FE6"/>
    <w:multiLevelType w:val="hybridMultilevel"/>
    <w:tmpl w:val="E0B2CCC0"/>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F755F7"/>
    <w:multiLevelType w:val="multilevel"/>
    <w:tmpl w:val="7CA2C41E"/>
    <w:styleLink w:val="Sty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42644B7"/>
    <w:multiLevelType w:val="hybridMultilevel"/>
    <w:tmpl w:val="65109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427E1A"/>
    <w:multiLevelType w:val="hybridMultilevel"/>
    <w:tmpl w:val="0E40E8B6"/>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1A6D44"/>
    <w:multiLevelType w:val="multilevel"/>
    <w:tmpl w:val="41D02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5E4321"/>
    <w:multiLevelType w:val="hybridMultilevel"/>
    <w:tmpl w:val="B4D856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84A381A"/>
    <w:multiLevelType w:val="hybridMultilevel"/>
    <w:tmpl w:val="0CD21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4C06E4"/>
    <w:multiLevelType w:val="hybridMultilevel"/>
    <w:tmpl w:val="37402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1777C4"/>
    <w:multiLevelType w:val="multilevel"/>
    <w:tmpl w:val="BEB250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9E54997"/>
    <w:multiLevelType w:val="hybridMultilevel"/>
    <w:tmpl w:val="9828BFAE"/>
    <w:lvl w:ilvl="0" w:tplc="315AAD44">
      <w:start w:val="1"/>
      <w:numFmt w:val="bullet"/>
      <w:lvlText w:val=""/>
      <w:lvlJc w:val="left"/>
      <w:pPr>
        <w:ind w:left="1267" w:hanging="360"/>
      </w:pPr>
      <w:rPr>
        <w:rFonts w:ascii="Symbol" w:hAnsi="Symbol" w:hint="default"/>
        <w:sz w:val="22"/>
        <w:szCs w:val="22"/>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DB87CD5"/>
    <w:multiLevelType w:val="hybridMultilevel"/>
    <w:tmpl w:val="6C00D66C"/>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944343"/>
    <w:multiLevelType w:val="hybridMultilevel"/>
    <w:tmpl w:val="47F85824"/>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00F3CB2"/>
    <w:multiLevelType w:val="hybridMultilevel"/>
    <w:tmpl w:val="77C2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8A5B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9C58EB"/>
    <w:multiLevelType w:val="hybridMultilevel"/>
    <w:tmpl w:val="15AA6386"/>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AA60A6"/>
    <w:multiLevelType w:val="multilevel"/>
    <w:tmpl w:val="0A803A88"/>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43">
    <w:nsid w:val="460C7645"/>
    <w:multiLevelType w:val="hybridMultilevel"/>
    <w:tmpl w:val="73A299EE"/>
    <w:lvl w:ilvl="0" w:tplc="189699EC">
      <w:start w:val="1"/>
      <w:numFmt w:val="bullet"/>
      <w:lvlText w:val=""/>
      <w:lvlJc w:val="left"/>
      <w:pPr>
        <w:ind w:left="1270" w:hanging="363"/>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98B2201"/>
    <w:multiLevelType w:val="hybridMultilevel"/>
    <w:tmpl w:val="7FAEBE20"/>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892EBB"/>
    <w:multiLevelType w:val="hybridMultilevel"/>
    <w:tmpl w:val="0704A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10A24D0"/>
    <w:multiLevelType w:val="hybridMultilevel"/>
    <w:tmpl w:val="00620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553F20"/>
    <w:multiLevelType w:val="hybridMultilevel"/>
    <w:tmpl w:val="BE961A6A"/>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35701E8"/>
    <w:multiLevelType w:val="hybridMultilevel"/>
    <w:tmpl w:val="90104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563572D2"/>
    <w:multiLevelType w:val="hybridMultilevel"/>
    <w:tmpl w:val="86CCE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84760A6"/>
    <w:multiLevelType w:val="hybridMultilevel"/>
    <w:tmpl w:val="1960E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F62018"/>
    <w:multiLevelType w:val="hybridMultilevel"/>
    <w:tmpl w:val="FAC89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CE6010"/>
    <w:multiLevelType w:val="hybridMultilevel"/>
    <w:tmpl w:val="0D72529E"/>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FFA559C"/>
    <w:multiLevelType w:val="hybridMultilevel"/>
    <w:tmpl w:val="77F6B79C"/>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1F36E8A"/>
    <w:multiLevelType w:val="hybridMultilevel"/>
    <w:tmpl w:val="FB20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24536CE"/>
    <w:multiLevelType w:val="hybridMultilevel"/>
    <w:tmpl w:val="7B8ACB5A"/>
    <w:lvl w:ilvl="0" w:tplc="24289E1E">
      <w:start w:val="1"/>
      <w:numFmt w:val="bullet"/>
      <w:lvlText w:val=""/>
      <w:lvlJc w:val="left"/>
      <w:pPr>
        <w:ind w:left="1270" w:hanging="363"/>
      </w:pPr>
      <w:rPr>
        <w:rFonts w:ascii="Symbol" w:hAnsi="Symbol" w:hint="default"/>
        <w:sz w:val="22"/>
        <w:szCs w:val="22"/>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56">
    <w:nsid w:val="652873D9"/>
    <w:multiLevelType w:val="hybridMultilevel"/>
    <w:tmpl w:val="3CAAC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FE5AF5"/>
    <w:multiLevelType w:val="hybridMultilevel"/>
    <w:tmpl w:val="D0D0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69BE6E70"/>
    <w:multiLevelType w:val="hybridMultilevel"/>
    <w:tmpl w:val="3970C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C071172"/>
    <w:multiLevelType w:val="hybridMultilevel"/>
    <w:tmpl w:val="0374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D34385E"/>
    <w:multiLevelType w:val="hybridMultilevel"/>
    <w:tmpl w:val="578E7E60"/>
    <w:lvl w:ilvl="0" w:tplc="9D7AE95E">
      <w:start w:val="1"/>
      <w:numFmt w:val="bullet"/>
      <w:lvlText w:val="•"/>
      <w:lvlJc w:val="left"/>
      <w:pPr>
        <w:tabs>
          <w:tab w:val="num" w:pos="720"/>
        </w:tabs>
        <w:ind w:left="720" w:hanging="360"/>
      </w:pPr>
      <w:rPr>
        <w:rFonts w:ascii="Times New Roman" w:hAnsi="Times New Roman" w:hint="default"/>
      </w:rPr>
    </w:lvl>
    <w:lvl w:ilvl="1" w:tplc="4D12377C" w:tentative="1">
      <w:start w:val="1"/>
      <w:numFmt w:val="bullet"/>
      <w:lvlText w:val="•"/>
      <w:lvlJc w:val="left"/>
      <w:pPr>
        <w:tabs>
          <w:tab w:val="num" w:pos="1440"/>
        </w:tabs>
        <w:ind w:left="1440" w:hanging="360"/>
      </w:pPr>
      <w:rPr>
        <w:rFonts w:ascii="Times New Roman" w:hAnsi="Times New Roman" w:hint="default"/>
      </w:rPr>
    </w:lvl>
    <w:lvl w:ilvl="2" w:tplc="F108624C" w:tentative="1">
      <w:start w:val="1"/>
      <w:numFmt w:val="bullet"/>
      <w:lvlText w:val="•"/>
      <w:lvlJc w:val="left"/>
      <w:pPr>
        <w:tabs>
          <w:tab w:val="num" w:pos="2160"/>
        </w:tabs>
        <w:ind w:left="2160" w:hanging="360"/>
      </w:pPr>
      <w:rPr>
        <w:rFonts w:ascii="Times New Roman" w:hAnsi="Times New Roman" w:hint="default"/>
      </w:rPr>
    </w:lvl>
    <w:lvl w:ilvl="3" w:tplc="721E66F8" w:tentative="1">
      <w:start w:val="1"/>
      <w:numFmt w:val="bullet"/>
      <w:lvlText w:val="•"/>
      <w:lvlJc w:val="left"/>
      <w:pPr>
        <w:tabs>
          <w:tab w:val="num" w:pos="2880"/>
        </w:tabs>
        <w:ind w:left="2880" w:hanging="360"/>
      </w:pPr>
      <w:rPr>
        <w:rFonts w:ascii="Times New Roman" w:hAnsi="Times New Roman" w:hint="default"/>
      </w:rPr>
    </w:lvl>
    <w:lvl w:ilvl="4" w:tplc="BA6409DA" w:tentative="1">
      <w:start w:val="1"/>
      <w:numFmt w:val="bullet"/>
      <w:lvlText w:val="•"/>
      <w:lvlJc w:val="left"/>
      <w:pPr>
        <w:tabs>
          <w:tab w:val="num" w:pos="3600"/>
        </w:tabs>
        <w:ind w:left="3600" w:hanging="360"/>
      </w:pPr>
      <w:rPr>
        <w:rFonts w:ascii="Times New Roman" w:hAnsi="Times New Roman" w:hint="default"/>
      </w:rPr>
    </w:lvl>
    <w:lvl w:ilvl="5" w:tplc="466E38A8" w:tentative="1">
      <w:start w:val="1"/>
      <w:numFmt w:val="bullet"/>
      <w:lvlText w:val="•"/>
      <w:lvlJc w:val="left"/>
      <w:pPr>
        <w:tabs>
          <w:tab w:val="num" w:pos="4320"/>
        </w:tabs>
        <w:ind w:left="4320" w:hanging="360"/>
      </w:pPr>
      <w:rPr>
        <w:rFonts w:ascii="Times New Roman" w:hAnsi="Times New Roman" w:hint="default"/>
      </w:rPr>
    </w:lvl>
    <w:lvl w:ilvl="6" w:tplc="F7CCDE7C" w:tentative="1">
      <w:start w:val="1"/>
      <w:numFmt w:val="bullet"/>
      <w:lvlText w:val="•"/>
      <w:lvlJc w:val="left"/>
      <w:pPr>
        <w:tabs>
          <w:tab w:val="num" w:pos="5040"/>
        </w:tabs>
        <w:ind w:left="5040" w:hanging="360"/>
      </w:pPr>
      <w:rPr>
        <w:rFonts w:ascii="Times New Roman" w:hAnsi="Times New Roman" w:hint="default"/>
      </w:rPr>
    </w:lvl>
    <w:lvl w:ilvl="7" w:tplc="F404BF98" w:tentative="1">
      <w:start w:val="1"/>
      <w:numFmt w:val="bullet"/>
      <w:lvlText w:val="•"/>
      <w:lvlJc w:val="left"/>
      <w:pPr>
        <w:tabs>
          <w:tab w:val="num" w:pos="5760"/>
        </w:tabs>
        <w:ind w:left="5760" w:hanging="360"/>
      </w:pPr>
      <w:rPr>
        <w:rFonts w:ascii="Times New Roman" w:hAnsi="Times New Roman" w:hint="default"/>
      </w:rPr>
    </w:lvl>
    <w:lvl w:ilvl="8" w:tplc="9A3EA82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D5512EA"/>
    <w:multiLevelType w:val="hybridMultilevel"/>
    <w:tmpl w:val="7A6E4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FC822D9"/>
    <w:multiLevelType w:val="hybridMultilevel"/>
    <w:tmpl w:val="CAE420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088694B"/>
    <w:multiLevelType w:val="hybridMultilevel"/>
    <w:tmpl w:val="5FEEBE44"/>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F432CE"/>
    <w:multiLevelType w:val="hybridMultilevel"/>
    <w:tmpl w:val="766A3432"/>
    <w:lvl w:ilvl="0" w:tplc="24289E1E">
      <w:start w:val="1"/>
      <w:numFmt w:val="bullet"/>
      <w:lvlText w:val=""/>
      <w:lvlJc w:val="left"/>
      <w:pPr>
        <w:ind w:left="754" w:hanging="360"/>
      </w:pPr>
      <w:rPr>
        <w:rFonts w:ascii="Symbol" w:hAnsi="Symbol" w:hint="default"/>
        <w:sz w:val="22"/>
        <w:szCs w:val="22"/>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5">
    <w:nsid w:val="74367FA8"/>
    <w:multiLevelType w:val="multilevel"/>
    <w:tmpl w:val="B1E2AB6C"/>
    <w:lvl w:ilvl="0">
      <w:start w:val="1"/>
      <w:numFmt w:val="decimal"/>
      <w:lvlText w:val="%1."/>
      <w:lvlJc w:val="left"/>
      <w:pPr>
        <w:ind w:left="720" w:hanging="360"/>
      </w:p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6BB4844"/>
    <w:multiLevelType w:val="hybridMultilevel"/>
    <w:tmpl w:val="45BC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0C26C0"/>
    <w:multiLevelType w:val="hybridMultilevel"/>
    <w:tmpl w:val="60424B7E"/>
    <w:lvl w:ilvl="0" w:tplc="C1A21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nsid w:val="7A212696"/>
    <w:multiLevelType w:val="hybridMultilevel"/>
    <w:tmpl w:val="08F26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BE6722B"/>
    <w:multiLevelType w:val="hybridMultilevel"/>
    <w:tmpl w:val="6AB8821A"/>
    <w:lvl w:ilvl="0" w:tplc="24289E1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DB72CB9"/>
    <w:multiLevelType w:val="multilevel"/>
    <w:tmpl w:val="DEA04C3E"/>
    <w:lvl w:ilvl="0">
      <w:start w:val="1"/>
      <w:numFmt w:val="bullet"/>
      <w:lvlText w:val=""/>
      <w:lvlJc w:val="left"/>
      <w:pPr>
        <w:ind w:left="720" w:hanging="360"/>
      </w:pPr>
      <w:rPr>
        <w:rFonts w:ascii="Symbol" w:hAnsi="Symbol"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3F0226"/>
    <w:multiLevelType w:val="hybridMultilevel"/>
    <w:tmpl w:val="0FDE10B6"/>
    <w:lvl w:ilvl="0" w:tplc="24289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E747320"/>
    <w:multiLevelType w:val="hybridMultilevel"/>
    <w:tmpl w:val="038A127C"/>
    <w:lvl w:ilvl="0" w:tplc="85A6952C">
      <w:start w:val="1"/>
      <w:numFmt w:val="bullet"/>
      <w:lvlText w:val=""/>
      <w:lvlJc w:val="left"/>
      <w:pPr>
        <w:ind w:left="720" w:hanging="363"/>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7F861724"/>
    <w:multiLevelType w:val="hybridMultilevel"/>
    <w:tmpl w:val="DFD69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72"/>
  </w:num>
  <w:num w:numId="4">
    <w:abstractNumId w:val="36"/>
  </w:num>
  <w:num w:numId="5">
    <w:abstractNumId w:val="55"/>
  </w:num>
  <w:num w:numId="6">
    <w:abstractNumId w:val="43"/>
  </w:num>
  <w:num w:numId="7">
    <w:abstractNumId w:val="37"/>
  </w:num>
  <w:num w:numId="8">
    <w:abstractNumId w:val="16"/>
  </w:num>
  <w:num w:numId="9">
    <w:abstractNumId w:val="30"/>
  </w:num>
  <w:num w:numId="10">
    <w:abstractNumId w:val="21"/>
  </w:num>
  <w:num w:numId="11">
    <w:abstractNumId w:val="14"/>
  </w:num>
  <w:num w:numId="12">
    <w:abstractNumId w:val="19"/>
  </w:num>
  <w:num w:numId="13">
    <w:abstractNumId w:val="24"/>
  </w:num>
  <w:num w:numId="14">
    <w:abstractNumId w:val="42"/>
  </w:num>
  <w:num w:numId="15">
    <w:abstractNumId w:val="45"/>
  </w:num>
  <w:num w:numId="16">
    <w:abstractNumId w:val="58"/>
  </w:num>
  <w:num w:numId="17">
    <w:abstractNumId w:val="0"/>
  </w:num>
  <w:num w:numId="18">
    <w:abstractNumId w:val="34"/>
  </w:num>
  <w:num w:numId="19">
    <w:abstractNumId w:val="59"/>
  </w:num>
  <w:num w:numId="20">
    <w:abstractNumId w:val="3"/>
  </w:num>
  <w:num w:numId="21">
    <w:abstractNumId w:val="54"/>
  </w:num>
  <w:num w:numId="22">
    <w:abstractNumId w:val="8"/>
  </w:num>
  <w:num w:numId="23">
    <w:abstractNumId w:val="20"/>
  </w:num>
  <w:num w:numId="24">
    <w:abstractNumId w:val="65"/>
  </w:num>
  <w:num w:numId="25">
    <w:abstractNumId w:val="1"/>
  </w:num>
  <w:num w:numId="26">
    <w:abstractNumId w:val="50"/>
  </w:num>
  <w:num w:numId="27">
    <w:abstractNumId w:val="56"/>
  </w:num>
  <w:num w:numId="28">
    <w:abstractNumId w:val="61"/>
  </w:num>
  <w:num w:numId="29">
    <w:abstractNumId w:val="70"/>
  </w:num>
  <w:num w:numId="30">
    <w:abstractNumId w:val="23"/>
  </w:num>
  <w:num w:numId="31">
    <w:abstractNumId w:val="57"/>
  </w:num>
  <w:num w:numId="32">
    <w:abstractNumId w:val="4"/>
  </w:num>
  <w:num w:numId="33">
    <w:abstractNumId w:val="67"/>
  </w:num>
  <w:num w:numId="34">
    <w:abstractNumId w:val="51"/>
  </w:num>
  <w:num w:numId="35">
    <w:abstractNumId w:val="53"/>
  </w:num>
  <w:num w:numId="36">
    <w:abstractNumId w:val="31"/>
  </w:num>
  <w:num w:numId="37">
    <w:abstractNumId w:val="47"/>
  </w:num>
  <w:num w:numId="38">
    <w:abstractNumId w:val="66"/>
  </w:num>
  <w:num w:numId="39">
    <w:abstractNumId w:val="33"/>
  </w:num>
  <w:num w:numId="40">
    <w:abstractNumId w:val="13"/>
  </w:num>
  <w:num w:numId="41">
    <w:abstractNumId w:val="26"/>
  </w:num>
  <w:num w:numId="42">
    <w:abstractNumId w:val="9"/>
  </w:num>
  <w:num w:numId="43">
    <w:abstractNumId w:val="12"/>
  </w:num>
  <w:num w:numId="44">
    <w:abstractNumId w:val="49"/>
  </w:num>
  <w:num w:numId="45">
    <w:abstractNumId w:val="28"/>
  </w:num>
  <w:num w:numId="46">
    <w:abstractNumId w:val="73"/>
  </w:num>
  <w:num w:numId="47">
    <w:abstractNumId w:val="46"/>
  </w:num>
  <w:num w:numId="48">
    <w:abstractNumId w:val="52"/>
  </w:num>
  <w:num w:numId="49">
    <w:abstractNumId w:val="64"/>
  </w:num>
  <w:num w:numId="50">
    <w:abstractNumId w:val="69"/>
  </w:num>
  <w:num w:numId="51">
    <w:abstractNumId w:val="62"/>
  </w:num>
  <w:num w:numId="52">
    <w:abstractNumId w:val="5"/>
  </w:num>
  <w:num w:numId="53">
    <w:abstractNumId w:val="44"/>
  </w:num>
  <w:num w:numId="54">
    <w:abstractNumId w:val="41"/>
  </w:num>
  <w:num w:numId="55">
    <w:abstractNumId w:val="11"/>
  </w:num>
  <w:num w:numId="56">
    <w:abstractNumId w:val="63"/>
  </w:num>
  <w:num w:numId="57">
    <w:abstractNumId w:val="17"/>
  </w:num>
  <w:num w:numId="58">
    <w:abstractNumId w:val="38"/>
  </w:num>
  <w:num w:numId="59">
    <w:abstractNumId w:val="2"/>
  </w:num>
  <w:num w:numId="60">
    <w:abstractNumId w:val="7"/>
  </w:num>
  <w:num w:numId="61">
    <w:abstractNumId w:val="68"/>
  </w:num>
  <w:num w:numId="62">
    <w:abstractNumId w:val="10"/>
  </w:num>
  <w:num w:numId="63">
    <w:abstractNumId w:val="6"/>
  </w:num>
  <w:num w:numId="64">
    <w:abstractNumId w:val="22"/>
  </w:num>
  <w:num w:numId="65">
    <w:abstractNumId w:val="15"/>
  </w:num>
  <w:num w:numId="66">
    <w:abstractNumId w:val="18"/>
  </w:num>
  <w:num w:numId="67">
    <w:abstractNumId w:val="29"/>
  </w:num>
  <w:num w:numId="68">
    <w:abstractNumId w:val="71"/>
  </w:num>
  <w:num w:numId="69">
    <w:abstractNumId w:val="27"/>
  </w:num>
  <w:num w:numId="70">
    <w:abstractNumId w:val="25"/>
  </w:num>
  <w:num w:numId="71">
    <w:abstractNumId w:val="48"/>
  </w:num>
  <w:num w:numId="72">
    <w:abstractNumId w:val="32"/>
  </w:num>
  <w:num w:numId="73">
    <w:abstractNumId w:val="60"/>
  </w:num>
  <w:num w:numId="74">
    <w:abstractNumId w:val="3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5"/>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731F53"/>
    <w:rsid w:val="00001808"/>
    <w:rsid w:val="00003B53"/>
    <w:rsid w:val="000068ED"/>
    <w:rsid w:val="000117A8"/>
    <w:rsid w:val="0001196C"/>
    <w:rsid w:val="00013B65"/>
    <w:rsid w:val="00015360"/>
    <w:rsid w:val="00015B09"/>
    <w:rsid w:val="0002100F"/>
    <w:rsid w:val="000228D1"/>
    <w:rsid w:val="000316EE"/>
    <w:rsid w:val="000318C9"/>
    <w:rsid w:val="0003679F"/>
    <w:rsid w:val="00042A98"/>
    <w:rsid w:val="00046C80"/>
    <w:rsid w:val="000504DC"/>
    <w:rsid w:val="00056A37"/>
    <w:rsid w:val="00060BAE"/>
    <w:rsid w:val="000634AC"/>
    <w:rsid w:val="0006456D"/>
    <w:rsid w:val="00064A86"/>
    <w:rsid w:val="00065E0A"/>
    <w:rsid w:val="000715CE"/>
    <w:rsid w:val="00073304"/>
    <w:rsid w:val="00086317"/>
    <w:rsid w:val="00096897"/>
    <w:rsid w:val="000A1703"/>
    <w:rsid w:val="000A4280"/>
    <w:rsid w:val="000B0C11"/>
    <w:rsid w:val="000B5FE9"/>
    <w:rsid w:val="000C0DF2"/>
    <w:rsid w:val="000C1218"/>
    <w:rsid w:val="000C62F7"/>
    <w:rsid w:val="000D61B0"/>
    <w:rsid w:val="000E1548"/>
    <w:rsid w:val="000E330E"/>
    <w:rsid w:val="000E6C78"/>
    <w:rsid w:val="001020C1"/>
    <w:rsid w:val="001038B6"/>
    <w:rsid w:val="00103DD3"/>
    <w:rsid w:val="00106E36"/>
    <w:rsid w:val="001127FB"/>
    <w:rsid w:val="00145718"/>
    <w:rsid w:val="0015112C"/>
    <w:rsid w:val="001563AD"/>
    <w:rsid w:val="00160975"/>
    <w:rsid w:val="00161B6F"/>
    <w:rsid w:val="00165173"/>
    <w:rsid w:val="00167A06"/>
    <w:rsid w:val="00170B29"/>
    <w:rsid w:val="00170CC3"/>
    <w:rsid w:val="0017571E"/>
    <w:rsid w:val="001A3CAC"/>
    <w:rsid w:val="001B1F03"/>
    <w:rsid w:val="001B313E"/>
    <w:rsid w:val="001B40D3"/>
    <w:rsid w:val="001B7474"/>
    <w:rsid w:val="001C28BB"/>
    <w:rsid w:val="001C546E"/>
    <w:rsid w:val="001D1136"/>
    <w:rsid w:val="001D1E3D"/>
    <w:rsid w:val="001D2CFE"/>
    <w:rsid w:val="001E65F7"/>
    <w:rsid w:val="001E772D"/>
    <w:rsid w:val="001F09B5"/>
    <w:rsid w:val="001F0C44"/>
    <w:rsid w:val="001F1AD7"/>
    <w:rsid w:val="002002A7"/>
    <w:rsid w:val="00202AA2"/>
    <w:rsid w:val="00212D20"/>
    <w:rsid w:val="00217A92"/>
    <w:rsid w:val="00227CC2"/>
    <w:rsid w:val="0023435A"/>
    <w:rsid w:val="00236366"/>
    <w:rsid w:val="00237861"/>
    <w:rsid w:val="00246F6F"/>
    <w:rsid w:val="00247598"/>
    <w:rsid w:val="002535CA"/>
    <w:rsid w:val="00253ABF"/>
    <w:rsid w:val="002553F2"/>
    <w:rsid w:val="002647DC"/>
    <w:rsid w:val="002674C0"/>
    <w:rsid w:val="00276F62"/>
    <w:rsid w:val="002773F3"/>
    <w:rsid w:val="00283EF8"/>
    <w:rsid w:val="00284EEF"/>
    <w:rsid w:val="00295867"/>
    <w:rsid w:val="002A09A3"/>
    <w:rsid w:val="002A0B6A"/>
    <w:rsid w:val="002A313D"/>
    <w:rsid w:val="002B4084"/>
    <w:rsid w:val="002C1EB6"/>
    <w:rsid w:val="002C369D"/>
    <w:rsid w:val="002D4616"/>
    <w:rsid w:val="002E5423"/>
    <w:rsid w:val="002E6091"/>
    <w:rsid w:val="002E691E"/>
    <w:rsid w:val="00300361"/>
    <w:rsid w:val="003150FC"/>
    <w:rsid w:val="00321A8E"/>
    <w:rsid w:val="0032207F"/>
    <w:rsid w:val="00323503"/>
    <w:rsid w:val="0033718D"/>
    <w:rsid w:val="00341EEC"/>
    <w:rsid w:val="00347E99"/>
    <w:rsid w:val="00354004"/>
    <w:rsid w:val="003558AA"/>
    <w:rsid w:val="0036096A"/>
    <w:rsid w:val="0036192A"/>
    <w:rsid w:val="00373DF3"/>
    <w:rsid w:val="00375FF6"/>
    <w:rsid w:val="00376E90"/>
    <w:rsid w:val="00383359"/>
    <w:rsid w:val="00384223"/>
    <w:rsid w:val="003875A0"/>
    <w:rsid w:val="003878C8"/>
    <w:rsid w:val="00387EC7"/>
    <w:rsid w:val="0039014D"/>
    <w:rsid w:val="0039350C"/>
    <w:rsid w:val="003A203F"/>
    <w:rsid w:val="003B0AF9"/>
    <w:rsid w:val="003B44A0"/>
    <w:rsid w:val="003C2759"/>
    <w:rsid w:val="003C3B7E"/>
    <w:rsid w:val="003C50C5"/>
    <w:rsid w:val="003C5196"/>
    <w:rsid w:val="003C5CC8"/>
    <w:rsid w:val="003D114A"/>
    <w:rsid w:val="003D28F6"/>
    <w:rsid w:val="003E5E56"/>
    <w:rsid w:val="003E6447"/>
    <w:rsid w:val="003F6B57"/>
    <w:rsid w:val="00400833"/>
    <w:rsid w:val="004016C6"/>
    <w:rsid w:val="00401C43"/>
    <w:rsid w:val="004020D1"/>
    <w:rsid w:val="0040587C"/>
    <w:rsid w:val="004065F6"/>
    <w:rsid w:val="00412441"/>
    <w:rsid w:val="004144DA"/>
    <w:rsid w:val="00415D7B"/>
    <w:rsid w:val="00416466"/>
    <w:rsid w:val="004178E4"/>
    <w:rsid w:val="004206EE"/>
    <w:rsid w:val="00425086"/>
    <w:rsid w:val="00432D13"/>
    <w:rsid w:val="00435664"/>
    <w:rsid w:val="0043683A"/>
    <w:rsid w:val="00437287"/>
    <w:rsid w:val="00446969"/>
    <w:rsid w:val="004549A2"/>
    <w:rsid w:val="00457AF8"/>
    <w:rsid w:val="00462F54"/>
    <w:rsid w:val="00463775"/>
    <w:rsid w:val="004759D9"/>
    <w:rsid w:val="00480678"/>
    <w:rsid w:val="00487ED0"/>
    <w:rsid w:val="00492E17"/>
    <w:rsid w:val="0049590C"/>
    <w:rsid w:val="0049614E"/>
    <w:rsid w:val="00497C75"/>
    <w:rsid w:val="004A1BA0"/>
    <w:rsid w:val="004A36A2"/>
    <w:rsid w:val="004A41B6"/>
    <w:rsid w:val="004A4B6F"/>
    <w:rsid w:val="004B6879"/>
    <w:rsid w:val="004C3226"/>
    <w:rsid w:val="004C45A6"/>
    <w:rsid w:val="004D5D91"/>
    <w:rsid w:val="004E1FB2"/>
    <w:rsid w:val="004E2878"/>
    <w:rsid w:val="004E74AC"/>
    <w:rsid w:val="0050315C"/>
    <w:rsid w:val="005039B8"/>
    <w:rsid w:val="0050555A"/>
    <w:rsid w:val="005156DA"/>
    <w:rsid w:val="0052068F"/>
    <w:rsid w:val="00523723"/>
    <w:rsid w:val="00531F7F"/>
    <w:rsid w:val="0053457C"/>
    <w:rsid w:val="0054297F"/>
    <w:rsid w:val="005527AC"/>
    <w:rsid w:val="00555729"/>
    <w:rsid w:val="00556D68"/>
    <w:rsid w:val="00557138"/>
    <w:rsid w:val="005663F9"/>
    <w:rsid w:val="00572395"/>
    <w:rsid w:val="00574783"/>
    <w:rsid w:val="005772DF"/>
    <w:rsid w:val="00582635"/>
    <w:rsid w:val="005826EA"/>
    <w:rsid w:val="0058319B"/>
    <w:rsid w:val="00595108"/>
    <w:rsid w:val="00596454"/>
    <w:rsid w:val="005A0DFF"/>
    <w:rsid w:val="005A3F28"/>
    <w:rsid w:val="005A772E"/>
    <w:rsid w:val="005B4515"/>
    <w:rsid w:val="005B4B86"/>
    <w:rsid w:val="005B6CCF"/>
    <w:rsid w:val="005C1A50"/>
    <w:rsid w:val="005C3E02"/>
    <w:rsid w:val="005C4105"/>
    <w:rsid w:val="005C42FD"/>
    <w:rsid w:val="005C51DA"/>
    <w:rsid w:val="005C5BB4"/>
    <w:rsid w:val="005D1A74"/>
    <w:rsid w:val="005D61DC"/>
    <w:rsid w:val="005D77A2"/>
    <w:rsid w:val="005E62FB"/>
    <w:rsid w:val="005E660C"/>
    <w:rsid w:val="005F0E81"/>
    <w:rsid w:val="005F4541"/>
    <w:rsid w:val="00600FF2"/>
    <w:rsid w:val="00601C5A"/>
    <w:rsid w:val="006075F3"/>
    <w:rsid w:val="00607BAA"/>
    <w:rsid w:val="0061242A"/>
    <w:rsid w:val="00616653"/>
    <w:rsid w:val="00620363"/>
    <w:rsid w:val="006229AA"/>
    <w:rsid w:val="00626767"/>
    <w:rsid w:val="00632B49"/>
    <w:rsid w:val="00633B62"/>
    <w:rsid w:val="0063785F"/>
    <w:rsid w:val="00642C3C"/>
    <w:rsid w:val="0064369D"/>
    <w:rsid w:val="00646258"/>
    <w:rsid w:val="00654BAA"/>
    <w:rsid w:val="006567B8"/>
    <w:rsid w:val="00660908"/>
    <w:rsid w:val="00661974"/>
    <w:rsid w:val="00662727"/>
    <w:rsid w:val="00665724"/>
    <w:rsid w:val="006661D4"/>
    <w:rsid w:val="00671AB3"/>
    <w:rsid w:val="006732A6"/>
    <w:rsid w:val="006755D8"/>
    <w:rsid w:val="006853A1"/>
    <w:rsid w:val="006938AF"/>
    <w:rsid w:val="006978F9"/>
    <w:rsid w:val="006B2440"/>
    <w:rsid w:val="006B7A91"/>
    <w:rsid w:val="006C06DE"/>
    <w:rsid w:val="006C120E"/>
    <w:rsid w:val="006C1EF3"/>
    <w:rsid w:val="006C4E82"/>
    <w:rsid w:val="006C7BBB"/>
    <w:rsid w:val="006D69AB"/>
    <w:rsid w:val="006E0FD1"/>
    <w:rsid w:val="006E6F7F"/>
    <w:rsid w:val="006F2005"/>
    <w:rsid w:val="006F56DD"/>
    <w:rsid w:val="00725EE5"/>
    <w:rsid w:val="00727101"/>
    <w:rsid w:val="00731F53"/>
    <w:rsid w:val="00736AAA"/>
    <w:rsid w:val="00742865"/>
    <w:rsid w:val="00754B2B"/>
    <w:rsid w:val="007606D5"/>
    <w:rsid w:val="00761BB0"/>
    <w:rsid w:val="0077115E"/>
    <w:rsid w:val="00774974"/>
    <w:rsid w:val="007774B5"/>
    <w:rsid w:val="00781C9B"/>
    <w:rsid w:val="00787F56"/>
    <w:rsid w:val="00794393"/>
    <w:rsid w:val="007A115A"/>
    <w:rsid w:val="007A4B08"/>
    <w:rsid w:val="007A562D"/>
    <w:rsid w:val="007B02F4"/>
    <w:rsid w:val="007B6154"/>
    <w:rsid w:val="007B6D31"/>
    <w:rsid w:val="007C0C8C"/>
    <w:rsid w:val="007C4E56"/>
    <w:rsid w:val="007C6213"/>
    <w:rsid w:val="007D0ECB"/>
    <w:rsid w:val="007D7939"/>
    <w:rsid w:val="007F23B8"/>
    <w:rsid w:val="007F68AE"/>
    <w:rsid w:val="00802D34"/>
    <w:rsid w:val="008036D4"/>
    <w:rsid w:val="00805388"/>
    <w:rsid w:val="00814DA7"/>
    <w:rsid w:val="00814E56"/>
    <w:rsid w:val="008238E4"/>
    <w:rsid w:val="0082752D"/>
    <w:rsid w:val="008433EA"/>
    <w:rsid w:val="00844CE4"/>
    <w:rsid w:val="00851EDB"/>
    <w:rsid w:val="00854773"/>
    <w:rsid w:val="00861F21"/>
    <w:rsid w:val="00867B4C"/>
    <w:rsid w:val="00870678"/>
    <w:rsid w:val="0087092C"/>
    <w:rsid w:val="00885CAD"/>
    <w:rsid w:val="00891167"/>
    <w:rsid w:val="008A4DDD"/>
    <w:rsid w:val="008B09D2"/>
    <w:rsid w:val="008B2ADE"/>
    <w:rsid w:val="008B7C1B"/>
    <w:rsid w:val="008D6EC9"/>
    <w:rsid w:val="008D6F34"/>
    <w:rsid w:val="008E22DE"/>
    <w:rsid w:val="008E5BEF"/>
    <w:rsid w:val="008F4515"/>
    <w:rsid w:val="00902FA1"/>
    <w:rsid w:val="00904B81"/>
    <w:rsid w:val="00912F65"/>
    <w:rsid w:val="00917930"/>
    <w:rsid w:val="009205E4"/>
    <w:rsid w:val="00927C2B"/>
    <w:rsid w:val="00927C61"/>
    <w:rsid w:val="0093059D"/>
    <w:rsid w:val="00934C80"/>
    <w:rsid w:val="00937113"/>
    <w:rsid w:val="00944937"/>
    <w:rsid w:val="009467B3"/>
    <w:rsid w:val="009519A8"/>
    <w:rsid w:val="00952ADE"/>
    <w:rsid w:val="00961931"/>
    <w:rsid w:val="009667F3"/>
    <w:rsid w:val="00992822"/>
    <w:rsid w:val="009952CA"/>
    <w:rsid w:val="009A0453"/>
    <w:rsid w:val="009B2E81"/>
    <w:rsid w:val="009C05E0"/>
    <w:rsid w:val="009C378B"/>
    <w:rsid w:val="009D075F"/>
    <w:rsid w:val="009E1745"/>
    <w:rsid w:val="009E3FA2"/>
    <w:rsid w:val="009F6DE0"/>
    <w:rsid w:val="009F7CE4"/>
    <w:rsid w:val="00A003E6"/>
    <w:rsid w:val="00A01392"/>
    <w:rsid w:val="00A07B07"/>
    <w:rsid w:val="00A10D06"/>
    <w:rsid w:val="00A141A2"/>
    <w:rsid w:val="00A14730"/>
    <w:rsid w:val="00A15838"/>
    <w:rsid w:val="00A16ECB"/>
    <w:rsid w:val="00A22115"/>
    <w:rsid w:val="00A23484"/>
    <w:rsid w:val="00A27D39"/>
    <w:rsid w:val="00A357F7"/>
    <w:rsid w:val="00A36542"/>
    <w:rsid w:val="00A375FE"/>
    <w:rsid w:val="00A4026A"/>
    <w:rsid w:val="00A435BC"/>
    <w:rsid w:val="00A4714C"/>
    <w:rsid w:val="00A604DD"/>
    <w:rsid w:val="00A614DD"/>
    <w:rsid w:val="00A62609"/>
    <w:rsid w:val="00A91722"/>
    <w:rsid w:val="00AA1BCC"/>
    <w:rsid w:val="00AA3A96"/>
    <w:rsid w:val="00AA43FE"/>
    <w:rsid w:val="00AA5699"/>
    <w:rsid w:val="00AA7447"/>
    <w:rsid w:val="00AB2283"/>
    <w:rsid w:val="00AB3BC0"/>
    <w:rsid w:val="00AC6023"/>
    <w:rsid w:val="00AD41C2"/>
    <w:rsid w:val="00AD4662"/>
    <w:rsid w:val="00AD55FE"/>
    <w:rsid w:val="00AD7AF5"/>
    <w:rsid w:val="00AE1432"/>
    <w:rsid w:val="00AE1D3B"/>
    <w:rsid w:val="00AF4CF6"/>
    <w:rsid w:val="00AF52CB"/>
    <w:rsid w:val="00B07E7C"/>
    <w:rsid w:val="00B10DFF"/>
    <w:rsid w:val="00B13C08"/>
    <w:rsid w:val="00B15E25"/>
    <w:rsid w:val="00B1759D"/>
    <w:rsid w:val="00B20072"/>
    <w:rsid w:val="00B2308A"/>
    <w:rsid w:val="00B30F93"/>
    <w:rsid w:val="00B32ECA"/>
    <w:rsid w:val="00B3720D"/>
    <w:rsid w:val="00B40803"/>
    <w:rsid w:val="00B43F8A"/>
    <w:rsid w:val="00B43FCA"/>
    <w:rsid w:val="00B563DD"/>
    <w:rsid w:val="00B56F5A"/>
    <w:rsid w:val="00B576E5"/>
    <w:rsid w:val="00B60E20"/>
    <w:rsid w:val="00B617E2"/>
    <w:rsid w:val="00B641E3"/>
    <w:rsid w:val="00B6637C"/>
    <w:rsid w:val="00B66501"/>
    <w:rsid w:val="00B72BC0"/>
    <w:rsid w:val="00B80048"/>
    <w:rsid w:val="00B847C1"/>
    <w:rsid w:val="00B86F8F"/>
    <w:rsid w:val="00B9159D"/>
    <w:rsid w:val="00B93D87"/>
    <w:rsid w:val="00B9620C"/>
    <w:rsid w:val="00BA4360"/>
    <w:rsid w:val="00BA529F"/>
    <w:rsid w:val="00BA68DC"/>
    <w:rsid w:val="00BB5F46"/>
    <w:rsid w:val="00BB731D"/>
    <w:rsid w:val="00BC7C00"/>
    <w:rsid w:val="00BD0B27"/>
    <w:rsid w:val="00BD24DF"/>
    <w:rsid w:val="00BD2DD0"/>
    <w:rsid w:val="00BE43BD"/>
    <w:rsid w:val="00BF120D"/>
    <w:rsid w:val="00BF3085"/>
    <w:rsid w:val="00BF60C7"/>
    <w:rsid w:val="00C00977"/>
    <w:rsid w:val="00C010BB"/>
    <w:rsid w:val="00C01D87"/>
    <w:rsid w:val="00C020AC"/>
    <w:rsid w:val="00C03E4F"/>
    <w:rsid w:val="00C04DD1"/>
    <w:rsid w:val="00C06DB9"/>
    <w:rsid w:val="00C15A88"/>
    <w:rsid w:val="00C162EB"/>
    <w:rsid w:val="00C16BC1"/>
    <w:rsid w:val="00C17D73"/>
    <w:rsid w:val="00C17DC6"/>
    <w:rsid w:val="00C17FBD"/>
    <w:rsid w:val="00C24330"/>
    <w:rsid w:val="00C34247"/>
    <w:rsid w:val="00C35AEC"/>
    <w:rsid w:val="00C40786"/>
    <w:rsid w:val="00C4489C"/>
    <w:rsid w:val="00C51153"/>
    <w:rsid w:val="00C52380"/>
    <w:rsid w:val="00C52F39"/>
    <w:rsid w:val="00C55CA7"/>
    <w:rsid w:val="00C60AB8"/>
    <w:rsid w:val="00C61EFB"/>
    <w:rsid w:val="00C736AD"/>
    <w:rsid w:val="00C85B44"/>
    <w:rsid w:val="00C87509"/>
    <w:rsid w:val="00C91D4A"/>
    <w:rsid w:val="00C939B5"/>
    <w:rsid w:val="00C967B0"/>
    <w:rsid w:val="00CA6A1D"/>
    <w:rsid w:val="00CB3A89"/>
    <w:rsid w:val="00CB3B6F"/>
    <w:rsid w:val="00CC08DA"/>
    <w:rsid w:val="00CC0E86"/>
    <w:rsid w:val="00CC1388"/>
    <w:rsid w:val="00CF4726"/>
    <w:rsid w:val="00CF5C21"/>
    <w:rsid w:val="00D06245"/>
    <w:rsid w:val="00D15C86"/>
    <w:rsid w:val="00D203BE"/>
    <w:rsid w:val="00D26EA6"/>
    <w:rsid w:val="00D30729"/>
    <w:rsid w:val="00D43557"/>
    <w:rsid w:val="00D46F85"/>
    <w:rsid w:val="00D532DD"/>
    <w:rsid w:val="00D615AB"/>
    <w:rsid w:val="00D628C0"/>
    <w:rsid w:val="00D7110B"/>
    <w:rsid w:val="00D91944"/>
    <w:rsid w:val="00DA3E63"/>
    <w:rsid w:val="00DB52BF"/>
    <w:rsid w:val="00DB52CA"/>
    <w:rsid w:val="00DC209A"/>
    <w:rsid w:val="00DC607D"/>
    <w:rsid w:val="00DD2B53"/>
    <w:rsid w:val="00DD4764"/>
    <w:rsid w:val="00DE1C6B"/>
    <w:rsid w:val="00DF4AC0"/>
    <w:rsid w:val="00DF7229"/>
    <w:rsid w:val="00E10CEA"/>
    <w:rsid w:val="00E168DD"/>
    <w:rsid w:val="00E218E1"/>
    <w:rsid w:val="00E30DB1"/>
    <w:rsid w:val="00E314E1"/>
    <w:rsid w:val="00E35A36"/>
    <w:rsid w:val="00E35ABF"/>
    <w:rsid w:val="00E423D0"/>
    <w:rsid w:val="00E5618D"/>
    <w:rsid w:val="00E5670F"/>
    <w:rsid w:val="00E570BE"/>
    <w:rsid w:val="00E612C6"/>
    <w:rsid w:val="00E625DC"/>
    <w:rsid w:val="00E65009"/>
    <w:rsid w:val="00E672A7"/>
    <w:rsid w:val="00E67A29"/>
    <w:rsid w:val="00E7342B"/>
    <w:rsid w:val="00E770ED"/>
    <w:rsid w:val="00E81A7F"/>
    <w:rsid w:val="00E85829"/>
    <w:rsid w:val="00E87020"/>
    <w:rsid w:val="00E879E2"/>
    <w:rsid w:val="00E9421F"/>
    <w:rsid w:val="00E964D8"/>
    <w:rsid w:val="00E97626"/>
    <w:rsid w:val="00EB0DCE"/>
    <w:rsid w:val="00EB0E26"/>
    <w:rsid w:val="00EB0EB1"/>
    <w:rsid w:val="00EB3202"/>
    <w:rsid w:val="00EB4C28"/>
    <w:rsid w:val="00EB4C9E"/>
    <w:rsid w:val="00EB775B"/>
    <w:rsid w:val="00EC2C17"/>
    <w:rsid w:val="00EC5CBE"/>
    <w:rsid w:val="00ED18CD"/>
    <w:rsid w:val="00ED4ED2"/>
    <w:rsid w:val="00EF0785"/>
    <w:rsid w:val="00EF3EDF"/>
    <w:rsid w:val="00EF791C"/>
    <w:rsid w:val="00F03170"/>
    <w:rsid w:val="00F0502B"/>
    <w:rsid w:val="00F20489"/>
    <w:rsid w:val="00F20E79"/>
    <w:rsid w:val="00F212AC"/>
    <w:rsid w:val="00F24E71"/>
    <w:rsid w:val="00F33D20"/>
    <w:rsid w:val="00F46A02"/>
    <w:rsid w:val="00F479EC"/>
    <w:rsid w:val="00F57FF8"/>
    <w:rsid w:val="00F6096C"/>
    <w:rsid w:val="00F62396"/>
    <w:rsid w:val="00F640ED"/>
    <w:rsid w:val="00F67F63"/>
    <w:rsid w:val="00F726BC"/>
    <w:rsid w:val="00F8441A"/>
    <w:rsid w:val="00F85310"/>
    <w:rsid w:val="00F8693C"/>
    <w:rsid w:val="00F92EF8"/>
    <w:rsid w:val="00F9550B"/>
    <w:rsid w:val="00FA5462"/>
    <w:rsid w:val="00FA5D8A"/>
    <w:rsid w:val="00FA6FE5"/>
    <w:rsid w:val="00FB38D8"/>
    <w:rsid w:val="00FB5740"/>
    <w:rsid w:val="00FD1181"/>
    <w:rsid w:val="00FF56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5DC"/>
    <w:pPr>
      <w:spacing w:line="360" w:lineRule="auto"/>
      <w:jc w:val="both"/>
    </w:pPr>
    <w:rPr>
      <w:sz w:val="23"/>
    </w:rPr>
  </w:style>
  <w:style w:type="paragraph" w:styleId="Nagwek1">
    <w:name w:val="heading 1"/>
    <w:basedOn w:val="Normalny"/>
    <w:next w:val="Normalny"/>
    <w:link w:val="Nagwek1Znak"/>
    <w:uiPriority w:val="9"/>
    <w:qFormat/>
    <w:rsid w:val="001E65F7"/>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Nagwek2">
    <w:name w:val="heading 2"/>
    <w:basedOn w:val="Normalny"/>
    <w:next w:val="Normalny"/>
    <w:link w:val="Nagwek2Znak"/>
    <w:uiPriority w:val="9"/>
    <w:unhideWhenUsed/>
    <w:qFormat/>
    <w:rsid w:val="007774B5"/>
    <w:pPr>
      <w:keepNext/>
      <w:keepLines/>
      <w:spacing w:before="200" w:after="0"/>
      <w:jc w:val="left"/>
      <w:outlineLvl w:val="1"/>
    </w:pPr>
    <w:rPr>
      <w:rFonts w:asciiTheme="majorHAnsi" w:eastAsiaTheme="majorEastAsia" w:hAnsiTheme="majorHAnsi" w:cstheme="majorBidi"/>
      <w:b/>
      <w:bCs/>
      <w:i/>
      <w:color w:val="C0504D" w:themeColor="accent2"/>
      <w:sz w:val="26"/>
      <w:szCs w:val="26"/>
    </w:rPr>
  </w:style>
  <w:style w:type="paragraph" w:styleId="Nagwek3">
    <w:name w:val="heading 3"/>
    <w:basedOn w:val="Normalny"/>
    <w:next w:val="Normalny"/>
    <w:link w:val="Nagwek3Znak"/>
    <w:uiPriority w:val="9"/>
    <w:unhideWhenUsed/>
    <w:qFormat/>
    <w:rsid w:val="00106E36"/>
    <w:pPr>
      <w:keepNext/>
      <w:keepLines/>
      <w:spacing w:before="200" w:after="0"/>
      <w:outlineLvl w:val="2"/>
    </w:pPr>
    <w:rPr>
      <w:rFonts w:asciiTheme="majorHAnsi" w:eastAsiaTheme="majorEastAsia" w:hAnsiTheme="majorHAnsi" w:cstheme="majorBidi"/>
      <w:b/>
      <w:bCs/>
      <w: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31F53"/>
    <w:pPr>
      <w:spacing w:after="0" w:line="240" w:lineRule="auto"/>
    </w:pPr>
    <w:rPr>
      <w:rFonts w:eastAsiaTheme="minorEastAsia"/>
    </w:rPr>
  </w:style>
  <w:style w:type="character" w:customStyle="1" w:styleId="BezodstpwZnak">
    <w:name w:val="Bez odstępów Znak"/>
    <w:basedOn w:val="Domylnaczcionkaakapitu"/>
    <w:link w:val="Bezodstpw"/>
    <w:uiPriority w:val="1"/>
    <w:rsid w:val="00731F53"/>
    <w:rPr>
      <w:rFonts w:eastAsiaTheme="minorEastAsia"/>
    </w:rPr>
  </w:style>
  <w:style w:type="paragraph" w:styleId="Tekstdymka">
    <w:name w:val="Balloon Text"/>
    <w:basedOn w:val="Normalny"/>
    <w:link w:val="TekstdymkaZnak"/>
    <w:uiPriority w:val="99"/>
    <w:semiHidden/>
    <w:unhideWhenUsed/>
    <w:rsid w:val="00731F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F53"/>
    <w:rPr>
      <w:rFonts w:ascii="Tahoma" w:hAnsi="Tahoma" w:cs="Tahoma"/>
      <w:sz w:val="16"/>
      <w:szCs w:val="16"/>
    </w:rPr>
  </w:style>
  <w:style w:type="character" w:styleId="Hipercze">
    <w:name w:val="Hyperlink"/>
    <w:uiPriority w:val="99"/>
    <w:rsid w:val="00170B29"/>
    <w:rPr>
      <w:rFonts w:cs="Times New Roman"/>
      <w:color w:val="0000FF"/>
      <w:u w:val="single"/>
    </w:rPr>
  </w:style>
  <w:style w:type="paragraph" w:styleId="Nagwek">
    <w:name w:val="header"/>
    <w:basedOn w:val="Normalny"/>
    <w:link w:val="NagwekZnak"/>
    <w:uiPriority w:val="99"/>
    <w:unhideWhenUsed/>
    <w:rsid w:val="001E6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5F7"/>
  </w:style>
  <w:style w:type="paragraph" w:styleId="Stopka">
    <w:name w:val="footer"/>
    <w:basedOn w:val="Normalny"/>
    <w:link w:val="StopkaZnak"/>
    <w:uiPriority w:val="99"/>
    <w:unhideWhenUsed/>
    <w:rsid w:val="001E6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5F7"/>
  </w:style>
  <w:style w:type="character" w:customStyle="1" w:styleId="Nagwek1Znak">
    <w:name w:val="Nagłówek 1 Znak"/>
    <w:basedOn w:val="Domylnaczcionkaakapitu"/>
    <w:link w:val="Nagwek1"/>
    <w:uiPriority w:val="9"/>
    <w:rsid w:val="001E65F7"/>
    <w:rPr>
      <w:rFonts w:asciiTheme="majorHAnsi" w:eastAsiaTheme="majorEastAsia" w:hAnsiTheme="majorHAnsi" w:cstheme="majorBidi"/>
      <w:b/>
      <w:bCs/>
      <w:color w:val="943634" w:themeColor="accent2" w:themeShade="BF"/>
      <w:sz w:val="28"/>
      <w:szCs w:val="28"/>
    </w:rPr>
  </w:style>
  <w:style w:type="paragraph" w:styleId="Spistreci1">
    <w:name w:val="toc 1"/>
    <w:basedOn w:val="Normalny"/>
    <w:next w:val="Normalny"/>
    <w:autoRedefine/>
    <w:uiPriority w:val="39"/>
    <w:unhideWhenUsed/>
    <w:rsid w:val="00A375FE"/>
    <w:pPr>
      <w:tabs>
        <w:tab w:val="left" w:pos="460"/>
        <w:tab w:val="right" w:leader="dot" w:pos="9062"/>
      </w:tabs>
      <w:spacing w:after="100"/>
      <w:ind w:left="426" w:hanging="426"/>
    </w:pPr>
  </w:style>
  <w:style w:type="character" w:customStyle="1" w:styleId="Nagwek2Znak">
    <w:name w:val="Nagłówek 2 Znak"/>
    <w:basedOn w:val="Domylnaczcionkaakapitu"/>
    <w:link w:val="Nagwek2"/>
    <w:uiPriority w:val="9"/>
    <w:rsid w:val="007774B5"/>
    <w:rPr>
      <w:rFonts w:asciiTheme="majorHAnsi" w:eastAsiaTheme="majorEastAsia" w:hAnsiTheme="majorHAnsi" w:cstheme="majorBidi"/>
      <w:b/>
      <w:bCs/>
      <w:i/>
      <w:color w:val="C0504D" w:themeColor="accent2"/>
      <w:sz w:val="26"/>
      <w:szCs w:val="26"/>
    </w:rPr>
  </w:style>
  <w:style w:type="paragraph" w:styleId="Akapitzlist">
    <w:name w:val="List Paragraph"/>
    <w:basedOn w:val="Normalny"/>
    <w:uiPriority w:val="34"/>
    <w:qFormat/>
    <w:rsid w:val="007774B5"/>
    <w:pPr>
      <w:ind w:left="720"/>
      <w:contextualSpacing/>
    </w:pPr>
  </w:style>
  <w:style w:type="character" w:customStyle="1" w:styleId="Nagwek3Znak">
    <w:name w:val="Nagłówek 3 Znak"/>
    <w:basedOn w:val="Domylnaczcionkaakapitu"/>
    <w:link w:val="Nagwek3"/>
    <w:uiPriority w:val="9"/>
    <w:rsid w:val="00106E36"/>
    <w:rPr>
      <w:rFonts w:asciiTheme="majorHAnsi" w:eastAsiaTheme="majorEastAsia" w:hAnsiTheme="majorHAnsi" w:cstheme="majorBidi"/>
      <w:b/>
      <w:bCs/>
      <w:i/>
      <w:color w:val="C0504D" w:themeColor="accent2"/>
      <w:sz w:val="23"/>
    </w:rPr>
  </w:style>
  <w:style w:type="paragraph" w:styleId="Legenda">
    <w:name w:val="caption"/>
    <w:basedOn w:val="Normalny"/>
    <w:next w:val="Normalny"/>
    <w:uiPriority w:val="35"/>
    <w:unhideWhenUsed/>
    <w:qFormat/>
    <w:rsid w:val="00E35ABF"/>
    <w:pPr>
      <w:spacing w:line="240" w:lineRule="auto"/>
      <w:ind w:firstLine="709"/>
    </w:pPr>
    <w:rPr>
      <w:rFonts w:ascii="Calibri" w:eastAsia="Calibri" w:hAnsi="Calibri" w:cs="Times New Roman"/>
      <w:b/>
      <w:bCs/>
      <w:color w:val="5B9BD5"/>
      <w:sz w:val="18"/>
      <w:szCs w:val="18"/>
    </w:rPr>
  </w:style>
  <w:style w:type="paragraph" w:styleId="Tekstprzypisudolnego">
    <w:name w:val="footnote text"/>
    <w:basedOn w:val="Normalny"/>
    <w:link w:val="TekstprzypisudolnegoZnak"/>
    <w:uiPriority w:val="99"/>
    <w:unhideWhenUsed/>
    <w:rsid w:val="0064369D"/>
    <w:pPr>
      <w:spacing w:after="0" w:line="240" w:lineRule="auto"/>
      <w:jc w:val="left"/>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4369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4369D"/>
    <w:rPr>
      <w:vertAlign w:val="superscript"/>
    </w:rPr>
  </w:style>
  <w:style w:type="paragraph" w:styleId="Spistreci2">
    <w:name w:val="toc 2"/>
    <w:basedOn w:val="Normalny"/>
    <w:next w:val="Normalny"/>
    <w:autoRedefine/>
    <w:uiPriority w:val="39"/>
    <w:unhideWhenUsed/>
    <w:rsid w:val="00AD41C2"/>
    <w:pPr>
      <w:spacing w:after="100"/>
      <w:ind w:left="230"/>
    </w:pPr>
  </w:style>
  <w:style w:type="paragraph" w:styleId="Spistreci3">
    <w:name w:val="toc 3"/>
    <w:basedOn w:val="Normalny"/>
    <w:next w:val="Normalny"/>
    <w:autoRedefine/>
    <w:uiPriority w:val="39"/>
    <w:unhideWhenUsed/>
    <w:rsid w:val="00AD41C2"/>
    <w:pPr>
      <w:spacing w:after="100"/>
      <w:ind w:left="460"/>
    </w:pPr>
  </w:style>
  <w:style w:type="table" w:styleId="rednialista2akcent1">
    <w:name w:val="Medium List 2 Accent 1"/>
    <w:basedOn w:val="Standardowy"/>
    <w:uiPriority w:val="66"/>
    <w:rsid w:val="00D43557"/>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347E99"/>
    <w:pPr>
      <w:tabs>
        <w:tab w:val="decimal" w:pos="360"/>
      </w:tabs>
      <w:spacing w:line="276" w:lineRule="auto"/>
      <w:jc w:val="left"/>
    </w:pPr>
    <w:rPr>
      <w:rFonts w:eastAsiaTheme="minorEastAsia"/>
      <w:sz w:val="22"/>
    </w:rPr>
  </w:style>
  <w:style w:type="table" w:customStyle="1" w:styleId="Jasnecieniowanieakcent15">
    <w:name w:val="Jasne cieniowanie — akcent 15"/>
    <w:basedOn w:val="Standardowy"/>
    <w:uiPriority w:val="60"/>
    <w:rsid w:val="00347E99"/>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Wyrnieniedelikatne">
    <w:name w:val="Subtle Emphasis"/>
    <w:basedOn w:val="Domylnaczcionkaakapitu"/>
    <w:uiPriority w:val="19"/>
    <w:qFormat/>
    <w:rsid w:val="00774974"/>
    <w:rPr>
      <w:rFonts w:eastAsiaTheme="minorEastAsia" w:cstheme="minorBidi"/>
      <w:bCs w:val="0"/>
      <w:i/>
      <w:iCs/>
      <w:color w:val="808080" w:themeColor="text1" w:themeTint="7F"/>
      <w:szCs w:val="22"/>
      <w:lang w:val="pl-PL"/>
    </w:rPr>
  </w:style>
  <w:style w:type="table" w:customStyle="1" w:styleId="Jasnecieniowanieakcent16">
    <w:name w:val="Jasne cieniowanie — akcent 16"/>
    <w:basedOn w:val="Standardowy"/>
    <w:uiPriority w:val="60"/>
    <w:rsid w:val="00F9550B"/>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akcent17">
    <w:name w:val="Jasne cieniowanie — akcent 17"/>
    <w:basedOn w:val="Standardowy"/>
    <w:uiPriority w:val="60"/>
    <w:rsid w:val="004D5D9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1">
    <w:name w:val="Styl1"/>
    <w:uiPriority w:val="99"/>
    <w:rsid w:val="00253ABF"/>
    <w:pPr>
      <w:numPr>
        <w:numId w:val="45"/>
      </w:numPr>
    </w:pPr>
  </w:style>
  <w:style w:type="paragraph" w:styleId="Spisilustracji">
    <w:name w:val="table of figures"/>
    <w:basedOn w:val="Normalny"/>
    <w:next w:val="Normalny"/>
    <w:uiPriority w:val="99"/>
    <w:unhideWhenUsed/>
    <w:rsid w:val="00C40786"/>
    <w:pPr>
      <w:spacing w:after="0"/>
    </w:pPr>
  </w:style>
  <w:style w:type="character" w:styleId="Odwoaniedokomentarza">
    <w:name w:val="annotation reference"/>
    <w:basedOn w:val="Domylnaczcionkaakapitu"/>
    <w:uiPriority w:val="99"/>
    <w:semiHidden/>
    <w:unhideWhenUsed/>
    <w:rsid w:val="001C28BB"/>
    <w:rPr>
      <w:sz w:val="16"/>
      <w:szCs w:val="16"/>
    </w:rPr>
  </w:style>
  <w:style w:type="paragraph" w:styleId="Tekstkomentarza">
    <w:name w:val="annotation text"/>
    <w:basedOn w:val="Normalny"/>
    <w:link w:val="TekstkomentarzaZnak"/>
    <w:uiPriority w:val="99"/>
    <w:semiHidden/>
    <w:unhideWhenUsed/>
    <w:rsid w:val="001C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28BB"/>
    <w:rPr>
      <w:sz w:val="20"/>
      <w:szCs w:val="20"/>
    </w:rPr>
  </w:style>
  <w:style w:type="paragraph" w:styleId="Tematkomentarza">
    <w:name w:val="annotation subject"/>
    <w:basedOn w:val="Tekstkomentarza"/>
    <w:next w:val="Tekstkomentarza"/>
    <w:link w:val="TematkomentarzaZnak"/>
    <w:uiPriority w:val="99"/>
    <w:semiHidden/>
    <w:unhideWhenUsed/>
    <w:rsid w:val="001C28BB"/>
    <w:rPr>
      <w:b/>
      <w:bCs/>
    </w:rPr>
  </w:style>
  <w:style w:type="character" w:customStyle="1" w:styleId="TematkomentarzaZnak">
    <w:name w:val="Temat komentarza Znak"/>
    <w:basedOn w:val="TekstkomentarzaZnak"/>
    <w:link w:val="Tematkomentarza"/>
    <w:uiPriority w:val="99"/>
    <w:semiHidden/>
    <w:rsid w:val="001C28BB"/>
    <w:rPr>
      <w:b/>
      <w:bCs/>
      <w:sz w:val="20"/>
      <w:szCs w:val="20"/>
    </w:rPr>
  </w:style>
  <w:style w:type="table" w:styleId="Tabela-Siatka">
    <w:name w:val="Table Grid"/>
    <w:basedOn w:val="Standardowy"/>
    <w:uiPriority w:val="59"/>
    <w:rsid w:val="00393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oprawka">
    <w:name w:val="Revision"/>
    <w:hidden/>
    <w:uiPriority w:val="99"/>
    <w:semiHidden/>
    <w:rsid w:val="00E87020"/>
    <w:pPr>
      <w:spacing w:after="0" w:line="240" w:lineRule="auto"/>
    </w:pPr>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5DC"/>
    <w:pPr>
      <w:spacing w:line="360" w:lineRule="auto"/>
      <w:jc w:val="both"/>
    </w:pPr>
    <w:rPr>
      <w:sz w:val="23"/>
    </w:rPr>
  </w:style>
  <w:style w:type="paragraph" w:styleId="Nagwek1">
    <w:name w:val="heading 1"/>
    <w:basedOn w:val="Normalny"/>
    <w:next w:val="Normalny"/>
    <w:link w:val="Nagwek1Znak"/>
    <w:uiPriority w:val="9"/>
    <w:qFormat/>
    <w:rsid w:val="001E65F7"/>
    <w:pPr>
      <w:keepNext/>
      <w:keepLines/>
      <w:spacing w:before="480" w:after="0"/>
      <w:outlineLvl w:val="0"/>
    </w:pPr>
    <w:rPr>
      <w:rFonts w:asciiTheme="majorHAnsi" w:eastAsiaTheme="majorEastAsia" w:hAnsiTheme="majorHAnsi" w:cstheme="majorBidi"/>
      <w:b/>
      <w:bCs/>
      <w:color w:val="943634" w:themeColor="accent2" w:themeShade="BF"/>
      <w:sz w:val="28"/>
      <w:szCs w:val="28"/>
    </w:rPr>
  </w:style>
  <w:style w:type="paragraph" w:styleId="Nagwek2">
    <w:name w:val="heading 2"/>
    <w:basedOn w:val="Normalny"/>
    <w:next w:val="Normalny"/>
    <w:link w:val="Nagwek2Znak"/>
    <w:uiPriority w:val="9"/>
    <w:unhideWhenUsed/>
    <w:qFormat/>
    <w:rsid w:val="007774B5"/>
    <w:pPr>
      <w:keepNext/>
      <w:keepLines/>
      <w:spacing w:before="200" w:after="0"/>
      <w:jc w:val="left"/>
      <w:outlineLvl w:val="1"/>
    </w:pPr>
    <w:rPr>
      <w:rFonts w:asciiTheme="majorHAnsi" w:eastAsiaTheme="majorEastAsia" w:hAnsiTheme="majorHAnsi" w:cstheme="majorBidi"/>
      <w:b/>
      <w:bCs/>
      <w:i/>
      <w:color w:val="C0504D" w:themeColor="accent2"/>
      <w:sz w:val="26"/>
      <w:szCs w:val="26"/>
    </w:rPr>
  </w:style>
  <w:style w:type="paragraph" w:styleId="Nagwek3">
    <w:name w:val="heading 3"/>
    <w:basedOn w:val="Normalny"/>
    <w:next w:val="Normalny"/>
    <w:link w:val="Nagwek3Znak"/>
    <w:uiPriority w:val="9"/>
    <w:unhideWhenUsed/>
    <w:qFormat/>
    <w:rsid w:val="00106E36"/>
    <w:pPr>
      <w:keepNext/>
      <w:keepLines/>
      <w:spacing w:before="200" w:after="0"/>
      <w:outlineLvl w:val="2"/>
    </w:pPr>
    <w:rPr>
      <w:rFonts w:asciiTheme="majorHAnsi" w:eastAsiaTheme="majorEastAsia" w:hAnsiTheme="majorHAnsi" w:cstheme="majorBidi"/>
      <w:b/>
      <w:bCs/>
      <w: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31F53"/>
    <w:pPr>
      <w:spacing w:after="0" w:line="240" w:lineRule="auto"/>
    </w:pPr>
    <w:rPr>
      <w:rFonts w:eastAsiaTheme="minorEastAsia"/>
    </w:rPr>
  </w:style>
  <w:style w:type="character" w:customStyle="1" w:styleId="BezodstpwZnak">
    <w:name w:val="Bez odstępów Znak"/>
    <w:basedOn w:val="Domylnaczcionkaakapitu"/>
    <w:link w:val="Bezodstpw"/>
    <w:uiPriority w:val="1"/>
    <w:rsid w:val="00731F53"/>
    <w:rPr>
      <w:rFonts w:eastAsiaTheme="minorEastAsia"/>
    </w:rPr>
  </w:style>
  <w:style w:type="paragraph" w:styleId="Tekstdymka">
    <w:name w:val="Balloon Text"/>
    <w:basedOn w:val="Normalny"/>
    <w:link w:val="TekstdymkaZnak"/>
    <w:uiPriority w:val="99"/>
    <w:semiHidden/>
    <w:unhideWhenUsed/>
    <w:rsid w:val="00731F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F53"/>
    <w:rPr>
      <w:rFonts w:ascii="Tahoma" w:hAnsi="Tahoma" w:cs="Tahoma"/>
      <w:sz w:val="16"/>
      <w:szCs w:val="16"/>
    </w:rPr>
  </w:style>
  <w:style w:type="character" w:styleId="Hipercze">
    <w:name w:val="Hyperlink"/>
    <w:uiPriority w:val="99"/>
    <w:rsid w:val="00170B29"/>
    <w:rPr>
      <w:rFonts w:cs="Times New Roman"/>
      <w:color w:val="0000FF"/>
      <w:u w:val="single"/>
    </w:rPr>
  </w:style>
  <w:style w:type="paragraph" w:styleId="Nagwek">
    <w:name w:val="header"/>
    <w:basedOn w:val="Normalny"/>
    <w:link w:val="NagwekZnak"/>
    <w:uiPriority w:val="99"/>
    <w:unhideWhenUsed/>
    <w:rsid w:val="001E6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5F7"/>
  </w:style>
  <w:style w:type="paragraph" w:styleId="Stopka">
    <w:name w:val="footer"/>
    <w:basedOn w:val="Normalny"/>
    <w:link w:val="StopkaZnak"/>
    <w:uiPriority w:val="99"/>
    <w:unhideWhenUsed/>
    <w:rsid w:val="001E6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5F7"/>
  </w:style>
  <w:style w:type="character" w:customStyle="1" w:styleId="Nagwek1Znak">
    <w:name w:val="Nagłówek 1 Znak"/>
    <w:basedOn w:val="Domylnaczcionkaakapitu"/>
    <w:link w:val="Nagwek1"/>
    <w:uiPriority w:val="9"/>
    <w:rsid w:val="001E65F7"/>
    <w:rPr>
      <w:rFonts w:asciiTheme="majorHAnsi" w:eastAsiaTheme="majorEastAsia" w:hAnsiTheme="majorHAnsi" w:cstheme="majorBidi"/>
      <w:b/>
      <w:bCs/>
      <w:color w:val="943634" w:themeColor="accent2" w:themeShade="BF"/>
      <w:sz w:val="28"/>
      <w:szCs w:val="28"/>
    </w:rPr>
  </w:style>
  <w:style w:type="paragraph" w:styleId="Spistreci1">
    <w:name w:val="toc 1"/>
    <w:basedOn w:val="Normalny"/>
    <w:next w:val="Normalny"/>
    <w:autoRedefine/>
    <w:uiPriority w:val="39"/>
    <w:unhideWhenUsed/>
    <w:rsid w:val="00A375FE"/>
    <w:pPr>
      <w:tabs>
        <w:tab w:val="left" w:pos="460"/>
        <w:tab w:val="right" w:leader="dot" w:pos="9062"/>
      </w:tabs>
      <w:spacing w:after="100"/>
      <w:ind w:left="426" w:hanging="426"/>
    </w:pPr>
  </w:style>
  <w:style w:type="character" w:customStyle="1" w:styleId="Nagwek2Znak">
    <w:name w:val="Nagłówek 2 Znak"/>
    <w:basedOn w:val="Domylnaczcionkaakapitu"/>
    <w:link w:val="Nagwek2"/>
    <w:uiPriority w:val="9"/>
    <w:rsid w:val="007774B5"/>
    <w:rPr>
      <w:rFonts w:asciiTheme="majorHAnsi" w:eastAsiaTheme="majorEastAsia" w:hAnsiTheme="majorHAnsi" w:cstheme="majorBidi"/>
      <w:b/>
      <w:bCs/>
      <w:i/>
      <w:color w:val="C0504D" w:themeColor="accent2"/>
      <w:sz w:val="26"/>
      <w:szCs w:val="26"/>
    </w:rPr>
  </w:style>
  <w:style w:type="paragraph" w:styleId="Akapitzlist">
    <w:name w:val="List Paragraph"/>
    <w:basedOn w:val="Normalny"/>
    <w:uiPriority w:val="34"/>
    <w:qFormat/>
    <w:rsid w:val="007774B5"/>
    <w:pPr>
      <w:ind w:left="720"/>
      <w:contextualSpacing/>
    </w:pPr>
  </w:style>
  <w:style w:type="character" w:customStyle="1" w:styleId="Nagwek3Znak">
    <w:name w:val="Nagłówek 3 Znak"/>
    <w:basedOn w:val="Domylnaczcionkaakapitu"/>
    <w:link w:val="Nagwek3"/>
    <w:uiPriority w:val="9"/>
    <w:rsid w:val="00106E36"/>
    <w:rPr>
      <w:rFonts w:asciiTheme="majorHAnsi" w:eastAsiaTheme="majorEastAsia" w:hAnsiTheme="majorHAnsi" w:cstheme="majorBidi"/>
      <w:b/>
      <w:bCs/>
      <w:i/>
      <w:color w:val="C0504D" w:themeColor="accent2"/>
      <w:sz w:val="23"/>
    </w:rPr>
  </w:style>
  <w:style w:type="paragraph" w:styleId="Legenda">
    <w:name w:val="caption"/>
    <w:basedOn w:val="Normalny"/>
    <w:next w:val="Normalny"/>
    <w:uiPriority w:val="35"/>
    <w:unhideWhenUsed/>
    <w:qFormat/>
    <w:rsid w:val="00E35ABF"/>
    <w:pPr>
      <w:spacing w:line="240" w:lineRule="auto"/>
      <w:ind w:firstLine="709"/>
    </w:pPr>
    <w:rPr>
      <w:rFonts w:ascii="Calibri" w:eastAsia="Calibri" w:hAnsi="Calibri" w:cs="Times New Roman"/>
      <w:b/>
      <w:bCs/>
      <w:color w:val="5B9BD5"/>
      <w:sz w:val="18"/>
      <w:szCs w:val="18"/>
    </w:rPr>
  </w:style>
  <w:style w:type="paragraph" w:styleId="Tekstprzypisudolnego">
    <w:name w:val="footnote text"/>
    <w:basedOn w:val="Normalny"/>
    <w:link w:val="TekstprzypisudolnegoZnak"/>
    <w:uiPriority w:val="99"/>
    <w:unhideWhenUsed/>
    <w:rsid w:val="0064369D"/>
    <w:pPr>
      <w:spacing w:after="0" w:line="240" w:lineRule="auto"/>
      <w:jc w:val="left"/>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4369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4369D"/>
    <w:rPr>
      <w:vertAlign w:val="superscript"/>
    </w:rPr>
  </w:style>
  <w:style w:type="paragraph" w:styleId="Spistreci2">
    <w:name w:val="toc 2"/>
    <w:basedOn w:val="Normalny"/>
    <w:next w:val="Normalny"/>
    <w:autoRedefine/>
    <w:uiPriority w:val="39"/>
    <w:unhideWhenUsed/>
    <w:rsid w:val="00AD41C2"/>
    <w:pPr>
      <w:spacing w:after="100"/>
      <w:ind w:left="230"/>
    </w:pPr>
  </w:style>
  <w:style w:type="paragraph" w:styleId="Spistreci3">
    <w:name w:val="toc 3"/>
    <w:basedOn w:val="Normalny"/>
    <w:next w:val="Normalny"/>
    <w:autoRedefine/>
    <w:uiPriority w:val="39"/>
    <w:unhideWhenUsed/>
    <w:rsid w:val="00AD41C2"/>
    <w:pPr>
      <w:spacing w:after="100"/>
      <w:ind w:left="460"/>
    </w:pPr>
  </w:style>
  <w:style w:type="table" w:styleId="rednialista2akcent1">
    <w:name w:val="Medium List 2 Accent 1"/>
    <w:basedOn w:val="Standardowy"/>
    <w:uiPriority w:val="66"/>
    <w:rsid w:val="00D43557"/>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347E99"/>
    <w:pPr>
      <w:tabs>
        <w:tab w:val="decimal" w:pos="360"/>
      </w:tabs>
      <w:spacing w:line="276" w:lineRule="auto"/>
      <w:jc w:val="left"/>
    </w:pPr>
    <w:rPr>
      <w:rFonts w:eastAsiaTheme="minorEastAsia"/>
      <w:sz w:val="22"/>
    </w:rPr>
  </w:style>
  <w:style w:type="table" w:customStyle="1" w:styleId="Jasnecieniowanieakcent15">
    <w:name w:val="Jasne cieniowanie — akcent 15"/>
    <w:basedOn w:val="Standardowy"/>
    <w:uiPriority w:val="60"/>
    <w:rsid w:val="00347E99"/>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Wyrnieniedelikatne">
    <w:name w:val="Subtle Emphasis"/>
    <w:basedOn w:val="Domylnaczcionkaakapitu"/>
    <w:uiPriority w:val="19"/>
    <w:qFormat/>
    <w:rsid w:val="00774974"/>
    <w:rPr>
      <w:rFonts w:eastAsiaTheme="minorEastAsia" w:cstheme="minorBidi"/>
      <w:bCs w:val="0"/>
      <w:i/>
      <w:iCs/>
      <w:color w:val="808080" w:themeColor="text1" w:themeTint="7F"/>
      <w:szCs w:val="22"/>
      <w:lang w:val="pl-PL"/>
    </w:rPr>
  </w:style>
  <w:style w:type="table" w:customStyle="1" w:styleId="Jasnecieniowanieakcent16">
    <w:name w:val="Jasne cieniowanie — akcent 16"/>
    <w:basedOn w:val="Standardowy"/>
    <w:uiPriority w:val="60"/>
    <w:rsid w:val="00F9550B"/>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akcent17">
    <w:name w:val="Jasne cieniowanie — akcent 17"/>
    <w:basedOn w:val="Standardowy"/>
    <w:uiPriority w:val="60"/>
    <w:rsid w:val="004D5D9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1">
    <w:name w:val="Styl1"/>
    <w:uiPriority w:val="99"/>
    <w:rsid w:val="00253ABF"/>
    <w:pPr>
      <w:numPr>
        <w:numId w:val="45"/>
      </w:numPr>
    </w:pPr>
  </w:style>
  <w:style w:type="paragraph" w:styleId="Spisilustracji">
    <w:name w:val="table of figures"/>
    <w:basedOn w:val="Normalny"/>
    <w:next w:val="Normalny"/>
    <w:uiPriority w:val="99"/>
    <w:unhideWhenUsed/>
    <w:rsid w:val="00C40786"/>
    <w:pPr>
      <w:spacing w:after="0"/>
    </w:pPr>
  </w:style>
  <w:style w:type="character" w:styleId="Odwoaniedokomentarza">
    <w:name w:val="annotation reference"/>
    <w:basedOn w:val="Domylnaczcionkaakapitu"/>
    <w:uiPriority w:val="99"/>
    <w:semiHidden/>
    <w:unhideWhenUsed/>
    <w:rsid w:val="001C28BB"/>
    <w:rPr>
      <w:sz w:val="16"/>
      <w:szCs w:val="16"/>
    </w:rPr>
  </w:style>
  <w:style w:type="paragraph" w:styleId="Tekstkomentarza">
    <w:name w:val="annotation text"/>
    <w:basedOn w:val="Normalny"/>
    <w:link w:val="TekstkomentarzaZnak"/>
    <w:uiPriority w:val="99"/>
    <w:semiHidden/>
    <w:unhideWhenUsed/>
    <w:rsid w:val="001C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28BB"/>
    <w:rPr>
      <w:sz w:val="20"/>
      <w:szCs w:val="20"/>
    </w:rPr>
  </w:style>
  <w:style w:type="paragraph" w:styleId="Tematkomentarza">
    <w:name w:val="annotation subject"/>
    <w:basedOn w:val="Tekstkomentarza"/>
    <w:next w:val="Tekstkomentarza"/>
    <w:link w:val="TematkomentarzaZnak"/>
    <w:uiPriority w:val="99"/>
    <w:semiHidden/>
    <w:unhideWhenUsed/>
    <w:rsid w:val="001C28BB"/>
    <w:rPr>
      <w:b/>
      <w:bCs/>
    </w:rPr>
  </w:style>
  <w:style w:type="character" w:customStyle="1" w:styleId="TematkomentarzaZnak">
    <w:name w:val="Temat komentarza Znak"/>
    <w:basedOn w:val="TekstkomentarzaZnak"/>
    <w:link w:val="Tematkomentarza"/>
    <w:uiPriority w:val="99"/>
    <w:semiHidden/>
    <w:rsid w:val="001C28BB"/>
    <w:rPr>
      <w:b/>
      <w:bCs/>
      <w:sz w:val="20"/>
      <w:szCs w:val="20"/>
    </w:rPr>
  </w:style>
  <w:style w:type="table" w:styleId="Tabela-Siatka">
    <w:name w:val="Table Grid"/>
    <w:basedOn w:val="Standardowy"/>
    <w:uiPriority w:val="59"/>
    <w:rsid w:val="00393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E87020"/>
    <w:pPr>
      <w:spacing w:after="0" w:line="240" w:lineRule="auto"/>
    </w:pPr>
    <w:rPr>
      <w:sz w:val="23"/>
    </w:rPr>
  </w:style>
</w:styles>
</file>

<file path=word/webSettings.xml><?xml version="1.0" encoding="utf-8"?>
<w:webSettings xmlns:r="http://schemas.openxmlformats.org/officeDocument/2006/relationships" xmlns:w="http://schemas.openxmlformats.org/wordprocessingml/2006/main">
  <w:divs>
    <w:div w:id="254751493">
      <w:bodyDiv w:val="1"/>
      <w:marLeft w:val="0"/>
      <w:marRight w:val="0"/>
      <w:marTop w:val="0"/>
      <w:marBottom w:val="0"/>
      <w:divBdr>
        <w:top w:val="none" w:sz="0" w:space="0" w:color="auto"/>
        <w:left w:val="none" w:sz="0" w:space="0" w:color="auto"/>
        <w:bottom w:val="none" w:sz="0" w:space="0" w:color="auto"/>
        <w:right w:val="none" w:sz="0" w:space="0" w:color="auto"/>
      </w:divBdr>
    </w:div>
    <w:div w:id="1596936773">
      <w:bodyDiv w:val="1"/>
      <w:marLeft w:val="0"/>
      <w:marRight w:val="0"/>
      <w:marTop w:val="0"/>
      <w:marBottom w:val="0"/>
      <w:divBdr>
        <w:top w:val="none" w:sz="0" w:space="0" w:color="auto"/>
        <w:left w:val="none" w:sz="0" w:space="0" w:color="auto"/>
        <w:bottom w:val="none" w:sz="0" w:space="0" w:color="auto"/>
        <w:right w:val="none" w:sz="0" w:space="0" w:color="auto"/>
      </w:divBdr>
    </w:div>
    <w:div w:id="1822766365">
      <w:bodyDiv w:val="1"/>
      <w:marLeft w:val="0"/>
      <w:marRight w:val="0"/>
      <w:marTop w:val="0"/>
      <w:marBottom w:val="0"/>
      <w:divBdr>
        <w:top w:val="none" w:sz="0" w:space="0" w:color="auto"/>
        <w:left w:val="none" w:sz="0" w:space="0" w:color="auto"/>
        <w:bottom w:val="none" w:sz="0" w:space="0" w:color="auto"/>
        <w:right w:val="none" w:sz="0" w:space="0" w:color="auto"/>
      </w:divBdr>
      <w:divsChild>
        <w:div w:id="430977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diagramData" Target="diagrams/data2.xml"/><Relationship Id="rId21" Type="http://schemas.openxmlformats.org/officeDocument/2006/relationships/image" Target="media/image5.jpeg"/><Relationship Id="rId34" Type="http://schemas.openxmlformats.org/officeDocument/2006/relationships/footer" Target="footer2.xml"/><Relationship Id="rId42" Type="http://schemas.openxmlformats.org/officeDocument/2006/relationships/diagramColors" Target="diagrams/colors2.xml"/><Relationship Id="rId47" Type="http://schemas.openxmlformats.org/officeDocument/2006/relationships/hyperlink" Target="http://www.mg.gov.pl" TargetMode="External"/><Relationship Id="rId50" Type="http://schemas.openxmlformats.org/officeDocument/2006/relationships/hyperlink" Target="http://www.minrol.gov.pl/pol" TargetMode="External"/><Relationship Id="rId55" Type="http://schemas.openxmlformats.org/officeDocument/2006/relationships/chart" Target="charts/chart18.xml"/><Relationship Id="rId63" Type="http://schemas.openxmlformats.org/officeDocument/2006/relationships/chart" Target="charts/chart26.xml"/><Relationship Id="rId68" Type="http://schemas.openxmlformats.org/officeDocument/2006/relationships/theme" Target="theme/theme1.xml"/><Relationship Id="rId7" Type="http://schemas.openxmlformats.org/officeDocument/2006/relationships/footnotes" Target="footnotes.xml"/><Relationship Id="rId71"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hin.pl"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diagramQuickStyle" Target="diagrams/quickStyle1.xml"/><Relationship Id="rId40" Type="http://schemas.openxmlformats.org/officeDocument/2006/relationships/diagramLayout" Target="diagrams/layout2.xml"/><Relationship Id="rId45" Type="http://schemas.openxmlformats.org/officeDocument/2006/relationships/diagramQuickStyle" Target="diagrams/quickStyle3.xml"/><Relationship Id="rId53" Type="http://schemas.openxmlformats.org/officeDocument/2006/relationships/hyperlink" Target="http://www.arimr.gov.pl" TargetMode="External"/><Relationship Id="rId58" Type="http://schemas.openxmlformats.org/officeDocument/2006/relationships/chart" Target="charts/chart21.xml"/><Relationship Id="rId66" Type="http://schemas.openxmlformats.org/officeDocument/2006/relationships/chart" Target="charts/chart29.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diagramLayout" Target="diagrams/layout1.xml"/><Relationship Id="rId49" Type="http://schemas.openxmlformats.org/officeDocument/2006/relationships/hyperlink" Target="http://www.mrr.gov.pl" TargetMode="External"/><Relationship Id="rId57" Type="http://schemas.openxmlformats.org/officeDocument/2006/relationships/chart" Target="charts/chart20.xml"/><Relationship Id="rId61" Type="http://schemas.openxmlformats.org/officeDocument/2006/relationships/chart" Target="charts/chart24.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diagramLayout" Target="diagrams/layout3.xml"/><Relationship Id="rId52" Type="http://schemas.openxmlformats.org/officeDocument/2006/relationships/hyperlink" Target="http://www.parp.gov.pl/index/main" TargetMode="External"/><Relationship Id="rId60" Type="http://schemas.openxmlformats.org/officeDocument/2006/relationships/chart" Target="charts/chart23.xml"/><Relationship Id="rId65" Type="http://schemas.openxmlformats.org/officeDocument/2006/relationships/chart" Target="charts/chart28.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diagramData" Target="diagrams/data1.xml"/><Relationship Id="rId43" Type="http://schemas.openxmlformats.org/officeDocument/2006/relationships/diagramData" Target="diagrams/data3.xml"/><Relationship Id="rId48" Type="http://schemas.openxmlformats.org/officeDocument/2006/relationships/hyperlink" Target="http://www.mos.gov.pl" TargetMode="External"/><Relationship Id="rId56" Type="http://schemas.openxmlformats.org/officeDocument/2006/relationships/chart" Target="charts/chart19.xml"/><Relationship Id="rId64" Type="http://schemas.openxmlformats.org/officeDocument/2006/relationships/chart" Target="charts/chart27.xm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hyperlink" Target="http://www.nfosigw.gov.pl" TargetMode="External"/><Relationship Id="rId72" Type="http://schemas.microsoft.com/office/2007/relationships/stylesWithEffects" Target="stylesWithEffects.xml"/><Relationship Id="rId3" Type="http://schemas.openxmlformats.org/officeDocument/2006/relationships/numbering" Target="numbering.xml"/><Relationship Id="rId12" Type="http://schemas.openxmlformats.org/officeDocument/2006/relationships/hyperlink" Target="http://www.phin.pl" TargetMode="Externa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footer" Target="footer1.xml"/><Relationship Id="rId38" Type="http://schemas.openxmlformats.org/officeDocument/2006/relationships/diagramColors" Target="diagrams/colors1.xml"/><Relationship Id="rId46" Type="http://schemas.openxmlformats.org/officeDocument/2006/relationships/diagramColors" Target="diagrams/colors3.xml"/><Relationship Id="rId59" Type="http://schemas.openxmlformats.org/officeDocument/2006/relationships/chart" Target="charts/chart22.xml"/><Relationship Id="rId67"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diagramQuickStyle" Target="diagrams/quickStyle2.xml"/><Relationship Id="rId54" Type="http://schemas.openxmlformats.org/officeDocument/2006/relationships/hyperlink" Target="http://www.centruminnowacji.org" TargetMode="External"/><Relationship Id="rId62" Type="http://schemas.openxmlformats.org/officeDocument/2006/relationships/chart" Target="charts/chart25.xml"/><Relationship Id="rId70"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hin\Pulpit\dane%20GU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hin\Pulpit\karolina\pomoce\gospodarka%20herby.xm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hin\Pulpit\dane%20GU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4_12032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4_144718.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4_144718.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hin\Pulpit\karolina\pomoce\kaalizacja%20itp.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hin\Pulpit\karolina\pomoce\kaalizacja%20itp.xls"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hin\Pulpit\BAZY%20DANYCH\HERBY\herb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07_120117.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hin\Pulpit\BAZY%20DANYCH\HERBY\herby.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komorowski\Desktop\PGN\HERBY\PGN_brudnopis\herb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07_1201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07_1201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hin\Pulpit\dane%20GU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hin\Pulpit\dane%20GU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0_14115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3_09040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hin\Ustawienia%20lokalne\Temp\DC_20150713_0904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b="0" i="0" baseline="0"/>
            </a:pPr>
            <a:r>
              <a:rPr lang="en-US" sz="1100" b="0" i="0" baseline="0"/>
              <a:t>Wskaźnik bonitacji negatywnej </a:t>
            </a:r>
          </a:p>
        </c:rich>
      </c:tx>
      <c:layout/>
    </c:title>
    <c:plotArea>
      <c:layout/>
      <c:barChart>
        <c:barDir val="col"/>
        <c:grouping val="clustered"/>
        <c:ser>
          <c:idx val="0"/>
          <c:order val="0"/>
          <c:tx>
            <c:v>Wskaźnik bonitacji negatywnej </c:v>
          </c:tx>
          <c:dLbls>
            <c:showVal val="1"/>
          </c:dLbls>
          <c:cat>
            <c:strRef>
              <c:f>Arkusz1!$A$1:$A$5</c:f>
              <c:strCache>
                <c:ptCount val="5"/>
                <c:pt idx="0">
                  <c:v>odczyn ph</c:v>
                </c:pt>
                <c:pt idx="1">
                  <c:v>potrzeby wapniowania</c:v>
                </c:pt>
                <c:pt idx="2">
                  <c:v>zawartość fosforu</c:v>
                </c:pt>
                <c:pt idx="3">
                  <c:v>zawartość potasu</c:v>
                </c:pt>
                <c:pt idx="4">
                  <c:v>zawartość magnezu</c:v>
                </c:pt>
              </c:strCache>
            </c:strRef>
          </c:cat>
          <c:val>
            <c:numRef>
              <c:f>Arkusz1!$B$1:$B$5</c:f>
              <c:numCache>
                <c:formatCode>General</c:formatCode>
                <c:ptCount val="5"/>
                <c:pt idx="0">
                  <c:v>79</c:v>
                </c:pt>
                <c:pt idx="1">
                  <c:v>71</c:v>
                </c:pt>
                <c:pt idx="2">
                  <c:v>45</c:v>
                </c:pt>
                <c:pt idx="3">
                  <c:v>80</c:v>
                </c:pt>
                <c:pt idx="4">
                  <c:v>55</c:v>
                </c:pt>
              </c:numCache>
            </c:numRef>
          </c:val>
        </c:ser>
        <c:axId val="72829568"/>
        <c:axId val="82059648"/>
      </c:barChart>
      <c:catAx>
        <c:axId val="72829568"/>
        <c:scaling>
          <c:orientation val="minMax"/>
        </c:scaling>
        <c:axPos val="b"/>
        <c:tickLblPos val="nextTo"/>
        <c:txPr>
          <a:bodyPr/>
          <a:lstStyle/>
          <a:p>
            <a:pPr>
              <a:defRPr sz="800"/>
            </a:pPr>
            <a:endParaRPr lang="pl-PL"/>
          </a:p>
        </c:txPr>
        <c:crossAx val="82059648"/>
        <c:crosses val="autoZero"/>
        <c:auto val="1"/>
        <c:lblAlgn val="ctr"/>
        <c:lblOffset val="100"/>
      </c:catAx>
      <c:valAx>
        <c:axId val="82059648"/>
        <c:scaling>
          <c:orientation val="minMax"/>
        </c:scaling>
        <c:axPos val="l"/>
        <c:majorGridlines/>
        <c:numFmt formatCode="General" sourceLinked="1"/>
        <c:tickLblPos val="nextTo"/>
        <c:crossAx val="7282956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pieChart>
        <c:varyColors val="1"/>
        <c:ser>
          <c:idx val="0"/>
          <c:order val="0"/>
          <c:explosion val="25"/>
          <c:dLbls>
            <c:dLbl>
              <c:idx val="0"/>
              <c:layout>
                <c:manualLayout>
                  <c:x val="-1.5085706879232689E-2"/>
                  <c:y val="8.2033183352081013E-2"/>
                </c:manualLayout>
              </c:layout>
              <c:spPr/>
              <c:txPr>
                <a:bodyPr/>
                <a:lstStyle/>
                <a:p>
                  <a:pPr>
                    <a:defRPr b="1"/>
                  </a:pPr>
                  <a:endParaRPr lang="pl-PL"/>
                </a:p>
              </c:txPr>
              <c:showVal val="1"/>
            </c:dLbl>
            <c:dLbl>
              <c:idx val="1"/>
              <c:spPr/>
              <c:txPr>
                <a:bodyPr/>
                <a:lstStyle/>
                <a:p>
                  <a:pPr>
                    <a:defRPr b="1"/>
                  </a:pPr>
                  <a:endParaRPr lang="pl-PL"/>
                </a:p>
              </c:txPr>
            </c:dLbl>
            <c:showVal val="1"/>
            <c:showLeaderLines val="1"/>
          </c:dLbls>
          <c:cat>
            <c:strRef>
              <c:f>DATA!$A$259:$A$260</c:f>
              <c:strCache>
                <c:ptCount val="2"/>
                <c:pt idx="0">
                  <c:v>sektor publiczny</c:v>
                </c:pt>
                <c:pt idx="1">
                  <c:v>sektor prywatny</c:v>
                </c:pt>
              </c:strCache>
            </c:strRef>
          </c:cat>
          <c:val>
            <c:numRef>
              <c:f>DATA!$B$259:$B$260</c:f>
              <c:numCache>
                <c:formatCode>0</c:formatCode>
                <c:ptCount val="2"/>
                <c:pt idx="0">
                  <c:v>27</c:v>
                </c:pt>
                <c:pt idx="1">
                  <c:v>511</c:v>
                </c:pt>
              </c:numCache>
            </c:numRef>
          </c:val>
        </c:ser>
        <c:firstSliceAng val="0"/>
      </c:pieChart>
    </c:plotArea>
    <c:legend>
      <c:legendPos val="r"/>
      <c:layou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dLbls>
            <c:txPr>
              <a:bodyPr/>
              <a:lstStyle/>
              <a:p>
                <a:pPr>
                  <a:defRPr b="1"/>
                </a:pPr>
                <a:endParaRPr lang="pl-PL"/>
              </a:p>
            </c:txPr>
            <c:showVal val="1"/>
          </c:dLbls>
          <c:cat>
            <c:strRef>
              <c:f>DATA!$A$125:$A$127</c:f>
              <c:strCache>
                <c:ptCount val="3"/>
                <c:pt idx="0">
                  <c:v>0 - 9 MIKRO</c:v>
                </c:pt>
                <c:pt idx="1">
                  <c:v>10 - 49 MAŁE</c:v>
                </c:pt>
                <c:pt idx="2">
                  <c:v>50 - 249 ŚREDNIE</c:v>
                </c:pt>
              </c:strCache>
            </c:strRef>
          </c:cat>
          <c:val>
            <c:numRef>
              <c:f>DATA!$B$125:$B$127</c:f>
              <c:numCache>
                <c:formatCode>0</c:formatCode>
                <c:ptCount val="3"/>
                <c:pt idx="0">
                  <c:v>516</c:v>
                </c:pt>
                <c:pt idx="1">
                  <c:v>16</c:v>
                </c:pt>
                <c:pt idx="2">
                  <c:v>6</c:v>
                </c:pt>
              </c:numCache>
            </c:numRef>
          </c:val>
        </c:ser>
        <c:axId val="69543808"/>
        <c:axId val="69545344"/>
      </c:barChart>
      <c:catAx>
        <c:axId val="69543808"/>
        <c:scaling>
          <c:orientation val="minMax"/>
        </c:scaling>
        <c:axPos val="b"/>
        <c:numFmt formatCode="0" sourceLinked="1"/>
        <c:tickLblPos val="nextTo"/>
        <c:crossAx val="69545344"/>
        <c:crosses val="autoZero"/>
        <c:auto val="1"/>
        <c:lblAlgn val="ctr"/>
        <c:lblOffset val="100"/>
      </c:catAx>
      <c:valAx>
        <c:axId val="69545344"/>
        <c:scaling>
          <c:orientation val="minMax"/>
        </c:scaling>
        <c:axPos val="l"/>
        <c:numFmt formatCode="0" sourceLinked="1"/>
        <c:tickLblPos val="nextTo"/>
        <c:crossAx val="6954380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dLbls>
            <c:showVal val="1"/>
          </c:dLbls>
          <c:cat>
            <c:strRef>
              <c:f>DATA!$H$268:$H$285</c:f>
              <c:strCache>
                <c:ptCount val="18"/>
                <c:pt idx="0">
                  <c:v>Handel hurtowy i detaliczny</c:v>
                </c:pt>
                <c:pt idx="1">
                  <c:v>Budownictwo</c:v>
                </c:pt>
                <c:pt idx="2">
                  <c:v>Przetwórstwo przemysłowe</c:v>
                </c:pt>
                <c:pt idx="3">
                  <c:v>Pozostała działalność usługowa oraz Gospodarstwa domowe zatrudniające pracowników</c:v>
                </c:pt>
                <c:pt idx="4">
                  <c:v>Działalność związana z obsługą rynku nieruchomości</c:v>
                </c:pt>
                <c:pt idx="5">
                  <c:v>Transport i gospodarka magazynowa</c:v>
                </c:pt>
                <c:pt idx="6">
                  <c:v>Działalność profesjonalna, naukowa i techniczna</c:v>
                </c:pt>
                <c:pt idx="7">
                  <c:v>Edukacja</c:v>
                </c:pt>
                <c:pt idx="8">
                  <c:v>Opieka zdrowotna i pomoc społeczna</c:v>
                </c:pt>
                <c:pt idx="9">
                  <c:v>Rolnictwo, leśnictwo, łowiectwo i rybactwo</c:v>
                </c:pt>
                <c:pt idx="10">
                  <c:v>Działalność w zakresie usług administrowania i działalność wspierająca</c:v>
                </c:pt>
                <c:pt idx="11">
                  <c:v>Działalność związana z kulturą, rozrywką i rekreacją</c:v>
                </c:pt>
                <c:pt idx="12">
                  <c:v>Administracja publiczna i obrona narodowa</c:v>
                </c:pt>
                <c:pt idx="13">
                  <c:v>Działalność związana z zakwaterowaniem i usługami gastronomicznymi</c:v>
                </c:pt>
                <c:pt idx="14">
                  <c:v>Dostawa wody; gospodarowanie ściekami i odpadami oraz działalność związana z rekultywacją</c:v>
                </c:pt>
                <c:pt idx="15">
                  <c:v>Działalność finansowa i ubezpieczeniowa</c:v>
                </c:pt>
                <c:pt idx="16">
                  <c:v>Informacja i komunikacja</c:v>
                </c:pt>
                <c:pt idx="17">
                  <c:v>Górnictwo i wydobywanie</c:v>
                </c:pt>
              </c:strCache>
            </c:strRef>
          </c:cat>
          <c:val>
            <c:numRef>
              <c:f>DATA!$I$268:$I$285</c:f>
              <c:numCache>
                <c:formatCode>General</c:formatCode>
                <c:ptCount val="18"/>
                <c:pt idx="0">
                  <c:v>151</c:v>
                </c:pt>
                <c:pt idx="1">
                  <c:v>81</c:v>
                </c:pt>
                <c:pt idx="2">
                  <c:v>61</c:v>
                </c:pt>
                <c:pt idx="3">
                  <c:v>34</c:v>
                </c:pt>
                <c:pt idx="4">
                  <c:v>33</c:v>
                </c:pt>
                <c:pt idx="5">
                  <c:v>31</c:v>
                </c:pt>
                <c:pt idx="6">
                  <c:v>24</c:v>
                </c:pt>
                <c:pt idx="7">
                  <c:v>21</c:v>
                </c:pt>
                <c:pt idx="8">
                  <c:v>18</c:v>
                </c:pt>
                <c:pt idx="9">
                  <c:v>17</c:v>
                </c:pt>
                <c:pt idx="10">
                  <c:v>17</c:v>
                </c:pt>
                <c:pt idx="11">
                  <c:v>12</c:v>
                </c:pt>
                <c:pt idx="12">
                  <c:v>9</c:v>
                </c:pt>
                <c:pt idx="13">
                  <c:v>8</c:v>
                </c:pt>
                <c:pt idx="14">
                  <c:v>8</c:v>
                </c:pt>
                <c:pt idx="15">
                  <c:v>7</c:v>
                </c:pt>
                <c:pt idx="16">
                  <c:v>4</c:v>
                </c:pt>
                <c:pt idx="17">
                  <c:v>2</c:v>
                </c:pt>
              </c:numCache>
            </c:numRef>
          </c:val>
        </c:ser>
        <c:axId val="72485504"/>
        <c:axId val="72495488"/>
      </c:barChart>
      <c:catAx>
        <c:axId val="72485504"/>
        <c:scaling>
          <c:orientation val="minMax"/>
        </c:scaling>
        <c:axPos val="l"/>
        <c:tickLblPos val="nextTo"/>
        <c:txPr>
          <a:bodyPr rot="0" vert="horz" anchor="t" anchorCtr="0"/>
          <a:lstStyle/>
          <a:p>
            <a:pPr>
              <a:defRPr sz="900"/>
            </a:pPr>
            <a:endParaRPr lang="pl-PL"/>
          </a:p>
        </c:txPr>
        <c:crossAx val="72495488"/>
        <c:crosses val="autoZero"/>
        <c:auto val="1"/>
        <c:lblAlgn val="ctr"/>
        <c:lblOffset val="100"/>
      </c:catAx>
      <c:valAx>
        <c:axId val="72495488"/>
        <c:scaling>
          <c:orientation val="minMax"/>
        </c:scaling>
        <c:axPos val="b"/>
        <c:majorGridlines/>
        <c:numFmt formatCode="General" sourceLinked="1"/>
        <c:tickLblPos val="nextTo"/>
        <c:crossAx val="7248550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DATA!$K$12</c:f>
              <c:strCache>
                <c:ptCount val="1"/>
                <c:pt idx="0">
                  <c:v>sektor publiczny</c:v>
                </c:pt>
              </c:strCache>
            </c:strRef>
          </c:tx>
          <c:dLbls>
            <c:dLblPos val="t"/>
            <c:showVal val="1"/>
          </c:dLbls>
          <c:cat>
            <c:numRef>
              <c:f>DATA!$L$11:$P$11</c:f>
              <c:numCache>
                <c:formatCode>General</c:formatCode>
                <c:ptCount val="5"/>
                <c:pt idx="0">
                  <c:v>2010</c:v>
                </c:pt>
                <c:pt idx="1">
                  <c:v>2011</c:v>
                </c:pt>
                <c:pt idx="2">
                  <c:v>2012</c:v>
                </c:pt>
                <c:pt idx="3">
                  <c:v>2013</c:v>
                </c:pt>
                <c:pt idx="4">
                  <c:v>2014</c:v>
                </c:pt>
              </c:numCache>
            </c:numRef>
          </c:cat>
          <c:val>
            <c:numRef>
              <c:f>DATA!$L$12:$P$12</c:f>
              <c:numCache>
                <c:formatCode>0</c:formatCode>
                <c:ptCount val="5"/>
                <c:pt idx="0">
                  <c:v>28</c:v>
                </c:pt>
                <c:pt idx="1">
                  <c:v>28</c:v>
                </c:pt>
                <c:pt idx="2">
                  <c:v>26</c:v>
                </c:pt>
                <c:pt idx="3">
                  <c:v>26</c:v>
                </c:pt>
                <c:pt idx="4">
                  <c:v>27</c:v>
                </c:pt>
              </c:numCache>
            </c:numRef>
          </c:val>
        </c:ser>
        <c:ser>
          <c:idx val="1"/>
          <c:order val="1"/>
          <c:tx>
            <c:strRef>
              <c:f>DATA!$K$13</c:f>
              <c:strCache>
                <c:ptCount val="1"/>
                <c:pt idx="0">
                  <c:v>sektor prywatny</c:v>
                </c:pt>
              </c:strCache>
            </c:strRef>
          </c:tx>
          <c:dLbls>
            <c:dLblPos val="b"/>
            <c:showVal val="1"/>
          </c:dLbls>
          <c:cat>
            <c:numRef>
              <c:f>DATA!$L$11:$P$11</c:f>
              <c:numCache>
                <c:formatCode>General</c:formatCode>
                <c:ptCount val="5"/>
                <c:pt idx="0">
                  <c:v>2010</c:v>
                </c:pt>
                <c:pt idx="1">
                  <c:v>2011</c:v>
                </c:pt>
                <c:pt idx="2">
                  <c:v>2012</c:v>
                </c:pt>
                <c:pt idx="3">
                  <c:v>2013</c:v>
                </c:pt>
                <c:pt idx="4">
                  <c:v>2014</c:v>
                </c:pt>
              </c:numCache>
            </c:numRef>
          </c:cat>
          <c:val>
            <c:numRef>
              <c:f>DATA!$L$13:$P$13</c:f>
              <c:numCache>
                <c:formatCode>0</c:formatCode>
                <c:ptCount val="5"/>
                <c:pt idx="0">
                  <c:v>495</c:v>
                </c:pt>
                <c:pt idx="1">
                  <c:v>493</c:v>
                </c:pt>
                <c:pt idx="2">
                  <c:v>520</c:v>
                </c:pt>
                <c:pt idx="3">
                  <c:v>525</c:v>
                </c:pt>
                <c:pt idx="4">
                  <c:v>511</c:v>
                </c:pt>
              </c:numCache>
            </c:numRef>
          </c:val>
        </c:ser>
        <c:marker val="1"/>
        <c:axId val="72531328"/>
        <c:axId val="72541312"/>
      </c:lineChart>
      <c:catAx>
        <c:axId val="72531328"/>
        <c:scaling>
          <c:orientation val="minMax"/>
        </c:scaling>
        <c:axPos val="b"/>
        <c:numFmt formatCode="General" sourceLinked="1"/>
        <c:tickLblPos val="nextTo"/>
        <c:crossAx val="72541312"/>
        <c:crosses val="autoZero"/>
        <c:auto val="1"/>
        <c:lblAlgn val="ctr"/>
        <c:lblOffset val="100"/>
      </c:catAx>
      <c:valAx>
        <c:axId val="72541312"/>
        <c:scaling>
          <c:orientation val="minMax"/>
        </c:scaling>
        <c:axPos val="l"/>
        <c:majorGridlines/>
        <c:numFmt formatCode="0" sourceLinked="1"/>
        <c:tickLblPos val="nextTo"/>
        <c:crossAx val="72531328"/>
        <c:crosses val="autoZero"/>
        <c:crossBetween val="between"/>
      </c:valAx>
    </c:plotArea>
    <c:legend>
      <c:legendPos val="r"/>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bar"/>
        <c:grouping val="clustered"/>
        <c:ser>
          <c:idx val="0"/>
          <c:order val="0"/>
          <c:tx>
            <c:strRef>
              <c:f>DATA!$I$38</c:f>
              <c:strCache>
                <c:ptCount val="1"/>
                <c:pt idx="0">
                  <c:v>wodociąg</c:v>
                </c:pt>
              </c:strCache>
            </c:strRef>
          </c:tx>
          <c:dLbls>
            <c:showVal val="1"/>
          </c:dLbls>
          <c:cat>
            <c:numRef>
              <c:f>DATA!$J$37:$M$37</c:f>
              <c:numCache>
                <c:formatCode>General</c:formatCode>
                <c:ptCount val="4"/>
                <c:pt idx="0">
                  <c:v>2010</c:v>
                </c:pt>
                <c:pt idx="1">
                  <c:v>2011</c:v>
                </c:pt>
                <c:pt idx="2">
                  <c:v>2012</c:v>
                </c:pt>
                <c:pt idx="3">
                  <c:v>2013</c:v>
                </c:pt>
              </c:numCache>
            </c:numRef>
          </c:cat>
          <c:val>
            <c:numRef>
              <c:f>DATA!$J$38:$M$38</c:f>
              <c:numCache>
                <c:formatCode>0.0</c:formatCode>
                <c:ptCount val="4"/>
                <c:pt idx="0">
                  <c:v>97.3</c:v>
                </c:pt>
                <c:pt idx="1">
                  <c:v>97.3</c:v>
                </c:pt>
                <c:pt idx="2">
                  <c:v>97.3</c:v>
                </c:pt>
                <c:pt idx="3">
                  <c:v>97.7</c:v>
                </c:pt>
              </c:numCache>
            </c:numRef>
          </c:val>
        </c:ser>
        <c:ser>
          <c:idx val="1"/>
          <c:order val="1"/>
          <c:tx>
            <c:strRef>
              <c:f>DATA!$I$39</c:f>
              <c:strCache>
                <c:ptCount val="1"/>
                <c:pt idx="0">
                  <c:v>łazienka</c:v>
                </c:pt>
              </c:strCache>
            </c:strRef>
          </c:tx>
          <c:dLbls>
            <c:showVal val="1"/>
          </c:dLbls>
          <c:cat>
            <c:numRef>
              <c:f>DATA!$J$37:$M$37</c:f>
              <c:numCache>
                <c:formatCode>General</c:formatCode>
                <c:ptCount val="4"/>
                <c:pt idx="0">
                  <c:v>2010</c:v>
                </c:pt>
                <c:pt idx="1">
                  <c:v>2011</c:v>
                </c:pt>
                <c:pt idx="2">
                  <c:v>2012</c:v>
                </c:pt>
                <c:pt idx="3">
                  <c:v>2013</c:v>
                </c:pt>
              </c:numCache>
            </c:numRef>
          </c:cat>
          <c:val>
            <c:numRef>
              <c:f>DATA!$J$39:$M$39</c:f>
              <c:numCache>
                <c:formatCode>0.0</c:formatCode>
                <c:ptCount val="4"/>
                <c:pt idx="0">
                  <c:v>92.1</c:v>
                </c:pt>
                <c:pt idx="1">
                  <c:v>92.2</c:v>
                </c:pt>
                <c:pt idx="2">
                  <c:v>92.2</c:v>
                </c:pt>
                <c:pt idx="3">
                  <c:v>92.3</c:v>
                </c:pt>
              </c:numCache>
            </c:numRef>
          </c:val>
        </c:ser>
        <c:ser>
          <c:idx val="2"/>
          <c:order val="2"/>
          <c:tx>
            <c:strRef>
              <c:f>DATA!$I$40</c:f>
              <c:strCache>
                <c:ptCount val="1"/>
                <c:pt idx="0">
                  <c:v>centralne ogrzewanie</c:v>
                </c:pt>
              </c:strCache>
            </c:strRef>
          </c:tx>
          <c:dLbls>
            <c:showVal val="1"/>
          </c:dLbls>
          <c:cat>
            <c:numRef>
              <c:f>DATA!$J$37:$M$37</c:f>
              <c:numCache>
                <c:formatCode>General</c:formatCode>
                <c:ptCount val="4"/>
                <c:pt idx="0">
                  <c:v>2010</c:v>
                </c:pt>
                <c:pt idx="1">
                  <c:v>2011</c:v>
                </c:pt>
                <c:pt idx="2">
                  <c:v>2012</c:v>
                </c:pt>
                <c:pt idx="3">
                  <c:v>2013</c:v>
                </c:pt>
              </c:numCache>
            </c:numRef>
          </c:cat>
          <c:val>
            <c:numRef>
              <c:f>DATA!$J$40:$M$40</c:f>
              <c:numCache>
                <c:formatCode>0.0</c:formatCode>
                <c:ptCount val="4"/>
                <c:pt idx="0">
                  <c:v>75.8</c:v>
                </c:pt>
                <c:pt idx="1">
                  <c:v>75.900000000000006</c:v>
                </c:pt>
                <c:pt idx="2">
                  <c:v>76.099999999999994</c:v>
                </c:pt>
                <c:pt idx="3">
                  <c:v>76.3</c:v>
                </c:pt>
              </c:numCache>
            </c:numRef>
          </c:val>
        </c:ser>
        <c:dLbls>
          <c:showVal val="1"/>
        </c:dLbls>
        <c:axId val="72592000"/>
        <c:axId val="72810880"/>
      </c:barChart>
      <c:catAx>
        <c:axId val="72592000"/>
        <c:scaling>
          <c:orientation val="minMax"/>
        </c:scaling>
        <c:axPos val="l"/>
        <c:numFmt formatCode="General" sourceLinked="1"/>
        <c:majorTickMark val="none"/>
        <c:tickLblPos val="nextTo"/>
        <c:crossAx val="72810880"/>
        <c:crosses val="autoZero"/>
        <c:auto val="1"/>
        <c:lblAlgn val="ctr"/>
        <c:lblOffset val="100"/>
      </c:catAx>
      <c:valAx>
        <c:axId val="72810880"/>
        <c:scaling>
          <c:orientation val="minMax"/>
        </c:scaling>
        <c:delete val="1"/>
        <c:axPos val="b"/>
        <c:numFmt formatCode="0.0" sourceLinked="1"/>
        <c:tickLblPos val="none"/>
        <c:crossAx val="72592000"/>
        <c:crosses val="autoZero"/>
        <c:crossBetween val="between"/>
      </c:valAx>
    </c:plotArea>
    <c:legend>
      <c:legendPos val="b"/>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cked"/>
        <c:ser>
          <c:idx val="0"/>
          <c:order val="0"/>
          <c:tx>
            <c:strRef>
              <c:f>DATA!$I$20</c:f>
              <c:strCache>
                <c:ptCount val="1"/>
                <c:pt idx="0">
                  <c:v>wodociąg</c:v>
                </c:pt>
              </c:strCache>
            </c:strRef>
          </c:tx>
          <c:dLbls>
            <c:dLblPos val="b"/>
            <c:showVal val="1"/>
          </c:dLbls>
          <c:cat>
            <c:numRef>
              <c:f>DATA!$J$19:$M$19</c:f>
              <c:numCache>
                <c:formatCode>General</c:formatCode>
                <c:ptCount val="4"/>
                <c:pt idx="0">
                  <c:v>2010</c:v>
                </c:pt>
                <c:pt idx="1">
                  <c:v>2011</c:v>
                </c:pt>
                <c:pt idx="2">
                  <c:v>2012</c:v>
                </c:pt>
                <c:pt idx="3">
                  <c:v>2013</c:v>
                </c:pt>
              </c:numCache>
            </c:numRef>
          </c:cat>
          <c:val>
            <c:numRef>
              <c:f>DATA!$J$20:$M$20</c:f>
              <c:numCache>
                <c:formatCode>0</c:formatCode>
                <c:ptCount val="4"/>
                <c:pt idx="0">
                  <c:v>2246</c:v>
                </c:pt>
                <c:pt idx="1">
                  <c:v>2257</c:v>
                </c:pt>
                <c:pt idx="2">
                  <c:v>2277</c:v>
                </c:pt>
                <c:pt idx="3">
                  <c:v>2306</c:v>
                </c:pt>
              </c:numCache>
            </c:numRef>
          </c:val>
          <c:smooth val="1"/>
        </c:ser>
        <c:ser>
          <c:idx val="1"/>
          <c:order val="1"/>
          <c:tx>
            <c:strRef>
              <c:f>DATA!$I$21</c:f>
              <c:strCache>
                <c:ptCount val="1"/>
                <c:pt idx="0">
                  <c:v>ustęp spłukiwany</c:v>
                </c:pt>
              </c:strCache>
            </c:strRef>
          </c:tx>
          <c:dLbls>
            <c:dLblPos val="b"/>
            <c:showVal val="1"/>
          </c:dLbls>
          <c:cat>
            <c:numRef>
              <c:f>DATA!$J$19:$M$19</c:f>
              <c:numCache>
                <c:formatCode>General</c:formatCode>
                <c:ptCount val="4"/>
                <c:pt idx="0">
                  <c:v>2010</c:v>
                </c:pt>
                <c:pt idx="1">
                  <c:v>2011</c:v>
                </c:pt>
                <c:pt idx="2">
                  <c:v>2012</c:v>
                </c:pt>
                <c:pt idx="3">
                  <c:v>2013</c:v>
                </c:pt>
              </c:numCache>
            </c:numRef>
          </c:cat>
          <c:val>
            <c:numRef>
              <c:f>DATA!$J$21:$M$21</c:f>
              <c:numCache>
                <c:formatCode>0</c:formatCode>
                <c:ptCount val="4"/>
                <c:pt idx="0">
                  <c:v>2177</c:v>
                </c:pt>
                <c:pt idx="1">
                  <c:v>2188</c:v>
                </c:pt>
                <c:pt idx="2">
                  <c:v>2208</c:v>
                </c:pt>
                <c:pt idx="3">
                  <c:v>2237</c:v>
                </c:pt>
              </c:numCache>
            </c:numRef>
          </c:val>
          <c:smooth val="1"/>
        </c:ser>
        <c:ser>
          <c:idx val="2"/>
          <c:order val="2"/>
          <c:tx>
            <c:strRef>
              <c:f>DATA!$I$22</c:f>
              <c:strCache>
                <c:ptCount val="1"/>
                <c:pt idx="0">
                  <c:v>łazienka</c:v>
                </c:pt>
              </c:strCache>
            </c:strRef>
          </c:tx>
          <c:dLbls>
            <c:dLblPos val="b"/>
            <c:showVal val="1"/>
          </c:dLbls>
          <c:cat>
            <c:numRef>
              <c:f>DATA!$J$19:$M$19</c:f>
              <c:numCache>
                <c:formatCode>General</c:formatCode>
                <c:ptCount val="4"/>
                <c:pt idx="0">
                  <c:v>2010</c:v>
                </c:pt>
                <c:pt idx="1">
                  <c:v>2011</c:v>
                </c:pt>
                <c:pt idx="2">
                  <c:v>2012</c:v>
                </c:pt>
                <c:pt idx="3">
                  <c:v>2013</c:v>
                </c:pt>
              </c:numCache>
            </c:numRef>
          </c:cat>
          <c:val>
            <c:numRef>
              <c:f>DATA!$J$22:$M$22</c:f>
              <c:numCache>
                <c:formatCode>0</c:formatCode>
                <c:ptCount val="4"/>
                <c:pt idx="0">
                  <c:v>2126</c:v>
                </c:pt>
                <c:pt idx="1">
                  <c:v>2137</c:v>
                </c:pt>
                <c:pt idx="2">
                  <c:v>2157</c:v>
                </c:pt>
                <c:pt idx="3">
                  <c:v>2179</c:v>
                </c:pt>
              </c:numCache>
            </c:numRef>
          </c:val>
          <c:smooth val="1"/>
        </c:ser>
        <c:ser>
          <c:idx val="3"/>
          <c:order val="3"/>
          <c:tx>
            <c:strRef>
              <c:f>DATA!$I$23</c:f>
              <c:strCache>
                <c:ptCount val="1"/>
                <c:pt idx="0">
                  <c:v>centralne ogrzewanie</c:v>
                </c:pt>
              </c:strCache>
            </c:strRef>
          </c:tx>
          <c:dLbls>
            <c:dLblPos val="b"/>
            <c:showVal val="1"/>
          </c:dLbls>
          <c:cat>
            <c:numRef>
              <c:f>DATA!$J$19:$M$19</c:f>
              <c:numCache>
                <c:formatCode>General</c:formatCode>
                <c:ptCount val="4"/>
                <c:pt idx="0">
                  <c:v>2010</c:v>
                </c:pt>
                <c:pt idx="1">
                  <c:v>2011</c:v>
                </c:pt>
                <c:pt idx="2">
                  <c:v>2012</c:v>
                </c:pt>
                <c:pt idx="3">
                  <c:v>2013</c:v>
                </c:pt>
              </c:numCache>
            </c:numRef>
          </c:cat>
          <c:val>
            <c:numRef>
              <c:f>DATA!$J$23:$M$23</c:f>
              <c:numCache>
                <c:formatCode>0</c:formatCode>
                <c:ptCount val="4"/>
                <c:pt idx="0">
                  <c:v>1749</c:v>
                </c:pt>
                <c:pt idx="1">
                  <c:v>1760</c:v>
                </c:pt>
                <c:pt idx="2">
                  <c:v>1780</c:v>
                </c:pt>
                <c:pt idx="3">
                  <c:v>1802</c:v>
                </c:pt>
              </c:numCache>
            </c:numRef>
          </c:val>
          <c:smooth val="1"/>
        </c:ser>
        <c:marker val="1"/>
        <c:axId val="72846720"/>
        <c:axId val="72979584"/>
      </c:lineChart>
      <c:catAx>
        <c:axId val="72846720"/>
        <c:scaling>
          <c:orientation val="minMax"/>
        </c:scaling>
        <c:axPos val="b"/>
        <c:numFmt formatCode="General" sourceLinked="1"/>
        <c:majorTickMark val="none"/>
        <c:tickLblPos val="nextTo"/>
        <c:crossAx val="72979584"/>
        <c:crosses val="autoZero"/>
        <c:auto val="1"/>
        <c:lblAlgn val="ctr"/>
        <c:lblOffset val="100"/>
      </c:catAx>
      <c:valAx>
        <c:axId val="72979584"/>
        <c:scaling>
          <c:orientation val="minMax"/>
        </c:scaling>
        <c:axPos val="l"/>
        <c:majorGridlines/>
        <c:numFmt formatCode="0" sourceLinked="1"/>
        <c:majorTickMark val="none"/>
        <c:tickLblPos val="nextTo"/>
        <c:crossAx val="72846720"/>
        <c:crosses val="autoZero"/>
        <c:crossBetween val="between"/>
      </c:valAx>
    </c:plotArea>
    <c:legend>
      <c:legendPos val="r"/>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DATA!$I$26</c:f>
              <c:strCache>
                <c:ptCount val="1"/>
                <c:pt idx="0">
                  <c:v>powierzchnia użytkowa mieszkań</c:v>
                </c:pt>
              </c:strCache>
            </c:strRef>
          </c:tx>
          <c:dLbls>
            <c:txPr>
              <a:bodyPr/>
              <a:lstStyle/>
              <a:p>
                <a:pPr>
                  <a:defRPr b="1"/>
                </a:pPr>
                <a:endParaRPr lang="pl-PL"/>
              </a:p>
            </c:txPr>
            <c:showVal val="1"/>
          </c:dLbls>
          <c:cat>
            <c:numRef>
              <c:f>DATA!$J$25:$M$25</c:f>
              <c:numCache>
                <c:formatCode>General</c:formatCode>
                <c:ptCount val="4"/>
                <c:pt idx="0">
                  <c:v>2010</c:v>
                </c:pt>
                <c:pt idx="1">
                  <c:v>2011</c:v>
                </c:pt>
                <c:pt idx="2">
                  <c:v>2012</c:v>
                </c:pt>
                <c:pt idx="3">
                  <c:v>2013</c:v>
                </c:pt>
              </c:numCache>
            </c:numRef>
          </c:cat>
          <c:val>
            <c:numRef>
              <c:f>DATA!$J$26:$M$26</c:f>
              <c:numCache>
                <c:formatCode>0</c:formatCode>
                <c:ptCount val="4"/>
                <c:pt idx="0">
                  <c:v>191619</c:v>
                </c:pt>
                <c:pt idx="1">
                  <c:v>193053</c:v>
                </c:pt>
                <c:pt idx="2">
                  <c:v>195575</c:v>
                </c:pt>
                <c:pt idx="3">
                  <c:v>198750</c:v>
                </c:pt>
              </c:numCache>
            </c:numRef>
          </c:val>
        </c:ser>
        <c:axId val="73000832"/>
        <c:axId val="73002368"/>
      </c:barChart>
      <c:catAx>
        <c:axId val="73000832"/>
        <c:scaling>
          <c:orientation val="minMax"/>
        </c:scaling>
        <c:axPos val="b"/>
        <c:numFmt formatCode="General" sourceLinked="1"/>
        <c:tickLblPos val="nextTo"/>
        <c:crossAx val="73002368"/>
        <c:crosses val="autoZero"/>
        <c:auto val="1"/>
        <c:lblAlgn val="ctr"/>
        <c:lblOffset val="100"/>
      </c:catAx>
      <c:valAx>
        <c:axId val="73002368"/>
        <c:scaling>
          <c:orientation val="minMax"/>
        </c:scaling>
        <c:axPos val="l"/>
        <c:majorGridlines/>
        <c:numFmt formatCode="0" sourceLinked="1"/>
        <c:tickLblPos val="nextTo"/>
        <c:crossAx val="73000832"/>
        <c:crosses val="autoZero"/>
        <c:crossBetween val="between"/>
      </c:valAx>
    </c:plotArea>
    <c:legend>
      <c:legendPos val="b"/>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a:t> </a:t>
            </a:r>
          </a:p>
        </c:rich>
      </c:tx>
      <c:layout/>
    </c:title>
    <c:plotArea>
      <c:layout/>
      <c:barChart>
        <c:barDir val="col"/>
        <c:grouping val="clustered"/>
        <c:ser>
          <c:idx val="0"/>
          <c:order val="0"/>
          <c:tx>
            <c:strRef>
              <c:f>DATA!$I$3</c:f>
              <c:strCache>
                <c:ptCount val="1"/>
                <c:pt idx="0">
                  <c:v>mieszkania </c:v>
                </c:pt>
              </c:strCache>
            </c:strRef>
          </c:tx>
          <c:dLbls>
            <c:txPr>
              <a:bodyPr/>
              <a:lstStyle/>
              <a:p>
                <a:pPr>
                  <a:defRPr b="1"/>
                </a:pPr>
                <a:endParaRPr lang="pl-PL"/>
              </a:p>
            </c:txPr>
            <c:showVal val="1"/>
          </c:dLbls>
          <c:cat>
            <c:numRef>
              <c:f>DATA!$J$2:$M$2</c:f>
              <c:numCache>
                <c:formatCode>General</c:formatCode>
                <c:ptCount val="4"/>
                <c:pt idx="0">
                  <c:v>2010</c:v>
                </c:pt>
                <c:pt idx="1">
                  <c:v>2011</c:v>
                </c:pt>
                <c:pt idx="2">
                  <c:v>2012</c:v>
                </c:pt>
                <c:pt idx="3">
                  <c:v>2013</c:v>
                </c:pt>
              </c:numCache>
            </c:numRef>
          </c:cat>
          <c:val>
            <c:numRef>
              <c:f>DATA!$J$3:$M$3</c:f>
              <c:numCache>
                <c:formatCode>0</c:formatCode>
                <c:ptCount val="4"/>
                <c:pt idx="0">
                  <c:v>2308</c:v>
                </c:pt>
                <c:pt idx="1">
                  <c:v>2319</c:v>
                </c:pt>
                <c:pt idx="2">
                  <c:v>2339</c:v>
                </c:pt>
                <c:pt idx="3">
                  <c:v>2361</c:v>
                </c:pt>
              </c:numCache>
            </c:numRef>
          </c:val>
        </c:ser>
        <c:axId val="73133056"/>
        <c:axId val="75789056"/>
      </c:barChart>
      <c:catAx>
        <c:axId val="73133056"/>
        <c:scaling>
          <c:orientation val="minMax"/>
        </c:scaling>
        <c:axPos val="b"/>
        <c:numFmt formatCode="General" sourceLinked="1"/>
        <c:tickLblPos val="nextTo"/>
        <c:crossAx val="75789056"/>
        <c:crosses val="autoZero"/>
        <c:auto val="1"/>
        <c:lblAlgn val="ctr"/>
        <c:lblOffset val="100"/>
      </c:catAx>
      <c:valAx>
        <c:axId val="75789056"/>
        <c:scaling>
          <c:orientation val="minMax"/>
        </c:scaling>
        <c:axPos val="l"/>
        <c:majorGridlines/>
        <c:numFmt formatCode="0" sourceLinked="1"/>
        <c:tickLblPos val="nextTo"/>
        <c:crossAx val="73133056"/>
        <c:crosses val="autoZero"/>
        <c:crossBetween val="between"/>
      </c:valAx>
    </c:plotArea>
    <c:legend>
      <c:legendPos val="b"/>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view3D>
      <c:rotX val="30"/>
      <c:perspective val="30"/>
    </c:view3D>
    <c:plotArea>
      <c:layout/>
      <c:pie3DChart>
        <c:varyColors val="1"/>
        <c:ser>
          <c:idx val="0"/>
          <c:order val="0"/>
          <c:tx>
            <c:strRef>
              <c:f>Arkusz1!$B$1</c:f>
              <c:strCache>
                <c:ptCount val="1"/>
                <c:pt idx="0">
                  <c:v>Procentowy udział poszczególnych nośników energii</c:v>
                </c:pt>
              </c:strCache>
            </c:strRef>
          </c:tx>
          <c:explosion val="25"/>
          <c:dLbls>
            <c:txPr>
              <a:bodyPr/>
              <a:lstStyle/>
              <a:p>
                <a:pPr>
                  <a:defRPr b="1"/>
                </a:pPr>
                <a:endParaRPr lang="pl-PL"/>
              </a:p>
            </c:txPr>
            <c:showVal val="1"/>
            <c:showLeaderLines val="1"/>
          </c:dLbls>
          <c:cat>
            <c:strRef>
              <c:f>Arkusz1!$A$2:$A$5</c:f>
              <c:strCache>
                <c:ptCount val="4"/>
                <c:pt idx="0">
                  <c:v>energia elektryczna</c:v>
                </c:pt>
                <c:pt idx="1">
                  <c:v>węgiel kamienny</c:v>
                </c:pt>
                <c:pt idx="2">
                  <c:v>olej napędowy</c:v>
                </c:pt>
                <c:pt idx="3">
                  <c:v>biomasa</c:v>
                </c:pt>
              </c:strCache>
            </c:strRef>
          </c:cat>
          <c:val>
            <c:numRef>
              <c:f>Arkusz1!$B$2:$B$5</c:f>
              <c:numCache>
                <c:formatCode>0.00%</c:formatCode>
                <c:ptCount val="4"/>
                <c:pt idx="0">
                  <c:v>0.10009999999999998</c:v>
                </c:pt>
                <c:pt idx="1">
                  <c:v>0.67120000000000246</c:v>
                </c:pt>
                <c:pt idx="2">
                  <c:v>0</c:v>
                </c:pt>
                <c:pt idx="3">
                  <c:v>0.22869999999999999</c:v>
                </c:pt>
              </c:numCache>
            </c:numRef>
          </c:val>
        </c:ser>
      </c:pie3DChart>
    </c:plotArea>
    <c:legend>
      <c:legendPos val="r"/>
      <c:layout/>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Times New Roman" panose="02020603050405020304" pitchFamily="18" charset="0"/>
                <a:cs typeface="Times New Roman" panose="02020603050405020304" pitchFamily="18" charset="0"/>
              </a:defRPr>
            </a:pPr>
            <a:r>
              <a:rPr lang="pl-PL">
                <a:latin typeface="+mn-lt"/>
              </a:rPr>
              <a:t>Procentowy udział zużycia energii  na cele ciepłownicze</a:t>
            </a:r>
            <a:r>
              <a:rPr lang="pl-PL"/>
              <a:t>
</a:t>
            </a:r>
          </a:p>
        </c:rich>
      </c:tx>
      <c:layout/>
    </c:title>
    <c:view3D>
      <c:rotX val="30"/>
      <c:perspective val="30"/>
    </c:view3D>
    <c:plotArea>
      <c:layout/>
      <c:pie3DChart>
        <c:varyColors val="1"/>
        <c:ser>
          <c:idx val="0"/>
          <c:order val="0"/>
          <c:tx>
            <c:strRef>
              <c:f>'dom jed'!$X$16</c:f>
              <c:strCache>
                <c:ptCount val="1"/>
                <c:pt idx="0">
                  <c:v>Procentowy udział zużycia energii  na cele ciepłownicze
</c:v>
                </c:pt>
              </c:strCache>
            </c:strRef>
          </c:tx>
          <c:explosion val="25"/>
          <c:dLbls>
            <c:numFmt formatCode="0.00%" sourceLinked="0"/>
            <c:txPr>
              <a:bodyPr/>
              <a:lstStyle/>
              <a:p>
                <a:pPr>
                  <a:defRPr sz="1000" b="1">
                    <a:latin typeface="+mn-lt"/>
                    <a:cs typeface="Times New Roman" panose="02020603050405020304" pitchFamily="18" charset="0"/>
                  </a:defRPr>
                </a:pPr>
                <a:endParaRPr lang="pl-PL"/>
              </a:p>
            </c:txPr>
            <c:showPercent val="1"/>
            <c:showLeaderLines val="1"/>
          </c:dLbls>
          <c:cat>
            <c:strRef>
              <c:f>'dom jed'!$V$17:$V$20</c:f>
              <c:strCache>
                <c:ptCount val="4"/>
                <c:pt idx="0">
                  <c:v>Węgiel kamienny</c:v>
                </c:pt>
                <c:pt idx="1">
                  <c:v>Węgiel brunatny</c:v>
                </c:pt>
                <c:pt idx="2">
                  <c:v>biomasa</c:v>
                </c:pt>
                <c:pt idx="3">
                  <c:v>Olej opałowy</c:v>
                </c:pt>
              </c:strCache>
            </c:strRef>
          </c:cat>
          <c:val>
            <c:numRef>
              <c:f>'dom jed'!$X$17:$X$20</c:f>
              <c:numCache>
                <c:formatCode>0.00%</c:formatCode>
                <c:ptCount val="4"/>
                <c:pt idx="0">
                  <c:v>0.54256512789067157</c:v>
                </c:pt>
                <c:pt idx="1">
                  <c:v>0</c:v>
                </c:pt>
                <c:pt idx="2">
                  <c:v>0.45743384255052788</c:v>
                </c:pt>
                <c:pt idx="3">
                  <c:v>1.0295587980159201E-6</c:v>
                </c:pt>
              </c:numCache>
            </c:numRef>
          </c:val>
        </c:ser>
        <c:dLbls>
          <c:showPercent val="1"/>
        </c:dLbls>
      </c:pie3DChart>
    </c:plotArea>
    <c:legend>
      <c:legendPos val="t"/>
      <c:layout/>
      <c:txPr>
        <a:bodyPr/>
        <a:lstStyle/>
        <a:p>
          <a:pPr rtl="0">
            <a:defRPr>
              <a:latin typeface="+mn-lt"/>
              <a:cs typeface="Times New Roman" panose="02020603050405020304" pitchFamily="18" charset="0"/>
            </a:defRPr>
          </a:pPr>
          <a:endParaRPr lang="pl-PL"/>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col"/>
        <c:grouping val="clustered"/>
        <c:ser>
          <c:idx val="0"/>
          <c:order val="0"/>
          <c:tx>
            <c:v>Liczba gospodarstw rolnych</c:v>
          </c:tx>
          <c:dLbls>
            <c:dLbl>
              <c:idx val="0"/>
              <c:layout>
                <c:manualLayout>
                  <c:x val="0"/>
                  <c:y val="2.7151778441487952E-2"/>
                </c:manualLayout>
              </c:layout>
              <c:showVal val="1"/>
            </c:dLbl>
            <c:showVal val="1"/>
          </c:dLbls>
          <c:cat>
            <c:strRef>
              <c:f>DATA!$H$126:$H$133</c:f>
              <c:strCache>
                <c:ptCount val="8"/>
                <c:pt idx="0">
                  <c:v>pod zasiewami</c:v>
                </c:pt>
                <c:pt idx="1">
                  <c:v>grunty ugorowane</c:v>
                </c:pt>
                <c:pt idx="2">
                  <c:v>ogrody przydomowe</c:v>
                </c:pt>
                <c:pt idx="3">
                  <c:v>łąki trwałe</c:v>
                </c:pt>
                <c:pt idx="4">
                  <c:v>pastwiska trwałe</c:v>
                </c:pt>
                <c:pt idx="5">
                  <c:v>pozostałe użytki rolne</c:v>
                </c:pt>
                <c:pt idx="6">
                  <c:v>lasy i grunty leśne</c:v>
                </c:pt>
                <c:pt idx="7">
                  <c:v>pozostałe grunty</c:v>
                </c:pt>
              </c:strCache>
            </c:strRef>
          </c:cat>
          <c:val>
            <c:numRef>
              <c:f>DATA!$I$126:$I$133</c:f>
              <c:numCache>
                <c:formatCode>0</c:formatCode>
                <c:ptCount val="8"/>
                <c:pt idx="0">
                  <c:v>159</c:v>
                </c:pt>
                <c:pt idx="1">
                  <c:v>15</c:v>
                </c:pt>
                <c:pt idx="2">
                  <c:v>6</c:v>
                </c:pt>
                <c:pt idx="3">
                  <c:v>140</c:v>
                </c:pt>
                <c:pt idx="4">
                  <c:v>23</c:v>
                </c:pt>
                <c:pt idx="5">
                  <c:v>58</c:v>
                </c:pt>
                <c:pt idx="6">
                  <c:v>66</c:v>
                </c:pt>
                <c:pt idx="7">
                  <c:v>160</c:v>
                </c:pt>
              </c:numCache>
            </c:numRef>
          </c:val>
        </c:ser>
        <c:axId val="85000576"/>
        <c:axId val="85002496"/>
      </c:barChart>
      <c:catAx>
        <c:axId val="85000576"/>
        <c:scaling>
          <c:orientation val="minMax"/>
        </c:scaling>
        <c:axPos val="b"/>
        <c:tickLblPos val="nextTo"/>
        <c:crossAx val="85002496"/>
        <c:crosses val="autoZero"/>
        <c:auto val="1"/>
        <c:lblAlgn val="ctr"/>
        <c:lblOffset val="100"/>
      </c:catAx>
      <c:valAx>
        <c:axId val="85002496"/>
        <c:scaling>
          <c:orientation val="minMax"/>
        </c:scaling>
        <c:axPos val="l"/>
        <c:majorGridlines/>
        <c:numFmt formatCode="0" sourceLinked="1"/>
        <c:tickLblPos val="nextTo"/>
        <c:crossAx val="85000576"/>
        <c:crosses val="autoZero"/>
        <c:crossBetween val="between"/>
      </c:valAx>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view3D>
      <c:rotX val="30"/>
      <c:perspective val="30"/>
    </c:view3D>
    <c:plotArea>
      <c:layout/>
      <c:pie3DChart>
        <c:varyColors val="1"/>
        <c:ser>
          <c:idx val="0"/>
          <c:order val="0"/>
          <c:tx>
            <c:strRef>
              <c:f>Arkusz1!$B$1</c:f>
              <c:strCache>
                <c:ptCount val="1"/>
                <c:pt idx="0">
                  <c:v>Procentowy udział wielkości emisji CO2</c:v>
                </c:pt>
              </c:strCache>
            </c:strRef>
          </c:tx>
          <c:explosion val="25"/>
          <c:dLbls>
            <c:txPr>
              <a:bodyPr/>
              <a:lstStyle/>
              <a:p>
                <a:pPr>
                  <a:defRPr b="1"/>
                </a:pPr>
                <a:endParaRPr lang="pl-PL"/>
              </a:p>
            </c:txPr>
            <c:showVal val="1"/>
            <c:showLeaderLines val="1"/>
          </c:dLbls>
          <c:cat>
            <c:strRef>
              <c:f>Arkusz1!$A$2:$A$3</c:f>
              <c:strCache>
                <c:ptCount val="2"/>
                <c:pt idx="0">
                  <c:v>energia elektryczna</c:v>
                </c:pt>
                <c:pt idx="1">
                  <c:v>węgiel kamienny</c:v>
                </c:pt>
              </c:strCache>
            </c:strRef>
          </c:cat>
          <c:val>
            <c:numRef>
              <c:f>Arkusz1!$B$2:$B$3</c:f>
              <c:numCache>
                <c:formatCode>0.00%</c:formatCode>
                <c:ptCount val="2"/>
                <c:pt idx="0">
                  <c:v>0.26220000000000004</c:v>
                </c:pt>
                <c:pt idx="1">
                  <c:v>0.73780000000000245</c:v>
                </c:pt>
              </c:numCache>
            </c:numRef>
          </c:val>
        </c:ser>
      </c:pie3DChart>
    </c:plotArea>
    <c:legend>
      <c:legendPos val="r"/>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pl-PL"/>
  <c:chart>
    <c:title>
      <c:layout/>
      <c:txPr>
        <a:bodyPr/>
        <a:lstStyle/>
        <a:p>
          <a:pPr>
            <a:defRPr sz="1200"/>
          </a:pPr>
          <a:endParaRPr lang="pl-PL"/>
        </a:p>
      </c:txPr>
    </c:title>
    <c:plotArea>
      <c:layout/>
      <c:pieChart>
        <c:varyColors val="1"/>
        <c:ser>
          <c:idx val="0"/>
          <c:order val="0"/>
          <c:tx>
            <c:strRef>
              <c:f>Arkusz1!$B$1</c:f>
              <c:strCache>
                <c:ptCount val="1"/>
                <c:pt idx="0">
                  <c:v>Procentowy udział poszczególnych nośników energii w 2009r</c:v>
                </c:pt>
              </c:strCache>
            </c:strRef>
          </c:tx>
          <c:explosion val="25"/>
          <c:dLbls>
            <c:txPr>
              <a:bodyPr/>
              <a:lstStyle/>
              <a:p>
                <a:pPr>
                  <a:defRPr b="1"/>
                </a:pPr>
                <a:endParaRPr lang="pl-PL"/>
              </a:p>
            </c:txPr>
            <c:showCatName val="1"/>
            <c:showPercent val="1"/>
            <c:showLeaderLines val="1"/>
          </c:dLbls>
          <c:cat>
            <c:strRef>
              <c:f>Arkusz1!$A$2:$A$4</c:f>
              <c:strCache>
                <c:ptCount val="3"/>
                <c:pt idx="0">
                  <c:v>Energia elektryczna</c:v>
                </c:pt>
                <c:pt idx="1">
                  <c:v>Węgiel kamienny</c:v>
                </c:pt>
                <c:pt idx="2">
                  <c:v>Olej opałowy</c:v>
                </c:pt>
              </c:strCache>
            </c:strRef>
          </c:cat>
          <c:val>
            <c:numRef>
              <c:f>Arkusz1!$B$2:$B$4</c:f>
              <c:numCache>
                <c:formatCode>0.00%</c:formatCode>
                <c:ptCount val="3"/>
                <c:pt idx="0">
                  <c:v>0.31420000000000031</c:v>
                </c:pt>
                <c:pt idx="1">
                  <c:v>0.5917</c:v>
                </c:pt>
                <c:pt idx="2">
                  <c:v>9.4000000000000028E-2</c:v>
                </c:pt>
              </c:numCache>
            </c:numRef>
          </c:val>
        </c:ser>
        <c:dLbls>
          <c:showCatName val="1"/>
          <c:showPercent val="1"/>
        </c:dLbls>
        <c:firstSliceAng val="0"/>
      </c:pieChart>
    </c:plotArea>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plotArea>
      <c:layout/>
      <c:pieChart>
        <c:varyColors val="1"/>
        <c:ser>
          <c:idx val="0"/>
          <c:order val="0"/>
          <c:tx>
            <c:strRef>
              <c:f>Arkusz1!$B$1</c:f>
              <c:strCache>
                <c:ptCount val="1"/>
                <c:pt idx="0">
                  <c:v>Procentowy udział poszczególnych nośników energii w 2014r</c:v>
                </c:pt>
              </c:strCache>
            </c:strRef>
          </c:tx>
          <c:explosion val="25"/>
          <c:dLbls>
            <c:txPr>
              <a:bodyPr/>
              <a:lstStyle/>
              <a:p>
                <a:pPr>
                  <a:defRPr b="1"/>
                </a:pPr>
                <a:endParaRPr lang="pl-PL"/>
              </a:p>
            </c:txPr>
            <c:showCatName val="1"/>
            <c:showPercent val="1"/>
            <c:showLeaderLines val="1"/>
          </c:dLbls>
          <c:cat>
            <c:strRef>
              <c:f>Arkusz1!$A$2:$A$4</c:f>
              <c:strCache>
                <c:ptCount val="3"/>
                <c:pt idx="0">
                  <c:v>Energia elektryczna</c:v>
                </c:pt>
                <c:pt idx="1">
                  <c:v>Węgiel kamienny</c:v>
                </c:pt>
                <c:pt idx="2">
                  <c:v>Olej opałowy</c:v>
                </c:pt>
              </c:strCache>
            </c:strRef>
          </c:cat>
          <c:val>
            <c:numRef>
              <c:f>Arkusz1!$B$2:$B$4</c:f>
              <c:numCache>
                <c:formatCode>0.00%</c:formatCode>
                <c:ptCount val="3"/>
                <c:pt idx="0">
                  <c:v>0.25590000000000002</c:v>
                </c:pt>
                <c:pt idx="1">
                  <c:v>0.67760000000000387</c:v>
                </c:pt>
                <c:pt idx="2">
                  <c:v>6.6500000000000004E-2</c:v>
                </c:pt>
              </c:numCache>
            </c:numRef>
          </c:val>
        </c:ser>
        <c:dLbls>
          <c:showCatName val="1"/>
          <c:showPercent val="1"/>
        </c:dLbls>
        <c:firstSliceAng val="0"/>
      </c:pieChart>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plotArea>
      <c:layout/>
      <c:pieChart>
        <c:varyColors val="1"/>
        <c:ser>
          <c:idx val="0"/>
          <c:order val="0"/>
          <c:tx>
            <c:strRef>
              <c:f>Arkusz1!$B$1</c:f>
              <c:strCache>
                <c:ptCount val="1"/>
                <c:pt idx="0">
                  <c:v>Procentowy udział wielkości źródła 
w emisji CO2 w 2009r.
</c:v>
                </c:pt>
              </c:strCache>
            </c:strRef>
          </c:tx>
          <c:dLbls>
            <c:numFmt formatCode="0.00%" sourceLinked="0"/>
            <c:txPr>
              <a:bodyPr/>
              <a:lstStyle/>
              <a:p>
                <a:pPr>
                  <a:defRPr b="1"/>
                </a:pPr>
                <a:endParaRPr lang="pl-PL"/>
              </a:p>
            </c:txPr>
            <c:showPercent val="1"/>
            <c:showLeaderLines val="1"/>
          </c:dLbls>
          <c:cat>
            <c:strRef>
              <c:f>Arkusz1!$A$2:$A$4</c:f>
              <c:strCache>
                <c:ptCount val="3"/>
                <c:pt idx="0">
                  <c:v>Energia elektryczna</c:v>
                </c:pt>
                <c:pt idx="1">
                  <c:v>Węgiel kamienny</c:v>
                </c:pt>
                <c:pt idx="2">
                  <c:v>Olej opałowy</c:v>
                </c:pt>
              </c:strCache>
            </c:strRef>
          </c:cat>
          <c:val>
            <c:numRef>
              <c:f>Arkusz1!$B$2:$B$4</c:f>
              <c:numCache>
                <c:formatCode>0.00%</c:formatCode>
                <c:ptCount val="3"/>
                <c:pt idx="0">
                  <c:v>0.80230000000000001</c:v>
                </c:pt>
                <c:pt idx="1">
                  <c:v>0.17600000000000021</c:v>
                </c:pt>
                <c:pt idx="2">
                  <c:v>2.1700000000000001E-2</c:v>
                </c:pt>
              </c:numCache>
            </c:numRef>
          </c:val>
        </c:ser>
        <c:dLbls>
          <c:showPercent val="1"/>
        </c:dLbls>
        <c:firstSliceAng val="0"/>
      </c:pieChart>
    </c:plotArea>
    <c:legend>
      <c:legendPos val="r"/>
      <c:layou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pl-PL"/>
  <c:chart>
    <c:title>
      <c:layout/>
    </c:title>
    <c:plotArea>
      <c:layout/>
      <c:barChart>
        <c:barDir val="col"/>
        <c:grouping val="clustered"/>
        <c:ser>
          <c:idx val="0"/>
          <c:order val="0"/>
          <c:tx>
            <c:strRef>
              <c:f>'oswietlenie uliczne'!$P$12</c:f>
              <c:strCache>
                <c:ptCount val="1"/>
                <c:pt idx="0">
                  <c:v>Emisja, Mg CO2/rok</c:v>
                </c:pt>
              </c:strCache>
            </c:strRef>
          </c:tx>
          <c:dLbls>
            <c:numFmt formatCode="#,##0.00" sourceLinked="0"/>
            <c:txPr>
              <a:bodyPr/>
              <a:lstStyle/>
              <a:p>
                <a:pPr>
                  <a:defRPr b="1"/>
                </a:pPr>
                <a:endParaRPr lang="pl-PL"/>
              </a:p>
            </c:txPr>
            <c:showVal val="1"/>
          </c:dLbls>
          <c:trendline>
            <c:trendlineType val="linear"/>
          </c:trendline>
          <c:cat>
            <c:numRef>
              <c:f>'oswietlenie uliczne'!$O$13:$O$14</c:f>
              <c:numCache>
                <c:formatCode>General</c:formatCode>
                <c:ptCount val="2"/>
                <c:pt idx="0">
                  <c:v>2009</c:v>
                </c:pt>
                <c:pt idx="1">
                  <c:v>2014</c:v>
                </c:pt>
              </c:numCache>
            </c:numRef>
          </c:cat>
          <c:val>
            <c:numRef>
              <c:f>'oswietlenie uliczne'!$P$13:$P$14</c:f>
              <c:numCache>
                <c:formatCode>General</c:formatCode>
                <c:ptCount val="2"/>
                <c:pt idx="0">
                  <c:v>228.56338399999999</c:v>
                </c:pt>
                <c:pt idx="1">
                  <c:v>154.24833200000003</c:v>
                </c:pt>
              </c:numCache>
            </c:numRef>
          </c:val>
        </c:ser>
        <c:axId val="88361216"/>
        <c:axId val="88375296"/>
      </c:barChart>
      <c:catAx>
        <c:axId val="88361216"/>
        <c:scaling>
          <c:orientation val="minMax"/>
        </c:scaling>
        <c:axPos val="b"/>
        <c:numFmt formatCode="General" sourceLinked="1"/>
        <c:tickLblPos val="nextTo"/>
        <c:crossAx val="88375296"/>
        <c:crosses val="autoZero"/>
        <c:auto val="1"/>
        <c:lblAlgn val="ctr"/>
        <c:lblOffset val="100"/>
      </c:catAx>
      <c:valAx>
        <c:axId val="88375296"/>
        <c:scaling>
          <c:orientation val="minMax"/>
        </c:scaling>
        <c:axPos val="l"/>
        <c:majorGridlines/>
        <c:numFmt formatCode="General" sourceLinked="1"/>
        <c:tickLblPos val="nextTo"/>
        <c:crossAx val="88361216"/>
        <c:crosses val="autoZero"/>
        <c:crossBetween val="between"/>
      </c:valAx>
    </c:plotArea>
    <c:legend>
      <c:legendPos val="r"/>
      <c:layout/>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pl-PL"/>
  <c:chart>
    <c:title>
      <c:layout/>
      <c:txPr>
        <a:bodyPr/>
        <a:lstStyle/>
        <a:p>
          <a:pPr>
            <a:defRPr sz="1200"/>
          </a:pPr>
          <a:endParaRPr lang="pl-PL"/>
        </a:p>
      </c:txPr>
    </c:title>
    <c:plotArea>
      <c:layout/>
      <c:pieChart>
        <c:varyColors val="1"/>
        <c:ser>
          <c:idx val="0"/>
          <c:order val="0"/>
          <c:tx>
            <c:strRef>
              <c:f>Arkusz1!$B$1</c:f>
              <c:strCache>
                <c:ptCount val="1"/>
                <c:pt idx="0">
                  <c:v>Procentowy udział poszczególnych nosników energii</c:v>
                </c:pt>
              </c:strCache>
            </c:strRef>
          </c:tx>
          <c:explosion val="25"/>
          <c:dLbls>
            <c:txPr>
              <a:bodyPr/>
              <a:lstStyle/>
              <a:p>
                <a:pPr>
                  <a:defRPr b="1"/>
                </a:pPr>
                <a:endParaRPr lang="pl-PL"/>
              </a:p>
            </c:txPr>
            <c:showVal val="1"/>
            <c:showLeaderLines val="1"/>
          </c:dLbls>
          <c:cat>
            <c:strRef>
              <c:f>Arkusz1!$A$2:$A$4</c:f>
              <c:strCache>
                <c:ptCount val="3"/>
                <c:pt idx="0">
                  <c:v>Olej napędowy</c:v>
                </c:pt>
                <c:pt idx="1">
                  <c:v>Benzyna</c:v>
                </c:pt>
                <c:pt idx="2">
                  <c:v>Gaz LPG</c:v>
                </c:pt>
              </c:strCache>
            </c:strRef>
          </c:cat>
          <c:val>
            <c:numRef>
              <c:f>Arkusz1!$B$2:$B$4</c:f>
              <c:numCache>
                <c:formatCode>0.00%</c:formatCode>
                <c:ptCount val="3"/>
                <c:pt idx="0">
                  <c:v>0.56899999999999995</c:v>
                </c:pt>
                <c:pt idx="1">
                  <c:v>0.32120000000000032</c:v>
                </c:pt>
                <c:pt idx="2">
                  <c:v>0.10979999999999999</c:v>
                </c:pt>
              </c:numCache>
            </c:numRef>
          </c:val>
        </c:ser>
        <c:firstSliceAng val="0"/>
      </c:pieChart>
    </c:plotArea>
    <c:legend>
      <c:legendPos val="r"/>
      <c:layout/>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plotArea>
      <c:layout/>
      <c:pieChart>
        <c:varyColors val="1"/>
        <c:ser>
          <c:idx val="0"/>
          <c:order val="0"/>
          <c:tx>
            <c:strRef>
              <c:f>Arkusz1!$B$1</c:f>
              <c:strCache>
                <c:ptCount val="1"/>
                <c:pt idx="0">
                  <c:v>Procentowy udział wielkości emisji CO2</c:v>
                </c:pt>
              </c:strCache>
            </c:strRef>
          </c:tx>
          <c:explosion val="25"/>
          <c:dLbls>
            <c:txPr>
              <a:bodyPr/>
              <a:lstStyle/>
              <a:p>
                <a:pPr>
                  <a:defRPr b="1"/>
                </a:pPr>
                <a:endParaRPr lang="pl-PL"/>
              </a:p>
            </c:txPr>
            <c:showVal val="1"/>
            <c:showLeaderLines val="1"/>
          </c:dLbls>
          <c:cat>
            <c:strRef>
              <c:f>Arkusz1!$A$2:$A$4</c:f>
              <c:strCache>
                <c:ptCount val="3"/>
                <c:pt idx="0">
                  <c:v>Olej opałowy</c:v>
                </c:pt>
                <c:pt idx="1">
                  <c:v>Benzyna</c:v>
                </c:pt>
                <c:pt idx="2">
                  <c:v>Gaz LPG</c:v>
                </c:pt>
              </c:strCache>
            </c:strRef>
          </c:cat>
          <c:val>
            <c:numRef>
              <c:f>Arkusz1!$B$2:$B$4</c:f>
              <c:numCache>
                <c:formatCode>0.00%</c:formatCode>
                <c:ptCount val="3"/>
                <c:pt idx="0">
                  <c:v>0.59699999999999998</c:v>
                </c:pt>
                <c:pt idx="1">
                  <c:v>0.31530000000000147</c:v>
                </c:pt>
                <c:pt idx="2">
                  <c:v>8.77E-2</c:v>
                </c:pt>
              </c:numCache>
            </c:numRef>
          </c:val>
        </c:ser>
        <c:firstSliceAng val="0"/>
      </c:pieChart>
    </c:plotArea>
    <c:legend>
      <c:legendPos val="r"/>
      <c:layout/>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pl-PL"/>
  <c:chart>
    <c:title>
      <c:layout/>
      <c:txPr>
        <a:bodyPr/>
        <a:lstStyle/>
        <a:p>
          <a:pPr>
            <a:defRPr sz="1200"/>
          </a:pPr>
          <a:endParaRPr lang="pl-PL"/>
        </a:p>
      </c:txPr>
    </c:title>
    <c:view3D>
      <c:rotX val="75"/>
      <c:perspective val="30"/>
    </c:view3D>
    <c:plotArea>
      <c:layout>
        <c:manualLayout>
          <c:layoutTarget val="inner"/>
          <c:xMode val="edge"/>
          <c:yMode val="edge"/>
          <c:x val="4.4838735137462032E-2"/>
          <c:y val="0.28978943176626681"/>
          <c:w val="0.93246740602556055"/>
          <c:h val="0.66065728364780063"/>
        </c:manualLayout>
      </c:layout>
      <c:pie3DChart>
        <c:varyColors val="1"/>
        <c:ser>
          <c:idx val="0"/>
          <c:order val="0"/>
          <c:tx>
            <c:strRef>
              <c:f>Arkusz1!$B$1</c:f>
              <c:strCache>
                <c:ptCount val="1"/>
                <c:pt idx="0">
                  <c:v>Procentowy udział zużycia energii w poszczególnych sektorach</c:v>
                </c:pt>
              </c:strCache>
            </c:strRef>
          </c:tx>
          <c:explosion val="25"/>
          <c:dLbls>
            <c:numFmt formatCode="0.00%" sourceLinked="0"/>
            <c:txPr>
              <a:bodyPr/>
              <a:lstStyle/>
              <a:p>
                <a:pPr>
                  <a:defRPr b="1"/>
                </a:pPr>
                <a:endParaRPr lang="pl-PL"/>
              </a:p>
            </c:txPr>
            <c:showPercent val="1"/>
            <c:showLeaderLines val="1"/>
          </c:dLbls>
          <c:cat>
            <c:strRef>
              <c:f>Arkusz1!$A$2:$A$6</c:f>
              <c:strCache>
                <c:ptCount val="5"/>
                <c:pt idx="0">
                  <c:v>budynki użyteczności publicznej</c:v>
                </c:pt>
                <c:pt idx="1">
                  <c:v>budynki jednorodzinne/mieszkalnictwo</c:v>
                </c:pt>
                <c:pt idx="2">
                  <c:v>oświetlenie uliczne</c:v>
                </c:pt>
                <c:pt idx="3">
                  <c:v>transport</c:v>
                </c:pt>
                <c:pt idx="4">
                  <c:v>przedsiębiorcy</c:v>
                </c:pt>
              </c:strCache>
            </c:strRef>
          </c:cat>
          <c:val>
            <c:numRef>
              <c:f>Arkusz1!$B$2:$B$6</c:f>
              <c:numCache>
                <c:formatCode>0.00%</c:formatCode>
                <c:ptCount val="5"/>
                <c:pt idx="0">
                  <c:v>3.0300000000000001E-2</c:v>
                </c:pt>
                <c:pt idx="1">
                  <c:v>0.71330000000000005</c:v>
                </c:pt>
                <c:pt idx="2">
                  <c:v>3.6000000000000129E-3</c:v>
                </c:pt>
                <c:pt idx="3">
                  <c:v>0.24620000000000059</c:v>
                </c:pt>
                <c:pt idx="4">
                  <c:v>6.6000000000000034E-3</c:v>
                </c:pt>
              </c:numCache>
            </c:numRef>
          </c:val>
        </c:ser>
        <c:dLbls>
          <c:showPercent val="1"/>
        </c:dLbls>
      </c:pie3DChart>
    </c:plotArea>
    <c:legend>
      <c:legendPos val="t"/>
      <c:layout/>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title>
      <c:layout/>
      <c:txPr>
        <a:bodyPr/>
        <a:lstStyle/>
        <a:p>
          <a:pPr>
            <a:defRPr sz="1200"/>
          </a:pPr>
          <a:endParaRPr lang="pl-PL"/>
        </a:p>
      </c:txPr>
    </c:title>
    <c:view3D>
      <c:rotX val="30"/>
      <c:perspective val="30"/>
    </c:view3D>
    <c:plotArea>
      <c:layout/>
      <c:pie3DChart>
        <c:varyColors val="1"/>
        <c:ser>
          <c:idx val="0"/>
          <c:order val="0"/>
          <c:tx>
            <c:strRef>
              <c:f>Arkusz1!$B$1</c:f>
              <c:strCache>
                <c:ptCount val="1"/>
                <c:pt idx="0">
                  <c:v>Procentowy udział wielkości emisji CO2w poszczególnych sektorach</c:v>
                </c:pt>
              </c:strCache>
            </c:strRef>
          </c:tx>
          <c:explosion val="25"/>
          <c:dLbls>
            <c:dLbl>
              <c:idx val="1"/>
              <c:layout/>
              <c:tx>
                <c:rich>
                  <a:bodyPr/>
                  <a:lstStyle/>
                  <a:p>
                    <a:r>
                      <a:rPr lang="en-US"/>
                      <a:t>78,3</a:t>
                    </a:r>
                    <a:r>
                      <a:rPr lang="pl-PL"/>
                      <a:t>9</a:t>
                    </a:r>
                    <a:r>
                      <a:rPr lang="en-US"/>
                      <a:t>%</a:t>
                    </a:r>
                  </a:p>
                </c:rich>
              </c:tx>
              <c:showPercent val="1"/>
            </c:dLbl>
            <c:numFmt formatCode="0.00%" sourceLinked="0"/>
            <c:txPr>
              <a:bodyPr/>
              <a:lstStyle/>
              <a:p>
                <a:pPr>
                  <a:defRPr b="1"/>
                </a:pPr>
                <a:endParaRPr lang="pl-PL"/>
              </a:p>
            </c:txPr>
            <c:showPercent val="1"/>
            <c:showLeaderLines val="1"/>
          </c:dLbls>
          <c:cat>
            <c:strRef>
              <c:f>Arkusz1!$A$2:$A$6</c:f>
              <c:strCache>
                <c:ptCount val="5"/>
                <c:pt idx="0">
                  <c:v>budynki użyteczności publicznej</c:v>
                </c:pt>
                <c:pt idx="1">
                  <c:v>budynki jednorodzinne/mieszkalnictwo</c:v>
                </c:pt>
                <c:pt idx="2">
                  <c:v>oświetlenie uliczne</c:v>
                </c:pt>
                <c:pt idx="3">
                  <c:v>transport</c:v>
                </c:pt>
                <c:pt idx="4">
                  <c:v>przedsiębiorcy</c:v>
                </c:pt>
              </c:strCache>
            </c:strRef>
          </c:cat>
          <c:val>
            <c:numRef>
              <c:f>Arkusz1!$B$2:$B$6</c:f>
              <c:numCache>
                <c:formatCode>0.00%</c:formatCode>
                <c:ptCount val="5"/>
                <c:pt idx="0">
                  <c:v>2.6400000000000052E-2</c:v>
                </c:pt>
                <c:pt idx="1">
                  <c:v>0.78390000000000004</c:v>
                </c:pt>
                <c:pt idx="2">
                  <c:v>8.0000000000000227E-3</c:v>
                </c:pt>
                <c:pt idx="3">
                  <c:v>0.16940000000000024</c:v>
                </c:pt>
                <c:pt idx="4">
                  <c:v>1.2400000000000001E-2</c:v>
                </c:pt>
              </c:numCache>
            </c:numRef>
          </c:val>
        </c:ser>
        <c:dLbls>
          <c:showPercent val="1"/>
        </c:dLbls>
      </c:pie3DChart>
    </c:plotArea>
    <c:legend>
      <c:legendPos val="t"/>
      <c:layout/>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mn-lt"/>
                <a:cs typeface="Times New Roman" panose="02020603050405020304" pitchFamily="18" charset="0"/>
              </a:defRPr>
            </a:pPr>
            <a:r>
              <a:rPr lang="pl-PL" sz="1100">
                <a:latin typeface="+mn-lt"/>
              </a:rPr>
              <a:t>Procentowy udział wielkości emisji CO</a:t>
            </a:r>
            <a:r>
              <a:rPr lang="pl-PL" sz="1100" baseline="-25000">
                <a:latin typeface="+mn-lt"/>
              </a:rPr>
              <a:t>2</a:t>
            </a:r>
          </a:p>
        </c:rich>
      </c:tx>
      <c:layout/>
    </c:title>
    <c:view3D>
      <c:rotX val="30"/>
      <c:rotY val="220"/>
      <c:perspective val="30"/>
    </c:view3D>
    <c:plotArea>
      <c:layout/>
      <c:pie3DChart>
        <c:varyColors val="1"/>
        <c:ser>
          <c:idx val="0"/>
          <c:order val="0"/>
          <c:tx>
            <c:strRef>
              <c:f>'tabele zbiorcze'!$G$80</c:f>
              <c:strCache>
                <c:ptCount val="1"/>
                <c:pt idx="0">
                  <c:v>Procentowy udział wielkości emisji CO2</c:v>
                </c:pt>
              </c:strCache>
            </c:strRef>
          </c:tx>
          <c:explosion val="14"/>
          <c:dPt>
            <c:idx val="0"/>
            <c:spPr>
              <a:solidFill>
                <a:srgbClr val="FFFF00"/>
              </a:solidFill>
            </c:spPr>
          </c:dPt>
          <c:dPt>
            <c:idx val="4"/>
            <c:spPr>
              <a:solidFill>
                <a:srgbClr val="FFFF00"/>
              </a:solidFill>
            </c:spPr>
          </c:dPt>
          <c:dPt>
            <c:idx val="5"/>
            <c:spPr>
              <a:solidFill>
                <a:schemeClr val="accent4">
                  <a:lumMod val="50000"/>
                </a:schemeClr>
              </a:solidFill>
              <a:ln w="25400" cap="flat" cmpd="sng" algn="ctr">
                <a:solidFill>
                  <a:schemeClr val="accent3"/>
                </a:solidFill>
                <a:prstDash val="solid"/>
              </a:ln>
              <a:effectLst/>
            </c:spPr>
          </c:dPt>
          <c:dPt>
            <c:idx val="6"/>
            <c:spPr>
              <a:solidFill>
                <a:schemeClr val="tx2">
                  <a:lumMod val="60000"/>
                  <a:lumOff val="40000"/>
                </a:schemeClr>
              </a:solidFill>
            </c:spPr>
          </c:dPt>
          <c:dLbls>
            <c:dLbl>
              <c:idx val="3"/>
              <c:delete val="1"/>
            </c:dLbl>
            <c:dLbl>
              <c:idx val="5"/>
              <c:layout/>
              <c:dLblPos val="bestFit"/>
              <c:showPercent val="1"/>
            </c:dLbl>
            <c:numFmt formatCode="0.00%" sourceLinked="0"/>
            <c:spPr>
              <a:noFill/>
            </c:spPr>
            <c:txPr>
              <a:bodyPr/>
              <a:lstStyle/>
              <a:p>
                <a:pPr>
                  <a:defRPr b="1"/>
                </a:pPr>
                <a:endParaRPr lang="pl-PL"/>
              </a:p>
            </c:txPr>
            <c:showPercent val="1"/>
            <c:showLeaderLines val="1"/>
          </c:dLbls>
          <c:cat>
            <c:strRef>
              <c:f>'tabele zbiorcze'!$C$102:$C$109</c:f>
              <c:strCache>
                <c:ptCount val="8"/>
                <c:pt idx="0">
                  <c:v>energia elektryczna</c:v>
                </c:pt>
                <c:pt idx="1">
                  <c:v>węgiel kamienny</c:v>
                </c:pt>
                <c:pt idx="2">
                  <c:v>olej opałowy</c:v>
                </c:pt>
                <c:pt idx="3">
                  <c:v>gaz ziemny</c:v>
                </c:pt>
                <c:pt idx="4">
                  <c:v>biomasa</c:v>
                </c:pt>
                <c:pt idx="5">
                  <c:v>benzyna</c:v>
                </c:pt>
                <c:pt idx="6">
                  <c:v>olej napędowy</c:v>
                </c:pt>
                <c:pt idx="7">
                  <c:v>gaz Lpg</c:v>
                </c:pt>
              </c:strCache>
            </c:strRef>
          </c:cat>
          <c:val>
            <c:numRef>
              <c:f>'tabele zbiorcze'!$G$102:$G$109</c:f>
              <c:numCache>
                <c:formatCode>0.00%</c:formatCode>
                <c:ptCount val="8"/>
                <c:pt idx="0">
                  <c:v>0.24672488833420594</c:v>
                </c:pt>
                <c:pt idx="1">
                  <c:v>0.58319266261339275</c:v>
                </c:pt>
                <c:pt idx="2">
                  <c:v>5.994731407738933E-4</c:v>
                </c:pt>
                <c:pt idx="3">
                  <c:v>5.774057580843108E-5</c:v>
                </c:pt>
                <c:pt idx="4">
                  <c:v>0</c:v>
                </c:pt>
                <c:pt idx="5">
                  <c:v>5.34192540858218E-2</c:v>
                </c:pt>
                <c:pt idx="6">
                  <c:v>0.10115066931571</c:v>
                </c:pt>
                <c:pt idx="7">
                  <c:v>1.4855311934287877E-2</c:v>
                </c:pt>
              </c:numCache>
            </c:numRef>
          </c:val>
        </c:ser>
        <c:dLbls>
          <c:showPercent val="1"/>
        </c:dLbls>
      </c:pie3DChart>
    </c:plotArea>
    <c:legend>
      <c:legendPos val="t"/>
      <c:legendEntry>
        <c:idx val="3"/>
        <c:delete val="1"/>
      </c:legendEntry>
      <c:layout/>
      <c:txPr>
        <a:bodyPr/>
        <a:lstStyle/>
        <a:p>
          <a:pPr>
            <a:defRPr sz="1000">
              <a:latin typeface="Times New Roman" panose="02020603050405020304" pitchFamily="18" charset="0"/>
              <a:cs typeface="Times New Roman" panose="02020603050405020304" pitchFamily="18" charset="0"/>
            </a:defRPr>
          </a:pPr>
          <a:endParaRPr lang="pl-PL"/>
        </a:p>
      </c:txP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v>Powierzchnia zasiewów</c:v>
          </c:tx>
          <c:explosion val="25"/>
          <c:dLbls>
            <c:showVal val="1"/>
            <c:showLeaderLines val="1"/>
          </c:dLbls>
          <c:cat>
            <c:strRef>
              <c:f>DATA!$A$216:$A$229</c:f>
              <c:strCache>
                <c:ptCount val="14"/>
                <c:pt idx="0">
                  <c:v>zboża podstawowe z mieszankami zbożowymi</c:v>
                </c:pt>
                <c:pt idx="1">
                  <c:v>pszenica ozima</c:v>
                </c:pt>
                <c:pt idx="2">
                  <c:v>pszenica jara</c:v>
                </c:pt>
                <c:pt idx="3">
                  <c:v>żyto</c:v>
                </c:pt>
                <c:pt idx="4">
                  <c:v>jęczmień ozimy</c:v>
                </c:pt>
                <c:pt idx="5">
                  <c:v>jęczmień jary</c:v>
                </c:pt>
                <c:pt idx="6">
                  <c:v>owies</c:v>
                </c:pt>
                <c:pt idx="7">
                  <c:v>pszenżyto ozime</c:v>
                </c:pt>
                <c:pt idx="8">
                  <c:v>pszenżyto jare</c:v>
                </c:pt>
                <c:pt idx="9">
                  <c:v>mieszanki zbożowe ozime</c:v>
                </c:pt>
                <c:pt idx="10">
                  <c:v>mieszanki zbożowe jare</c:v>
                </c:pt>
                <c:pt idx="11">
                  <c:v>kukurydza na ziarno</c:v>
                </c:pt>
                <c:pt idx="12">
                  <c:v>ziemniaki</c:v>
                </c:pt>
                <c:pt idx="13">
                  <c:v>strączkowe jadalne na ziarno razem</c:v>
                </c:pt>
              </c:strCache>
            </c:strRef>
          </c:cat>
          <c:val>
            <c:numRef>
              <c:f>DATA!$B$216:$B$229</c:f>
              <c:numCache>
                <c:formatCode>0.00</c:formatCode>
                <c:ptCount val="14"/>
                <c:pt idx="0">
                  <c:v>974.84999999999798</c:v>
                </c:pt>
                <c:pt idx="1">
                  <c:v>42.5</c:v>
                </c:pt>
                <c:pt idx="2">
                  <c:v>75.97</c:v>
                </c:pt>
                <c:pt idx="3">
                  <c:v>110.36</c:v>
                </c:pt>
                <c:pt idx="4">
                  <c:v>12.39</c:v>
                </c:pt>
                <c:pt idx="5">
                  <c:v>229.99</c:v>
                </c:pt>
                <c:pt idx="6">
                  <c:v>44.32</c:v>
                </c:pt>
                <c:pt idx="7">
                  <c:v>304.72000000000003</c:v>
                </c:pt>
                <c:pt idx="8">
                  <c:v>62.78</c:v>
                </c:pt>
                <c:pt idx="9">
                  <c:v>9.48</c:v>
                </c:pt>
                <c:pt idx="10">
                  <c:v>82.34</c:v>
                </c:pt>
                <c:pt idx="11">
                  <c:v>1.24</c:v>
                </c:pt>
                <c:pt idx="12">
                  <c:v>32.130000000000003</c:v>
                </c:pt>
                <c:pt idx="13">
                  <c:v>4.33</c:v>
                </c:pt>
              </c:numCache>
            </c:numRef>
          </c:val>
        </c:ser>
        <c:firstSliceAng val="0"/>
      </c:pieChart>
    </c:plotArea>
    <c:legend>
      <c:legendPos val="b"/>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pieChart>
        <c:varyColors val="1"/>
        <c:ser>
          <c:idx val="0"/>
          <c:order val="0"/>
          <c:explosion val="25"/>
          <c:dLbls>
            <c:dLbl>
              <c:idx val="0"/>
              <c:layout>
                <c:manualLayout>
                  <c:x val="-6.7142481225837644E-2"/>
                  <c:y val="1.234787810906687E-2"/>
                </c:manualLayout>
              </c:layout>
              <c:showVal val="1"/>
            </c:dLbl>
            <c:dLbl>
              <c:idx val="1"/>
              <c:layout>
                <c:manualLayout>
                  <c:x val="6.1295872720280045E-2"/>
                  <c:y val="1.469861254489719E-2"/>
                </c:manualLayout>
              </c:layout>
              <c:showVal val="1"/>
            </c:dLbl>
            <c:dLbl>
              <c:idx val="2"/>
              <c:layout>
                <c:manualLayout>
                  <c:x val="0.15475429967141296"/>
                  <c:y val="-1.3796732991923558E-2"/>
                </c:manualLayout>
              </c:layout>
              <c:showVal val="1"/>
            </c:dLbl>
            <c:showVal val="1"/>
            <c:showLeaderLines val="1"/>
          </c:dLbls>
          <c:cat>
            <c:strRef>
              <c:f>DATA!$H$251:$H$253</c:f>
              <c:strCache>
                <c:ptCount val="3"/>
                <c:pt idx="0">
                  <c:v>BYDŁO OGÓŁEM</c:v>
                </c:pt>
                <c:pt idx="1">
                  <c:v>TRZODA CHLEWNA OGÓŁEM</c:v>
                </c:pt>
                <c:pt idx="2">
                  <c:v>DRÓB OGÓŁEM</c:v>
                </c:pt>
              </c:strCache>
            </c:strRef>
          </c:cat>
          <c:val>
            <c:numRef>
              <c:f>DATA!$I$251:$I$253</c:f>
              <c:numCache>
                <c:formatCode>General</c:formatCode>
                <c:ptCount val="3"/>
                <c:pt idx="0">
                  <c:v>392</c:v>
                </c:pt>
                <c:pt idx="1">
                  <c:v>3270</c:v>
                </c:pt>
                <c:pt idx="2">
                  <c:v>87117</c:v>
                </c:pt>
              </c:numCache>
            </c:numRef>
          </c:val>
        </c:ser>
        <c:firstSliceAng val="0"/>
      </c:pieChart>
    </c:plotArea>
    <c:legend>
      <c:legendPos val="r"/>
      <c:legendEntry>
        <c:idx val="2"/>
        <c:txPr>
          <a:bodyPr/>
          <a:lstStyle/>
          <a:p>
            <a:pPr>
              <a:defRPr sz="900"/>
            </a:pPr>
            <a:endParaRPr lang="pl-PL"/>
          </a:p>
        </c:txPr>
      </c:legendEntry>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autoTitleDeleted val="1"/>
    <c:plotArea>
      <c:layout/>
      <c:barChart>
        <c:barDir val="col"/>
        <c:grouping val="clustered"/>
        <c:ser>
          <c:idx val="0"/>
          <c:order val="0"/>
          <c:tx>
            <c:strRef>
              <c:f>DATA!$A$411</c:f>
              <c:strCache>
                <c:ptCount val="1"/>
                <c:pt idx="0">
                  <c:v>Urodzenia żywe</c:v>
                </c:pt>
              </c:strCache>
            </c:strRef>
          </c:tx>
          <c:dLbls>
            <c:showVal val="1"/>
          </c:dLbls>
          <c:cat>
            <c:strRef>
              <c:f>DATA!$A$412:$A$414</c:f>
              <c:strCache>
                <c:ptCount val="3"/>
                <c:pt idx="0">
                  <c:v>ogółem</c:v>
                </c:pt>
                <c:pt idx="1">
                  <c:v>mężczyźni</c:v>
                </c:pt>
                <c:pt idx="2">
                  <c:v>kobiety</c:v>
                </c:pt>
              </c:strCache>
            </c:strRef>
          </c:cat>
          <c:val>
            <c:numRef>
              <c:f>DATA!$C$412:$C$414</c:f>
              <c:numCache>
                <c:formatCode>0</c:formatCode>
                <c:ptCount val="3"/>
                <c:pt idx="0">
                  <c:v>65</c:v>
                </c:pt>
                <c:pt idx="1">
                  <c:v>29</c:v>
                </c:pt>
                <c:pt idx="2">
                  <c:v>36</c:v>
                </c:pt>
              </c:numCache>
            </c:numRef>
          </c:val>
        </c:ser>
        <c:ser>
          <c:idx val="1"/>
          <c:order val="1"/>
          <c:tx>
            <c:strRef>
              <c:f>DATA!$A$415</c:f>
              <c:strCache>
                <c:ptCount val="1"/>
                <c:pt idx="0">
                  <c:v>Zgony ogółem</c:v>
                </c:pt>
              </c:strCache>
            </c:strRef>
          </c:tx>
          <c:dLbls>
            <c:showVal val="1"/>
          </c:dLbls>
          <c:val>
            <c:numRef>
              <c:f>DATA!$C$416:$C$418</c:f>
              <c:numCache>
                <c:formatCode>0</c:formatCode>
                <c:ptCount val="3"/>
                <c:pt idx="0">
                  <c:v>54</c:v>
                </c:pt>
                <c:pt idx="1">
                  <c:v>25</c:v>
                </c:pt>
                <c:pt idx="2">
                  <c:v>29</c:v>
                </c:pt>
              </c:numCache>
            </c:numRef>
          </c:val>
        </c:ser>
        <c:ser>
          <c:idx val="2"/>
          <c:order val="2"/>
          <c:tx>
            <c:strRef>
              <c:f>DATA!$A$419</c:f>
              <c:strCache>
                <c:ptCount val="1"/>
                <c:pt idx="0">
                  <c:v>Przyrost naturalny</c:v>
                </c:pt>
              </c:strCache>
            </c:strRef>
          </c:tx>
          <c:dLbls>
            <c:showVal val="1"/>
          </c:dLbls>
          <c:val>
            <c:numRef>
              <c:f>DATA!$C$420:$C$422</c:f>
              <c:numCache>
                <c:formatCode>0</c:formatCode>
                <c:ptCount val="3"/>
                <c:pt idx="0">
                  <c:v>11</c:v>
                </c:pt>
                <c:pt idx="1">
                  <c:v>4</c:v>
                </c:pt>
                <c:pt idx="2">
                  <c:v>7</c:v>
                </c:pt>
              </c:numCache>
            </c:numRef>
          </c:val>
        </c:ser>
        <c:dLbls>
          <c:showVal val="1"/>
        </c:dLbls>
        <c:gapWidth val="75"/>
        <c:axId val="103772160"/>
        <c:axId val="104276736"/>
      </c:barChart>
      <c:catAx>
        <c:axId val="103772160"/>
        <c:scaling>
          <c:orientation val="minMax"/>
        </c:scaling>
        <c:axPos val="b"/>
        <c:majorTickMark val="none"/>
        <c:tickLblPos val="nextTo"/>
        <c:crossAx val="104276736"/>
        <c:crosses val="autoZero"/>
        <c:auto val="1"/>
        <c:lblAlgn val="ctr"/>
        <c:lblOffset val="100"/>
      </c:catAx>
      <c:valAx>
        <c:axId val="104276736"/>
        <c:scaling>
          <c:orientation val="minMax"/>
        </c:scaling>
        <c:axPos val="l"/>
        <c:numFmt formatCode="0" sourceLinked="1"/>
        <c:majorTickMark val="none"/>
        <c:tickLblPos val="nextTo"/>
        <c:crossAx val="103772160"/>
        <c:crosses val="autoZero"/>
        <c:crossBetween val="between"/>
      </c:valAx>
    </c:plotArea>
    <c:legend>
      <c:legendPos val="b"/>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DATA!$H$34</c:f>
              <c:strCache>
                <c:ptCount val="1"/>
                <c:pt idx="0">
                  <c:v>Saldo migracji gminnych wewnętrznych</c:v>
                </c:pt>
              </c:strCache>
            </c:strRef>
          </c:tx>
          <c:dLbls>
            <c:dLbl>
              <c:idx val="2"/>
              <c:layout>
                <c:manualLayout>
                  <c:x val="0"/>
                  <c:y val="3.1624390419162852E-2"/>
                </c:manualLayout>
              </c:layout>
              <c:showVal val="1"/>
            </c:dLbl>
            <c:showVal val="1"/>
          </c:dLbls>
          <c:cat>
            <c:numRef>
              <c:f>DATA!$I$33:$M$33</c:f>
              <c:numCache>
                <c:formatCode>General</c:formatCode>
                <c:ptCount val="5"/>
                <c:pt idx="0">
                  <c:v>2014</c:v>
                </c:pt>
                <c:pt idx="1">
                  <c:v>2013</c:v>
                </c:pt>
                <c:pt idx="2">
                  <c:v>2012</c:v>
                </c:pt>
                <c:pt idx="3">
                  <c:v>2011</c:v>
                </c:pt>
                <c:pt idx="4">
                  <c:v>2010</c:v>
                </c:pt>
              </c:numCache>
            </c:numRef>
          </c:cat>
          <c:val>
            <c:numRef>
              <c:f>DATA!$I$34:$M$34</c:f>
              <c:numCache>
                <c:formatCode>General</c:formatCode>
                <c:ptCount val="5"/>
                <c:pt idx="0">
                  <c:v>-8</c:v>
                </c:pt>
                <c:pt idx="1">
                  <c:v>-21</c:v>
                </c:pt>
                <c:pt idx="2">
                  <c:v>-45</c:v>
                </c:pt>
                <c:pt idx="3">
                  <c:v>-1</c:v>
                </c:pt>
                <c:pt idx="4">
                  <c:v>-10</c:v>
                </c:pt>
              </c:numCache>
            </c:numRef>
          </c:val>
        </c:ser>
        <c:ser>
          <c:idx val="1"/>
          <c:order val="1"/>
          <c:tx>
            <c:strRef>
              <c:f>DATA!$H$35</c:f>
              <c:strCache>
                <c:ptCount val="1"/>
                <c:pt idx="0">
                  <c:v>Saldo migracji zagranicznych</c:v>
                </c:pt>
              </c:strCache>
            </c:strRef>
          </c:tx>
          <c:dLbls>
            <c:showVal val="1"/>
          </c:dLbls>
          <c:cat>
            <c:numRef>
              <c:f>DATA!$I$33:$M$33</c:f>
              <c:numCache>
                <c:formatCode>General</c:formatCode>
                <c:ptCount val="5"/>
                <c:pt idx="0">
                  <c:v>2014</c:v>
                </c:pt>
                <c:pt idx="1">
                  <c:v>2013</c:v>
                </c:pt>
                <c:pt idx="2">
                  <c:v>2012</c:v>
                </c:pt>
                <c:pt idx="3">
                  <c:v>2011</c:v>
                </c:pt>
                <c:pt idx="4">
                  <c:v>2010</c:v>
                </c:pt>
              </c:numCache>
            </c:numRef>
          </c:cat>
          <c:val>
            <c:numRef>
              <c:f>DATA!$I$35:$M$35</c:f>
              <c:numCache>
                <c:formatCode>General</c:formatCode>
                <c:ptCount val="5"/>
                <c:pt idx="0">
                  <c:v>-2</c:v>
                </c:pt>
                <c:pt idx="1">
                  <c:v>-9</c:v>
                </c:pt>
                <c:pt idx="2">
                  <c:v>-1</c:v>
                </c:pt>
                <c:pt idx="3">
                  <c:v>-12</c:v>
                </c:pt>
                <c:pt idx="4">
                  <c:v>2</c:v>
                </c:pt>
              </c:numCache>
            </c:numRef>
          </c:val>
        </c:ser>
        <c:axId val="119814400"/>
        <c:axId val="131756032"/>
      </c:barChart>
      <c:catAx>
        <c:axId val="119814400"/>
        <c:scaling>
          <c:orientation val="minMax"/>
        </c:scaling>
        <c:axPos val="b"/>
        <c:numFmt formatCode="General" sourceLinked="1"/>
        <c:majorTickMark val="none"/>
        <c:tickLblPos val="nextTo"/>
        <c:crossAx val="131756032"/>
        <c:crosses val="autoZero"/>
        <c:auto val="1"/>
        <c:lblAlgn val="ctr"/>
        <c:lblOffset val="100"/>
      </c:catAx>
      <c:valAx>
        <c:axId val="131756032"/>
        <c:scaling>
          <c:orientation val="minMax"/>
        </c:scaling>
        <c:axPos val="l"/>
        <c:majorGridlines/>
        <c:numFmt formatCode="General" sourceLinked="1"/>
        <c:majorTickMark val="none"/>
        <c:tickLblPos val="nextTo"/>
        <c:crossAx val="119814400"/>
        <c:crosses val="autoZero"/>
        <c:crossBetween val="between"/>
      </c:valAx>
      <c:dTable>
        <c:showHorzBorder val="1"/>
        <c:showVertBorder val="1"/>
        <c:showOutline val="1"/>
        <c:showKeys val="1"/>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DATA!$B$27</c:f>
              <c:strCache>
                <c:ptCount val="1"/>
                <c:pt idx="0">
                  <c:v>ogółem</c:v>
                </c:pt>
              </c:strCache>
            </c:strRef>
          </c:tx>
          <c:cat>
            <c:numRef>
              <c:f>DATA!$C$26:$G$26</c:f>
              <c:numCache>
                <c:formatCode>General</c:formatCode>
                <c:ptCount val="5"/>
                <c:pt idx="0">
                  <c:v>2009</c:v>
                </c:pt>
                <c:pt idx="1">
                  <c:v>2010</c:v>
                </c:pt>
                <c:pt idx="2">
                  <c:v>2011</c:v>
                </c:pt>
                <c:pt idx="3">
                  <c:v>2012</c:v>
                </c:pt>
                <c:pt idx="4">
                  <c:v>2013</c:v>
                </c:pt>
              </c:numCache>
            </c:numRef>
          </c:cat>
          <c:val>
            <c:numRef>
              <c:f>DATA!$C$27:$G$27</c:f>
              <c:numCache>
                <c:formatCode>0.00%</c:formatCode>
                <c:ptCount val="5"/>
                <c:pt idx="0">
                  <c:v>0.16050583657587594</c:v>
                </c:pt>
                <c:pt idx="1">
                  <c:v>0.16896869244935644</c:v>
                </c:pt>
                <c:pt idx="2">
                  <c:v>0.18424821002386854</c:v>
                </c:pt>
                <c:pt idx="3">
                  <c:v>0.17199248120300914</c:v>
                </c:pt>
                <c:pt idx="4">
                  <c:v>0.17742684626103244</c:v>
                </c:pt>
              </c:numCache>
            </c:numRef>
          </c:val>
        </c:ser>
        <c:ser>
          <c:idx val="1"/>
          <c:order val="1"/>
          <c:tx>
            <c:strRef>
              <c:f>DATA!$B$28</c:f>
              <c:strCache>
                <c:ptCount val="1"/>
                <c:pt idx="0">
                  <c:v>kobiety</c:v>
                </c:pt>
              </c:strCache>
            </c:strRef>
          </c:tx>
          <c:cat>
            <c:numRef>
              <c:f>DATA!$C$26:$G$26</c:f>
              <c:numCache>
                <c:formatCode>General</c:formatCode>
                <c:ptCount val="5"/>
                <c:pt idx="0">
                  <c:v>2009</c:v>
                </c:pt>
                <c:pt idx="1">
                  <c:v>2010</c:v>
                </c:pt>
                <c:pt idx="2">
                  <c:v>2011</c:v>
                </c:pt>
                <c:pt idx="3">
                  <c:v>2012</c:v>
                </c:pt>
                <c:pt idx="4">
                  <c:v>2013</c:v>
                </c:pt>
              </c:numCache>
            </c:numRef>
          </c:cat>
          <c:val>
            <c:numRef>
              <c:f>DATA!$C$28:$G$28</c:f>
              <c:numCache>
                <c:formatCode>0.00%</c:formatCode>
                <c:ptCount val="5"/>
                <c:pt idx="0">
                  <c:v>0.14394516374714694</c:v>
                </c:pt>
                <c:pt idx="1">
                  <c:v>0.14204545454545764</c:v>
                </c:pt>
                <c:pt idx="2">
                  <c:v>0.13967766692248657</c:v>
                </c:pt>
                <c:pt idx="3">
                  <c:v>0.13962264150943396</c:v>
                </c:pt>
                <c:pt idx="4">
                  <c:v>0.13202042304886938</c:v>
                </c:pt>
              </c:numCache>
            </c:numRef>
          </c:val>
        </c:ser>
        <c:ser>
          <c:idx val="2"/>
          <c:order val="2"/>
          <c:tx>
            <c:strRef>
              <c:f>DATA!$B$29</c:f>
              <c:strCache>
                <c:ptCount val="1"/>
                <c:pt idx="0">
                  <c:v>mężczyźni</c:v>
                </c:pt>
              </c:strCache>
            </c:strRef>
          </c:tx>
          <c:cat>
            <c:numRef>
              <c:f>DATA!$C$26:$G$26</c:f>
              <c:numCache>
                <c:formatCode>General</c:formatCode>
                <c:ptCount val="5"/>
                <c:pt idx="0">
                  <c:v>2009</c:v>
                </c:pt>
                <c:pt idx="1">
                  <c:v>2010</c:v>
                </c:pt>
                <c:pt idx="2">
                  <c:v>2011</c:v>
                </c:pt>
                <c:pt idx="3">
                  <c:v>2012</c:v>
                </c:pt>
                <c:pt idx="4">
                  <c:v>2013</c:v>
                </c:pt>
              </c:numCache>
            </c:numRef>
          </c:cat>
          <c:val>
            <c:numRef>
              <c:f>DATA!$C$29:$G$29</c:f>
              <c:numCache>
                <c:formatCode>0.00%</c:formatCode>
                <c:ptCount val="5"/>
                <c:pt idx="0">
                  <c:v>0.18977119784657004</c:v>
                </c:pt>
                <c:pt idx="1">
                  <c:v>0.21858638743455541</c:v>
                </c:pt>
                <c:pt idx="2">
                  <c:v>0.25757575757575757</c:v>
                </c:pt>
                <c:pt idx="3">
                  <c:v>0.22540473225404734</c:v>
                </c:pt>
                <c:pt idx="4">
                  <c:v>0.25703324808184125</c:v>
                </c:pt>
              </c:numCache>
            </c:numRef>
          </c:val>
        </c:ser>
        <c:axId val="69237760"/>
        <c:axId val="69243648"/>
      </c:barChart>
      <c:catAx>
        <c:axId val="69237760"/>
        <c:scaling>
          <c:orientation val="minMax"/>
        </c:scaling>
        <c:axPos val="b"/>
        <c:numFmt formatCode="General" sourceLinked="1"/>
        <c:majorTickMark val="none"/>
        <c:tickLblPos val="nextTo"/>
        <c:crossAx val="69243648"/>
        <c:crosses val="autoZero"/>
        <c:auto val="1"/>
        <c:lblAlgn val="ctr"/>
        <c:lblOffset val="100"/>
      </c:catAx>
      <c:valAx>
        <c:axId val="69243648"/>
        <c:scaling>
          <c:orientation val="minMax"/>
        </c:scaling>
        <c:axPos val="l"/>
        <c:majorGridlines/>
        <c:numFmt formatCode="0.00%" sourceLinked="1"/>
        <c:majorTickMark val="none"/>
        <c:tickLblPos val="nextTo"/>
        <c:crossAx val="69237760"/>
        <c:crosses val="autoZero"/>
        <c:crossBetween val="between"/>
      </c:valAx>
      <c:dTable>
        <c:showHorzBorder val="1"/>
        <c:showVertBorder val="1"/>
        <c:showOutline val="1"/>
        <c:showKeys val="1"/>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DATA!$H$81</c:f>
              <c:strCache>
                <c:ptCount val="1"/>
                <c:pt idx="0">
                  <c:v>Kobiety </c:v>
                </c:pt>
              </c:strCache>
            </c:strRef>
          </c:tx>
          <c:dLbls>
            <c:showVal val="1"/>
          </c:dLbls>
          <c:cat>
            <c:strRef>
              <c:f>DATA!$I$80:$M$80</c:f>
              <c:strCache>
                <c:ptCount val="5"/>
                <c:pt idx="0">
                  <c:v>wyższe</c:v>
                </c:pt>
                <c:pt idx="1">
                  <c:v>policealne, średnie zawodowe</c:v>
                </c:pt>
                <c:pt idx="2">
                  <c:v>średnie ogólnokształcące</c:v>
                </c:pt>
                <c:pt idx="3">
                  <c:v>zasadnicze zawodowe</c:v>
                </c:pt>
                <c:pt idx="4">
                  <c:v>gimnazjalne i poniżej</c:v>
                </c:pt>
              </c:strCache>
            </c:strRef>
          </c:cat>
          <c:val>
            <c:numRef>
              <c:f>DATA!$I$81:$M$81</c:f>
              <c:numCache>
                <c:formatCode>General</c:formatCode>
                <c:ptCount val="5"/>
                <c:pt idx="0">
                  <c:v>253</c:v>
                </c:pt>
                <c:pt idx="1">
                  <c:v>664</c:v>
                </c:pt>
                <c:pt idx="2">
                  <c:v>257</c:v>
                </c:pt>
                <c:pt idx="3">
                  <c:v>482</c:v>
                </c:pt>
                <c:pt idx="4">
                  <c:v>287</c:v>
                </c:pt>
              </c:numCache>
            </c:numRef>
          </c:val>
        </c:ser>
        <c:ser>
          <c:idx val="1"/>
          <c:order val="1"/>
          <c:tx>
            <c:strRef>
              <c:f>DATA!$H$82</c:f>
              <c:strCache>
                <c:ptCount val="1"/>
                <c:pt idx="0">
                  <c:v>Mężczyźni</c:v>
                </c:pt>
              </c:strCache>
            </c:strRef>
          </c:tx>
          <c:dLbls>
            <c:showVal val="1"/>
          </c:dLbls>
          <c:cat>
            <c:strRef>
              <c:f>DATA!$I$80:$M$80</c:f>
              <c:strCache>
                <c:ptCount val="5"/>
                <c:pt idx="0">
                  <c:v>wyższe</c:v>
                </c:pt>
                <c:pt idx="1">
                  <c:v>policealne, średnie zawodowe</c:v>
                </c:pt>
                <c:pt idx="2">
                  <c:v>średnie ogólnokształcące</c:v>
                </c:pt>
                <c:pt idx="3">
                  <c:v>zasadnicze zawodowe</c:v>
                </c:pt>
                <c:pt idx="4">
                  <c:v>gimnazjalne i poniżej</c:v>
                </c:pt>
              </c:strCache>
            </c:strRef>
          </c:cat>
          <c:val>
            <c:numRef>
              <c:f>DATA!$I$82:$M$82</c:f>
              <c:numCache>
                <c:formatCode>General</c:formatCode>
                <c:ptCount val="5"/>
                <c:pt idx="0">
                  <c:v>98</c:v>
                </c:pt>
                <c:pt idx="1">
                  <c:v>240</c:v>
                </c:pt>
                <c:pt idx="2">
                  <c:v>102</c:v>
                </c:pt>
                <c:pt idx="3">
                  <c:v>443</c:v>
                </c:pt>
                <c:pt idx="4">
                  <c:v>420</c:v>
                </c:pt>
              </c:numCache>
            </c:numRef>
          </c:val>
        </c:ser>
        <c:ser>
          <c:idx val="2"/>
          <c:order val="2"/>
          <c:tx>
            <c:strRef>
              <c:f>DATA!$H$83</c:f>
              <c:strCache>
                <c:ptCount val="1"/>
                <c:pt idx="0">
                  <c:v>OGÓŁEM</c:v>
                </c:pt>
              </c:strCache>
            </c:strRef>
          </c:tx>
          <c:dLbls>
            <c:dLblPos val="outEnd"/>
            <c:showVal val="1"/>
          </c:dLbls>
          <c:cat>
            <c:strRef>
              <c:f>DATA!$I$80:$M$80</c:f>
              <c:strCache>
                <c:ptCount val="5"/>
                <c:pt idx="0">
                  <c:v>wyższe</c:v>
                </c:pt>
                <c:pt idx="1">
                  <c:v>policealne, średnie zawodowe</c:v>
                </c:pt>
                <c:pt idx="2">
                  <c:v>średnie ogólnokształcące</c:v>
                </c:pt>
                <c:pt idx="3">
                  <c:v>zasadnicze zawodowe</c:v>
                </c:pt>
                <c:pt idx="4">
                  <c:v>gimnazjalne i poniżej</c:v>
                </c:pt>
              </c:strCache>
            </c:strRef>
          </c:cat>
          <c:val>
            <c:numRef>
              <c:f>DATA!$I$83:$M$83</c:f>
              <c:numCache>
                <c:formatCode>General</c:formatCode>
                <c:ptCount val="5"/>
                <c:pt idx="0">
                  <c:v>351</c:v>
                </c:pt>
                <c:pt idx="1">
                  <c:v>425</c:v>
                </c:pt>
                <c:pt idx="2">
                  <c:v>359</c:v>
                </c:pt>
                <c:pt idx="3">
                  <c:v>925</c:v>
                </c:pt>
                <c:pt idx="4">
                  <c:v>707</c:v>
                </c:pt>
              </c:numCache>
            </c:numRef>
          </c:val>
        </c:ser>
        <c:axId val="69267456"/>
        <c:axId val="69268992"/>
      </c:barChart>
      <c:catAx>
        <c:axId val="69267456"/>
        <c:scaling>
          <c:orientation val="minMax"/>
        </c:scaling>
        <c:axPos val="b"/>
        <c:tickLblPos val="nextTo"/>
        <c:crossAx val="69268992"/>
        <c:crosses val="autoZero"/>
        <c:auto val="1"/>
        <c:lblAlgn val="ctr"/>
        <c:lblOffset val="100"/>
      </c:catAx>
      <c:valAx>
        <c:axId val="69268992"/>
        <c:scaling>
          <c:orientation val="minMax"/>
        </c:scaling>
        <c:axPos val="l"/>
        <c:majorGridlines/>
        <c:numFmt formatCode="General" sourceLinked="1"/>
        <c:tickLblPos val="nextTo"/>
        <c:crossAx val="69267456"/>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view3D>
      <c:rotX val="30"/>
      <c:perspective val="30"/>
    </c:view3D>
    <c:plotArea>
      <c:layout/>
      <c:pie3DChart>
        <c:varyColors val="1"/>
        <c:ser>
          <c:idx val="0"/>
          <c:order val="0"/>
          <c:explosion val="25"/>
          <c:dLbls>
            <c:txPr>
              <a:bodyPr/>
              <a:lstStyle/>
              <a:p>
                <a:pPr>
                  <a:defRPr b="1"/>
                </a:pPr>
                <a:endParaRPr lang="pl-PL"/>
              </a:p>
            </c:txPr>
            <c:showVal val="1"/>
            <c:showLeaderLines val="1"/>
          </c:dLbls>
          <c:cat>
            <c:strRef>
              <c:f>DATA!$F$67:$F$71</c:f>
              <c:strCache>
                <c:ptCount val="5"/>
                <c:pt idx="0">
                  <c:v>24 i mniej</c:v>
                </c:pt>
                <c:pt idx="1">
                  <c:v>25-34</c:v>
                </c:pt>
                <c:pt idx="2">
                  <c:v>35-44</c:v>
                </c:pt>
                <c:pt idx="3">
                  <c:v>45-54</c:v>
                </c:pt>
                <c:pt idx="4">
                  <c:v>55 i więcej </c:v>
                </c:pt>
              </c:strCache>
            </c:strRef>
          </c:cat>
          <c:val>
            <c:numRef>
              <c:f>DATA!$G$67:$G$71</c:f>
              <c:numCache>
                <c:formatCode>General</c:formatCode>
                <c:ptCount val="5"/>
                <c:pt idx="0">
                  <c:v>629</c:v>
                </c:pt>
                <c:pt idx="1">
                  <c:v>847</c:v>
                </c:pt>
                <c:pt idx="2">
                  <c:v>543</c:v>
                </c:pt>
                <c:pt idx="3">
                  <c:v>586</c:v>
                </c:pt>
                <c:pt idx="4">
                  <c:v>402</c:v>
                </c:pt>
              </c:numCache>
            </c:numRef>
          </c:val>
        </c:ser>
      </c:pie3DChart>
    </c:plotArea>
    <c:legend>
      <c:legendPos val="r"/>
      <c:layout/>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722D41-5FCC-4261-B22E-D3BF17C0DB68}"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pl-PL"/>
        </a:p>
      </dgm:t>
    </dgm:pt>
    <dgm:pt modelId="{6449EC1A-B46F-4CCB-AA2F-4F6C1A89FDA9}">
      <dgm:prSet phldrT="[Tekst]" custT="1"/>
      <dgm:spPr/>
      <dgm:t>
        <a:bodyPr/>
        <a:lstStyle/>
        <a:p>
          <a:r>
            <a:rPr lang="pl-PL" sz="2000"/>
            <a:t>SILNE STRONY</a:t>
          </a:r>
        </a:p>
      </dgm:t>
    </dgm:pt>
    <dgm:pt modelId="{15CDB5FA-33C8-45CB-9E95-774CC55E00F3}" type="parTrans" cxnId="{B9D429A4-A0A9-493F-8A8A-8E89D23E6237}">
      <dgm:prSet/>
      <dgm:spPr/>
      <dgm:t>
        <a:bodyPr/>
        <a:lstStyle/>
        <a:p>
          <a:endParaRPr lang="pl-PL"/>
        </a:p>
      </dgm:t>
    </dgm:pt>
    <dgm:pt modelId="{E58F8381-2070-411A-912F-63B9E803097F}" type="sibTrans" cxnId="{B9D429A4-A0A9-493F-8A8A-8E89D23E6237}">
      <dgm:prSet/>
      <dgm:spPr/>
      <dgm:t>
        <a:bodyPr/>
        <a:lstStyle/>
        <a:p>
          <a:endParaRPr lang="pl-PL"/>
        </a:p>
      </dgm:t>
    </dgm:pt>
    <dgm:pt modelId="{8A61DE56-69D9-4159-9A6A-6F9F773521B8}">
      <dgm:prSet phldrT="[Tekst]" custT="1"/>
      <dgm:spPr/>
      <dgm:t>
        <a:bodyPr/>
        <a:lstStyle/>
        <a:p>
          <a:r>
            <a:rPr lang="pl-PL" sz="1000"/>
            <a:t>Chęć uczestnictwa w programach dofinansowujących inwestycje w zakresie termomodernizacji, wykorzystania OZE.</a:t>
          </a:r>
        </a:p>
      </dgm:t>
    </dgm:pt>
    <dgm:pt modelId="{EE0A21EB-757A-4A9D-9E2D-48A7CAC3280A}" type="parTrans" cxnId="{FE7A703A-56D8-40BB-B00E-04069A5F4322}">
      <dgm:prSet/>
      <dgm:spPr/>
      <dgm:t>
        <a:bodyPr/>
        <a:lstStyle/>
        <a:p>
          <a:endParaRPr lang="pl-PL"/>
        </a:p>
      </dgm:t>
    </dgm:pt>
    <dgm:pt modelId="{FDBA53BB-1A0A-480E-BDF0-5CAD096550A5}" type="sibTrans" cxnId="{FE7A703A-56D8-40BB-B00E-04069A5F4322}">
      <dgm:prSet/>
      <dgm:spPr/>
      <dgm:t>
        <a:bodyPr/>
        <a:lstStyle/>
        <a:p>
          <a:endParaRPr lang="pl-PL"/>
        </a:p>
      </dgm:t>
    </dgm:pt>
    <dgm:pt modelId="{1B55EECF-2865-4E0B-86A1-AB91EA8AC6F5}">
      <dgm:prSet phldrT="[Tekst]" phldr="1"/>
      <dgm:spPr/>
      <dgm:t>
        <a:bodyPr/>
        <a:lstStyle/>
        <a:p>
          <a:endParaRPr lang="pl-PL"/>
        </a:p>
      </dgm:t>
    </dgm:pt>
    <dgm:pt modelId="{8A32E783-824E-415B-96E9-8436B2230F40}" type="parTrans" cxnId="{BF969E6D-3A0D-4FEE-90E7-632C413126D2}">
      <dgm:prSet/>
      <dgm:spPr/>
      <dgm:t>
        <a:bodyPr/>
        <a:lstStyle/>
        <a:p>
          <a:endParaRPr lang="pl-PL"/>
        </a:p>
      </dgm:t>
    </dgm:pt>
    <dgm:pt modelId="{2CB93D1B-BC38-4D75-A4C2-C8686D6A52FD}" type="sibTrans" cxnId="{BF969E6D-3A0D-4FEE-90E7-632C413126D2}">
      <dgm:prSet/>
      <dgm:spPr/>
      <dgm:t>
        <a:bodyPr/>
        <a:lstStyle/>
        <a:p>
          <a:endParaRPr lang="pl-PL"/>
        </a:p>
      </dgm:t>
    </dgm:pt>
    <dgm:pt modelId="{07711AF4-450F-43C7-8DD1-CEF012EB5CE1}">
      <dgm:prSet phldrT="[Tekst]" custT="1"/>
      <dgm:spPr/>
      <dgm:t>
        <a:bodyPr/>
        <a:lstStyle/>
        <a:p>
          <a:r>
            <a:rPr lang="pl-PL" sz="2000"/>
            <a:t>SŁABE STRONY</a:t>
          </a:r>
        </a:p>
      </dgm:t>
    </dgm:pt>
    <dgm:pt modelId="{FB228E82-6FED-4BCB-9396-5BF9B0EF95BF}" type="parTrans" cxnId="{2B1A3942-7F40-405D-9A09-D46220B11C6E}">
      <dgm:prSet/>
      <dgm:spPr/>
      <dgm:t>
        <a:bodyPr/>
        <a:lstStyle/>
        <a:p>
          <a:endParaRPr lang="pl-PL"/>
        </a:p>
      </dgm:t>
    </dgm:pt>
    <dgm:pt modelId="{68CECF78-DF13-46D4-8B66-2D7E87C34179}" type="sibTrans" cxnId="{2B1A3942-7F40-405D-9A09-D46220B11C6E}">
      <dgm:prSet/>
      <dgm:spPr/>
      <dgm:t>
        <a:bodyPr/>
        <a:lstStyle/>
        <a:p>
          <a:endParaRPr lang="pl-PL"/>
        </a:p>
      </dgm:t>
    </dgm:pt>
    <dgm:pt modelId="{2BE9DB54-5B7F-4AD9-864D-EB0E65E2539A}">
      <dgm:prSet phldrT="[Tekst]"/>
      <dgm:spPr/>
      <dgm:t>
        <a:bodyPr/>
        <a:lstStyle/>
        <a:p>
          <a:r>
            <a:rPr lang="pl-PL"/>
            <a:t>Niewystarczający poziom działań w zakresie oszczędności energii. </a:t>
          </a:r>
        </a:p>
      </dgm:t>
    </dgm:pt>
    <dgm:pt modelId="{960E4991-904F-443B-A1DB-F6A8D6292E91}" type="parTrans" cxnId="{F43CD4AD-E986-4C52-963C-3A1B58BE258C}">
      <dgm:prSet/>
      <dgm:spPr/>
      <dgm:t>
        <a:bodyPr/>
        <a:lstStyle/>
        <a:p>
          <a:endParaRPr lang="pl-PL"/>
        </a:p>
      </dgm:t>
    </dgm:pt>
    <dgm:pt modelId="{BD876908-E989-4C5F-8875-68927B21B280}" type="sibTrans" cxnId="{F43CD4AD-E986-4C52-963C-3A1B58BE258C}">
      <dgm:prSet/>
      <dgm:spPr/>
      <dgm:t>
        <a:bodyPr/>
        <a:lstStyle/>
        <a:p>
          <a:endParaRPr lang="pl-PL"/>
        </a:p>
      </dgm:t>
    </dgm:pt>
    <dgm:pt modelId="{8A3C6D4D-56F6-433A-806D-7CD8D8A401F7}">
      <dgm:prSet custT="1"/>
      <dgm:spPr/>
      <dgm:t>
        <a:bodyPr/>
        <a:lstStyle/>
        <a:p>
          <a:r>
            <a:rPr lang="pl-PL" sz="1000"/>
            <a:t>Aktywna polityka władz w zakresie działań na rzecz ochrony środowiska i ograniczania emisji CO2. </a:t>
          </a:r>
        </a:p>
      </dgm:t>
    </dgm:pt>
    <dgm:pt modelId="{522768C2-0EEF-4FCA-A559-DFBC163EC894}" type="parTrans" cxnId="{BEC1E30B-DF83-4F0F-8BC6-7DA4198A5599}">
      <dgm:prSet/>
      <dgm:spPr/>
      <dgm:t>
        <a:bodyPr/>
        <a:lstStyle/>
        <a:p>
          <a:endParaRPr lang="pl-PL"/>
        </a:p>
      </dgm:t>
    </dgm:pt>
    <dgm:pt modelId="{9946A841-2110-4F77-97F4-CC911AF6DFB6}" type="sibTrans" cxnId="{BEC1E30B-DF83-4F0F-8BC6-7DA4198A5599}">
      <dgm:prSet/>
      <dgm:spPr/>
      <dgm:t>
        <a:bodyPr/>
        <a:lstStyle/>
        <a:p>
          <a:endParaRPr lang="pl-PL"/>
        </a:p>
      </dgm:t>
    </dgm:pt>
    <dgm:pt modelId="{2F65982B-FC71-4CD6-A12A-EEFAB1488BB8}">
      <dgm:prSet custT="1"/>
      <dgm:spPr/>
      <dgm:t>
        <a:bodyPr/>
        <a:lstStyle/>
        <a:p>
          <a:r>
            <a:rPr lang="pl-PL" sz="1000"/>
            <a:t>Zaawansowane prace modernizacyjne oświetlenia ulicznego oraz wykorzystania OZE.</a:t>
          </a:r>
        </a:p>
      </dgm:t>
    </dgm:pt>
    <dgm:pt modelId="{38713FA0-9C65-4066-8DAE-C5700124E6CE}" type="parTrans" cxnId="{12BB94B3-C750-4CAA-BB4E-934D696FC121}">
      <dgm:prSet/>
      <dgm:spPr/>
      <dgm:t>
        <a:bodyPr/>
        <a:lstStyle/>
        <a:p>
          <a:endParaRPr lang="pl-PL"/>
        </a:p>
      </dgm:t>
    </dgm:pt>
    <dgm:pt modelId="{D7C2A890-0C14-4455-AF8F-E26FA9F4F307}" type="sibTrans" cxnId="{12BB94B3-C750-4CAA-BB4E-934D696FC121}">
      <dgm:prSet/>
      <dgm:spPr/>
      <dgm:t>
        <a:bodyPr/>
        <a:lstStyle/>
        <a:p>
          <a:endParaRPr lang="pl-PL"/>
        </a:p>
      </dgm:t>
    </dgm:pt>
    <dgm:pt modelId="{780621FF-5405-4A5A-8016-3E26BB31DBB3}">
      <dgm:prSet custT="1"/>
      <dgm:spPr/>
      <dgm:t>
        <a:bodyPr/>
        <a:lstStyle/>
        <a:p>
          <a:r>
            <a:rPr lang="pl-PL" sz="1200"/>
            <a:t>P</a:t>
          </a:r>
          <a:r>
            <a:rPr lang="pl-PL" sz="1000"/>
            <a:t>otencjał wykorzystania energii słonecznej.</a:t>
          </a:r>
        </a:p>
      </dgm:t>
    </dgm:pt>
    <dgm:pt modelId="{A54A6721-7539-4D3B-9D79-855480BB24C0}" type="parTrans" cxnId="{4C1D5DE2-E36A-4FCD-8BF8-4725A80B14BA}">
      <dgm:prSet/>
      <dgm:spPr/>
      <dgm:t>
        <a:bodyPr/>
        <a:lstStyle/>
        <a:p>
          <a:endParaRPr lang="pl-PL"/>
        </a:p>
      </dgm:t>
    </dgm:pt>
    <dgm:pt modelId="{48B099BF-30F1-427E-AFAB-341DB781C4FD}" type="sibTrans" cxnId="{4C1D5DE2-E36A-4FCD-8BF8-4725A80B14BA}">
      <dgm:prSet/>
      <dgm:spPr/>
      <dgm:t>
        <a:bodyPr/>
        <a:lstStyle/>
        <a:p>
          <a:endParaRPr lang="pl-PL"/>
        </a:p>
      </dgm:t>
    </dgm:pt>
    <dgm:pt modelId="{2D43B03F-9A77-41DC-AC93-CB9773AB8048}">
      <dgm:prSet/>
      <dgm:spPr/>
      <dgm:t>
        <a:bodyPr/>
        <a:lstStyle/>
        <a:p>
          <a:r>
            <a:rPr lang="pl-PL"/>
            <a:t>Znaczny udział węglowych źródeł ciepła w ogrzewaniu indywidualnym. </a:t>
          </a:r>
        </a:p>
      </dgm:t>
    </dgm:pt>
    <dgm:pt modelId="{82FB13AE-CE83-45D2-951A-713C8277EDF4}" type="parTrans" cxnId="{73A8928D-4796-4565-80D0-B6644EF196C4}">
      <dgm:prSet/>
      <dgm:spPr/>
      <dgm:t>
        <a:bodyPr/>
        <a:lstStyle/>
        <a:p>
          <a:endParaRPr lang="pl-PL"/>
        </a:p>
      </dgm:t>
    </dgm:pt>
    <dgm:pt modelId="{947E86E4-EC1C-4CDB-AB7A-AB6C8FA2EE99}" type="sibTrans" cxnId="{73A8928D-4796-4565-80D0-B6644EF196C4}">
      <dgm:prSet/>
      <dgm:spPr/>
      <dgm:t>
        <a:bodyPr/>
        <a:lstStyle/>
        <a:p>
          <a:endParaRPr lang="pl-PL"/>
        </a:p>
      </dgm:t>
    </dgm:pt>
    <dgm:pt modelId="{BC103901-D203-4291-ACF5-9490613D23C7}">
      <dgm:prSet/>
      <dgm:spPr/>
      <dgm:t>
        <a:bodyPr/>
        <a:lstStyle/>
        <a:p>
          <a:r>
            <a:rPr lang="pl-PL"/>
            <a:t>Niewystarczająco rozwinięta sieć ciepłownicza. </a:t>
          </a:r>
        </a:p>
      </dgm:t>
    </dgm:pt>
    <dgm:pt modelId="{BA0BE38E-6993-4E32-8A82-3C8F994DA8D4}" type="parTrans" cxnId="{3E6EFD45-F701-4D98-BA69-8659A9CDFBBF}">
      <dgm:prSet/>
      <dgm:spPr/>
      <dgm:t>
        <a:bodyPr/>
        <a:lstStyle/>
        <a:p>
          <a:endParaRPr lang="pl-PL"/>
        </a:p>
      </dgm:t>
    </dgm:pt>
    <dgm:pt modelId="{B3119E09-8338-4657-B64D-5627B9048D8C}" type="sibTrans" cxnId="{3E6EFD45-F701-4D98-BA69-8659A9CDFBBF}">
      <dgm:prSet/>
      <dgm:spPr/>
      <dgm:t>
        <a:bodyPr/>
        <a:lstStyle/>
        <a:p>
          <a:endParaRPr lang="pl-PL"/>
        </a:p>
      </dgm:t>
    </dgm:pt>
    <dgm:pt modelId="{01CDF02D-D50C-42A1-85DE-26FC8854D9EB}">
      <dgm:prSet custT="1"/>
      <dgm:spPr/>
      <dgm:t>
        <a:bodyPr/>
        <a:lstStyle/>
        <a:p>
          <a:r>
            <a:rPr lang="pl-PL" sz="1000"/>
            <a:t>Niewystarczająca wydolność układu komunikacyjnego, zły stan techniczny infrastruktury drogowej  i okołodorgowej sprzyjający zwiększeniu zanieczyszczeń.</a:t>
          </a:r>
        </a:p>
      </dgm:t>
    </dgm:pt>
    <dgm:pt modelId="{867F6AC9-0A7F-4DE3-A7B5-2BE7F61DBEB3}" type="parTrans" cxnId="{C364465D-5803-423E-B63B-893D5E9A732A}">
      <dgm:prSet/>
      <dgm:spPr/>
      <dgm:t>
        <a:bodyPr/>
        <a:lstStyle/>
        <a:p>
          <a:endParaRPr lang="pl-PL"/>
        </a:p>
      </dgm:t>
    </dgm:pt>
    <dgm:pt modelId="{4B70DE13-3644-406D-B982-41623A258175}" type="sibTrans" cxnId="{C364465D-5803-423E-B63B-893D5E9A732A}">
      <dgm:prSet/>
      <dgm:spPr/>
      <dgm:t>
        <a:bodyPr/>
        <a:lstStyle/>
        <a:p>
          <a:endParaRPr lang="pl-PL"/>
        </a:p>
      </dgm:t>
    </dgm:pt>
    <dgm:pt modelId="{56929AE9-D562-4BE0-8291-D3DED40EA6D4}">
      <dgm:prSet/>
      <dgm:spPr/>
      <dgm:t>
        <a:bodyPr/>
        <a:lstStyle/>
        <a:p>
          <a:endParaRPr lang="pl-PL"/>
        </a:p>
      </dgm:t>
    </dgm:pt>
    <dgm:pt modelId="{A9BD3B98-DB63-4BB9-ACB7-48F95AF69F23}" type="parTrans" cxnId="{3ED17057-D99F-4E7A-95F6-03A4D67881D9}">
      <dgm:prSet/>
      <dgm:spPr/>
      <dgm:t>
        <a:bodyPr/>
        <a:lstStyle/>
        <a:p>
          <a:endParaRPr lang="pl-PL"/>
        </a:p>
      </dgm:t>
    </dgm:pt>
    <dgm:pt modelId="{B2C69089-1A3F-4334-B834-6FAE7DA08A29}" type="sibTrans" cxnId="{3ED17057-D99F-4E7A-95F6-03A4D67881D9}">
      <dgm:prSet/>
      <dgm:spPr/>
      <dgm:t>
        <a:bodyPr/>
        <a:lstStyle/>
        <a:p>
          <a:endParaRPr lang="pl-PL"/>
        </a:p>
      </dgm:t>
    </dgm:pt>
    <dgm:pt modelId="{721F5212-8CD9-42A2-9061-5546F7342F5A}">
      <dgm:prSet/>
      <dgm:spPr/>
      <dgm:t>
        <a:bodyPr/>
        <a:lstStyle/>
        <a:p>
          <a:endParaRPr lang="pl-PL"/>
        </a:p>
      </dgm:t>
    </dgm:pt>
    <dgm:pt modelId="{CDD8160B-FF68-4B28-AB6F-BACB1C15FFE5}" type="parTrans" cxnId="{72255BC1-3F29-4016-ADE3-79FAB718218F}">
      <dgm:prSet/>
      <dgm:spPr/>
      <dgm:t>
        <a:bodyPr/>
        <a:lstStyle/>
        <a:p>
          <a:endParaRPr lang="pl-PL"/>
        </a:p>
      </dgm:t>
    </dgm:pt>
    <dgm:pt modelId="{C3F7E2E8-2B9A-44D9-BC2F-D1E5CEAD7DB0}" type="sibTrans" cxnId="{72255BC1-3F29-4016-ADE3-79FAB718218F}">
      <dgm:prSet/>
      <dgm:spPr/>
      <dgm:t>
        <a:bodyPr/>
        <a:lstStyle/>
        <a:p>
          <a:endParaRPr lang="pl-PL"/>
        </a:p>
      </dgm:t>
    </dgm:pt>
    <dgm:pt modelId="{8E9917B7-D0E3-48BB-9FE9-D547DCBDA495}" type="pres">
      <dgm:prSet presAssocID="{BE722D41-5FCC-4261-B22E-D3BF17C0DB68}" presName="outerComposite" presStyleCnt="0">
        <dgm:presLayoutVars>
          <dgm:chMax val="2"/>
          <dgm:animLvl val="lvl"/>
          <dgm:resizeHandles val="exact"/>
        </dgm:presLayoutVars>
      </dgm:prSet>
      <dgm:spPr/>
      <dgm:t>
        <a:bodyPr/>
        <a:lstStyle/>
        <a:p>
          <a:endParaRPr lang="pl-PL"/>
        </a:p>
      </dgm:t>
    </dgm:pt>
    <dgm:pt modelId="{C9379EB2-38DA-4739-820A-E413DC289759}" type="pres">
      <dgm:prSet presAssocID="{BE722D41-5FCC-4261-B22E-D3BF17C0DB68}" presName="dummyMaxCanvas" presStyleCnt="0"/>
      <dgm:spPr/>
    </dgm:pt>
    <dgm:pt modelId="{29CFD1A0-9738-4D57-8452-8B852C5BEEC0}" type="pres">
      <dgm:prSet presAssocID="{BE722D41-5FCC-4261-B22E-D3BF17C0DB68}" presName="parentComposite" presStyleCnt="0"/>
      <dgm:spPr/>
    </dgm:pt>
    <dgm:pt modelId="{5F1A5F7C-09F6-499F-986E-B522D2398BF1}" type="pres">
      <dgm:prSet presAssocID="{BE722D41-5FCC-4261-B22E-D3BF17C0DB68}" presName="parent1" presStyleLbl="alignAccFollowNode1" presStyleIdx="0" presStyleCnt="4" custLinFactNeighborX="2733" custLinFactNeighborY="-26487">
        <dgm:presLayoutVars>
          <dgm:chMax val="4"/>
        </dgm:presLayoutVars>
      </dgm:prSet>
      <dgm:spPr/>
      <dgm:t>
        <a:bodyPr/>
        <a:lstStyle/>
        <a:p>
          <a:endParaRPr lang="pl-PL"/>
        </a:p>
      </dgm:t>
    </dgm:pt>
    <dgm:pt modelId="{0C004DDB-8056-4A56-8A91-48468D968F7E}" type="pres">
      <dgm:prSet presAssocID="{BE722D41-5FCC-4261-B22E-D3BF17C0DB68}" presName="parent2" presStyleLbl="alignAccFollowNode1" presStyleIdx="1" presStyleCnt="4" custLinFactNeighborX="-481" custLinFactNeighborY="-22487">
        <dgm:presLayoutVars>
          <dgm:chMax val="4"/>
        </dgm:presLayoutVars>
      </dgm:prSet>
      <dgm:spPr/>
      <dgm:t>
        <a:bodyPr/>
        <a:lstStyle/>
        <a:p>
          <a:endParaRPr lang="pl-PL"/>
        </a:p>
      </dgm:t>
    </dgm:pt>
    <dgm:pt modelId="{A1E3C0AE-B698-42B9-8EB7-C8C476AC4DF1}" type="pres">
      <dgm:prSet presAssocID="{BE722D41-5FCC-4261-B22E-D3BF17C0DB68}" presName="childrenComposite" presStyleCnt="0"/>
      <dgm:spPr/>
    </dgm:pt>
    <dgm:pt modelId="{B6D7C4BC-4A2E-4012-B2FE-A2DAA897D6B8}" type="pres">
      <dgm:prSet presAssocID="{BE722D41-5FCC-4261-B22E-D3BF17C0DB68}" presName="dummyMaxCanvas_ChildArea" presStyleCnt="0"/>
      <dgm:spPr/>
    </dgm:pt>
    <dgm:pt modelId="{E399B901-4DAE-43AF-87AC-338CADA5146B}" type="pres">
      <dgm:prSet presAssocID="{BE722D41-5FCC-4261-B22E-D3BF17C0DB68}" presName="fulcrum" presStyleLbl="alignAccFollowNode1" presStyleIdx="2" presStyleCnt="4"/>
      <dgm:spPr/>
    </dgm:pt>
    <dgm:pt modelId="{D913B2DB-03D0-465B-9931-AE4C93A94B27}" type="pres">
      <dgm:prSet presAssocID="{BE722D41-5FCC-4261-B22E-D3BF17C0DB68}" presName="balance_44" presStyleLbl="alignAccFollowNode1" presStyleIdx="3" presStyleCnt="4">
        <dgm:presLayoutVars>
          <dgm:bulletEnabled val="1"/>
        </dgm:presLayoutVars>
      </dgm:prSet>
      <dgm:spPr/>
    </dgm:pt>
    <dgm:pt modelId="{88023B14-79F3-4F38-A2A0-DEEBD24469E7}" type="pres">
      <dgm:prSet presAssocID="{BE722D41-5FCC-4261-B22E-D3BF17C0DB68}" presName="right_44_1" presStyleLbl="node1" presStyleIdx="0" presStyleCnt="8" custLinFactNeighborX="-4565" custLinFactNeighborY="1668">
        <dgm:presLayoutVars>
          <dgm:bulletEnabled val="1"/>
        </dgm:presLayoutVars>
      </dgm:prSet>
      <dgm:spPr/>
      <dgm:t>
        <a:bodyPr/>
        <a:lstStyle/>
        <a:p>
          <a:endParaRPr lang="pl-PL"/>
        </a:p>
      </dgm:t>
    </dgm:pt>
    <dgm:pt modelId="{E9428A17-1E0F-4720-B76F-B7D9ADC382ED}" type="pres">
      <dgm:prSet presAssocID="{BE722D41-5FCC-4261-B22E-D3BF17C0DB68}" presName="right_44_2" presStyleLbl="node1" presStyleIdx="1" presStyleCnt="8" custLinFactNeighborX="-4565" custLinFactNeighborY="-1667">
        <dgm:presLayoutVars>
          <dgm:bulletEnabled val="1"/>
        </dgm:presLayoutVars>
      </dgm:prSet>
      <dgm:spPr/>
      <dgm:t>
        <a:bodyPr/>
        <a:lstStyle/>
        <a:p>
          <a:endParaRPr lang="pl-PL"/>
        </a:p>
      </dgm:t>
    </dgm:pt>
    <dgm:pt modelId="{ADF37BB9-1AFA-4EE2-8E72-79F7B46A7675}" type="pres">
      <dgm:prSet presAssocID="{BE722D41-5FCC-4261-B22E-D3BF17C0DB68}" presName="right_44_3" presStyleLbl="node1" presStyleIdx="2" presStyleCnt="8" custLinFactNeighborX="-3994" custLinFactNeighborY="-8337">
        <dgm:presLayoutVars>
          <dgm:bulletEnabled val="1"/>
        </dgm:presLayoutVars>
      </dgm:prSet>
      <dgm:spPr/>
      <dgm:t>
        <a:bodyPr/>
        <a:lstStyle/>
        <a:p>
          <a:endParaRPr lang="pl-PL"/>
        </a:p>
      </dgm:t>
    </dgm:pt>
    <dgm:pt modelId="{0208D67F-2763-4D98-B398-06FF87891232}" type="pres">
      <dgm:prSet presAssocID="{BE722D41-5FCC-4261-B22E-D3BF17C0DB68}" presName="right_44_4" presStyleLbl="node1" presStyleIdx="3" presStyleCnt="8" custScaleX="99188" custScaleY="152513" custLinFactNeighborX="-3424" custLinFactNeighborY="-40017">
        <dgm:presLayoutVars>
          <dgm:bulletEnabled val="1"/>
        </dgm:presLayoutVars>
      </dgm:prSet>
      <dgm:spPr/>
      <dgm:t>
        <a:bodyPr/>
        <a:lstStyle/>
        <a:p>
          <a:endParaRPr lang="pl-PL"/>
        </a:p>
      </dgm:t>
    </dgm:pt>
    <dgm:pt modelId="{87120E3B-5843-449D-8A7B-0217FCC316F9}" type="pres">
      <dgm:prSet presAssocID="{BE722D41-5FCC-4261-B22E-D3BF17C0DB68}" presName="left_44_1" presStyleLbl="node1" presStyleIdx="4" presStyleCnt="8" custScaleX="102948" custScaleY="157430" custLinFactNeighborX="-2283" custLinFactNeighborY="-26678">
        <dgm:presLayoutVars>
          <dgm:bulletEnabled val="1"/>
        </dgm:presLayoutVars>
      </dgm:prSet>
      <dgm:spPr/>
      <dgm:t>
        <a:bodyPr/>
        <a:lstStyle/>
        <a:p>
          <a:endParaRPr lang="pl-PL"/>
        </a:p>
      </dgm:t>
    </dgm:pt>
    <dgm:pt modelId="{25EE94F8-0982-4B89-A3A4-135409FF40D6}" type="pres">
      <dgm:prSet presAssocID="{BE722D41-5FCC-4261-B22E-D3BF17C0DB68}" presName="left_44_2" presStyleLbl="node1" presStyleIdx="5" presStyleCnt="8" custLinFactNeighborX="-1141" custLinFactNeighborY="-56691">
        <dgm:presLayoutVars>
          <dgm:bulletEnabled val="1"/>
        </dgm:presLayoutVars>
      </dgm:prSet>
      <dgm:spPr/>
      <dgm:t>
        <a:bodyPr/>
        <a:lstStyle/>
        <a:p>
          <a:endParaRPr lang="pl-PL"/>
        </a:p>
      </dgm:t>
    </dgm:pt>
    <dgm:pt modelId="{C8F4B027-4892-43DA-B225-BFE15C0F1938}" type="pres">
      <dgm:prSet presAssocID="{BE722D41-5FCC-4261-B22E-D3BF17C0DB68}" presName="left_44_3" presStyleLbl="node1" presStyleIdx="6" presStyleCnt="8" custLinFactNeighborX="571" custLinFactNeighborY="-63360">
        <dgm:presLayoutVars>
          <dgm:bulletEnabled val="1"/>
        </dgm:presLayoutVars>
      </dgm:prSet>
      <dgm:spPr/>
      <dgm:t>
        <a:bodyPr/>
        <a:lstStyle/>
        <a:p>
          <a:endParaRPr lang="pl-PL"/>
        </a:p>
      </dgm:t>
    </dgm:pt>
    <dgm:pt modelId="{BFC9D2AE-DD72-4662-977D-D3E8A87BC554}" type="pres">
      <dgm:prSet presAssocID="{BE722D41-5FCC-4261-B22E-D3BF17C0DB68}" presName="left_44_4" presStyleLbl="node1" presStyleIdx="7" presStyleCnt="8" custLinFactNeighborX="571" custLinFactNeighborY="-70030">
        <dgm:presLayoutVars>
          <dgm:bulletEnabled val="1"/>
        </dgm:presLayoutVars>
      </dgm:prSet>
      <dgm:spPr/>
      <dgm:t>
        <a:bodyPr/>
        <a:lstStyle/>
        <a:p>
          <a:endParaRPr lang="pl-PL"/>
        </a:p>
      </dgm:t>
    </dgm:pt>
  </dgm:ptLst>
  <dgm:cxnLst>
    <dgm:cxn modelId="{6C5063BE-35EF-4BCD-8440-4C14390687A9}" type="presOf" srcId="{01CDF02D-D50C-42A1-85DE-26FC8854D9EB}" destId="{0208D67F-2763-4D98-B398-06FF87891232}" srcOrd="0" destOrd="0" presId="urn:microsoft.com/office/officeart/2005/8/layout/balance1"/>
    <dgm:cxn modelId="{17B66191-C077-4862-BA50-9D9B91211588}" type="presOf" srcId="{BE722D41-5FCC-4261-B22E-D3BF17C0DB68}" destId="{8E9917B7-D0E3-48BB-9FE9-D547DCBDA495}" srcOrd="0" destOrd="0" presId="urn:microsoft.com/office/officeart/2005/8/layout/balance1"/>
    <dgm:cxn modelId="{CF1FFEEB-7FDA-44BE-B092-0B4F7CA6FC93}" type="presOf" srcId="{2F65982B-FC71-4CD6-A12A-EEFAB1488BB8}" destId="{C8F4B027-4892-43DA-B225-BFE15C0F1938}" srcOrd="0" destOrd="0" presId="urn:microsoft.com/office/officeart/2005/8/layout/balance1"/>
    <dgm:cxn modelId="{FA9D0CC3-FC34-44AB-9104-4E8EAD6E2D84}" type="presOf" srcId="{07711AF4-450F-43C7-8DD1-CEF012EB5CE1}" destId="{0C004DDB-8056-4A56-8A91-48468D968F7E}" srcOrd="0" destOrd="0" presId="urn:microsoft.com/office/officeart/2005/8/layout/balance1"/>
    <dgm:cxn modelId="{A7595E54-3E9A-4F8C-99EB-14B164FB84C2}" type="presOf" srcId="{8A61DE56-69D9-4159-9A6A-6F9F773521B8}" destId="{87120E3B-5843-449D-8A7B-0217FCC316F9}" srcOrd="0" destOrd="0" presId="urn:microsoft.com/office/officeart/2005/8/layout/balance1"/>
    <dgm:cxn modelId="{B9D429A4-A0A9-493F-8A8A-8E89D23E6237}" srcId="{BE722D41-5FCC-4261-B22E-D3BF17C0DB68}" destId="{6449EC1A-B46F-4CCB-AA2F-4F6C1A89FDA9}" srcOrd="0" destOrd="0" parTransId="{15CDB5FA-33C8-45CB-9E95-774CC55E00F3}" sibTransId="{E58F8381-2070-411A-912F-63B9E803097F}"/>
    <dgm:cxn modelId="{C3A2B61C-DB6B-46B0-87E4-FAC43955CDAA}" type="presOf" srcId="{8A3C6D4D-56F6-433A-806D-7CD8D8A401F7}" destId="{25EE94F8-0982-4B89-A3A4-135409FF40D6}" srcOrd="0" destOrd="0" presId="urn:microsoft.com/office/officeart/2005/8/layout/balance1"/>
    <dgm:cxn modelId="{C364465D-5803-423E-B63B-893D5E9A732A}" srcId="{07711AF4-450F-43C7-8DD1-CEF012EB5CE1}" destId="{01CDF02D-D50C-42A1-85DE-26FC8854D9EB}" srcOrd="3" destOrd="0" parTransId="{867F6AC9-0A7F-4DE3-A7B5-2BE7F61DBEB3}" sibTransId="{4B70DE13-3644-406D-B982-41623A258175}"/>
    <dgm:cxn modelId="{9E5DD66D-D943-4057-B8ED-C6C86BF3C4E7}" type="presOf" srcId="{780621FF-5405-4A5A-8016-3E26BB31DBB3}" destId="{BFC9D2AE-DD72-4662-977D-D3E8A87BC554}" srcOrd="0" destOrd="0" presId="urn:microsoft.com/office/officeart/2005/8/layout/balance1"/>
    <dgm:cxn modelId="{3ED17057-D99F-4E7A-95F6-03A4D67881D9}" srcId="{07711AF4-450F-43C7-8DD1-CEF012EB5CE1}" destId="{56929AE9-D562-4BE0-8291-D3DED40EA6D4}" srcOrd="4" destOrd="0" parTransId="{A9BD3B98-DB63-4BB9-ACB7-48F95AF69F23}" sibTransId="{B2C69089-1A3F-4334-B834-6FAE7DA08A29}"/>
    <dgm:cxn modelId="{FE7A703A-56D8-40BB-B00E-04069A5F4322}" srcId="{6449EC1A-B46F-4CCB-AA2F-4F6C1A89FDA9}" destId="{8A61DE56-69D9-4159-9A6A-6F9F773521B8}" srcOrd="0" destOrd="0" parTransId="{EE0A21EB-757A-4A9D-9E2D-48A7CAC3280A}" sibTransId="{FDBA53BB-1A0A-480E-BDF0-5CAD096550A5}"/>
    <dgm:cxn modelId="{F43CD4AD-E986-4C52-963C-3A1B58BE258C}" srcId="{07711AF4-450F-43C7-8DD1-CEF012EB5CE1}" destId="{2BE9DB54-5B7F-4AD9-864D-EB0E65E2539A}" srcOrd="0" destOrd="0" parTransId="{960E4991-904F-443B-A1DB-F6A8D6292E91}" sibTransId="{BD876908-E989-4C5F-8875-68927B21B280}"/>
    <dgm:cxn modelId="{BEC1E30B-DF83-4F0F-8BC6-7DA4198A5599}" srcId="{6449EC1A-B46F-4CCB-AA2F-4F6C1A89FDA9}" destId="{8A3C6D4D-56F6-433A-806D-7CD8D8A401F7}" srcOrd="1" destOrd="0" parTransId="{522768C2-0EEF-4FCA-A559-DFBC163EC894}" sibTransId="{9946A841-2110-4F77-97F4-CC911AF6DFB6}"/>
    <dgm:cxn modelId="{BF969E6D-3A0D-4FEE-90E7-632C413126D2}" srcId="{6449EC1A-B46F-4CCB-AA2F-4F6C1A89FDA9}" destId="{1B55EECF-2865-4E0B-86A1-AB91EA8AC6F5}" srcOrd="4" destOrd="0" parTransId="{8A32E783-824E-415B-96E9-8436B2230F40}" sibTransId="{2CB93D1B-BC38-4D75-A4C2-C8686D6A52FD}"/>
    <dgm:cxn modelId="{884BB111-8510-4330-93E0-E7D689A41C9B}" type="presOf" srcId="{2BE9DB54-5B7F-4AD9-864D-EB0E65E2539A}" destId="{88023B14-79F3-4F38-A2A0-DEEBD24469E7}" srcOrd="0" destOrd="0" presId="urn:microsoft.com/office/officeart/2005/8/layout/balance1"/>
    <dgm:cxn modelId="{4C1D5DE2-E36A-4FCD-8BF8-4725A80B14BA}" srcId="{6449EC1A-B46F-4CCB-AA2F-4F6C1A89FDA9}" destId="{780621FF-5405-4A5A-8016-3E26BB31DBB3}" srcOrd="3" destOrd="0" parTransId="{A54A6721-7539-4D3B-9D79-855480BB24C0}" sibTransId="{48B099BF-30F1-427E-AFAB-341DB781C4FD}"/>
    <dgm:cxn modelId="{12BB94B3-C750-4CAA-BB4E-934D696FC121}" srcId="{6449EC1A-B46F-4CCB-AA2F-4F6C1A89FDA9}" destId="{2F65982B-FC71-4CD6-A12A-EEFAB1488BB8}" srcOrd="2" destOrd="0" parTransId="{38713FA0-9C65-4066-8DAE-C5700124E6CE}" sibTransId="{D7C2A890-0C14-4455-AF8F-E26FA9F4F307}"/>
    <dgm:cxn modelId="{72255BC1-3F29-4016-ADE3-79FAB718218F}" srcId="{07711AF4-450F-43C7-8DD1-CEF012EB5CE1}" destId="{721F5212-8CD9-42A2-9061-5546F7342F5A}" srcOrd="5" destOrd="0" parTransId="{CDD8160B-FF68-4B28-AB6F-BACB1C15FFE5}" sibTransId="{C3F7E2E8-2B9A-44D9-BC2F-D1E5CEAD7DB0}"/>
    <dgm:cxn modelId="{73A8928D-4796-4565-80D0-B6644EF196C4}" srcId="{07711AF4-450F-43C7-8DD1-CEF012EB5CE1}" destId="{2D43B03F-9A77-41DC-AC93-CB9773AB8048}" srcOrd="1" destOrd="0" parTransId="{82FB13AE-CE83-45D2-951A-713C8277EDF4}" sibTransId="{947E86E4-EC1C-4CDB-AB7A-AB6C8FA2EE99}"/>
    <dgm:cxn modelId="{2B1A3942-7F40-405D-9A09-D46220B11C6E}" srcId="{BE722D41-5FCC-4261-B22E-D3BF17C0DB68}" destId="{07711AF4-450F-43C7-8DD1-CEF012EB5CE1}" srcOrd="1" destOrd="0" parTransId="{FB228E82-6FED-4BCB-9396-5BF9B0EF95BF}" sibTransId="{68CECF78-DF13-46D4-8B66-2D7E87C34179}"/>
    <dgm:cxn modelId="{A2012344-0D4F-44ED-AAFE-8B04D9D8166D}" type="presOf" srcId="{BC103901-D203-4291-ACF5-9490613D23C7}" destId="{ADF37BB9-1AFA-4EE2-8E72-79F7B46A7675}" srcOrd="0" destOrd="0" presId="urn:microsoft.com/office/officeart/2005/8/layout/balance1"/>
    <dgm:cxn modelId="{3E6EFD45-F701-4D98-BA69-8659A9CDFBBF}" srcId="{07711AF4-450F-43C7-8DD1-CEF012EB5CE1}" destId="{BC103901-D203-4291-ACF5-9490613D23C7}" srcOrd="2" destOrd="0" parTransId="{BA0BE38E-6993-4E32-8A82-3C8F994DA8D4}" sibTransId="{B3119E09-8338-4657-B64D-5627B9048D8C}"/>
    <dgm:cxn modelId="{CDBAFB7C-2AD2-48ED-B800-6B4B55D452F1}" type="presOf" srcId="{2D43B03F-9A77-41DC-AC93-CB9773AB8048}" destId="{E9428A17-1E0F-4720-B76F-B7D9ADC382ED}" srcOrd="0" destOrd="0" presId="urn:microsoft.com/office/officeart/2005/8/layout/balance1"/>
    <dgm:cxn modelId="{80FEA27B-65EA-4C59-A70A-21B0D9FAA73A}" type="presOf" srcId="{6449EC1A-B46F-4CCB-AA2F-4F6C1A89FDA9}" destId="{5F1A5F7C-09F6-499F-986E-B522D2398BF1}" srcOrd="0" destOrd="0" presId="urn:microsoft.com/office/officeart/2005/8/layout/balance1"/>
    <dgm:cxn modelId="{9E5CEB3F-5350-4320-8262-D6EA08F632C0}" type="presParOf" srcId="{8E9917B7-D0E3-48BB-9FE9-D547DCBDA495}" destId="{C9379EB2-38DA-4739-820A-E413DC289759}" srcOrd="0" destOrd="0" presId="urn:microsoft.com/office/officeart/2005/8/layout/balance1"/>
    <dgm:cxn modelId="{4E18359A-2688-4C64-A939-3F9C72CBC0E9}" type="presParOf" srcId="{8E9917B7-D0E3-48BB-9FE9-D547DCBDA495}" destId="{29CFD1A0-9738-4D57-8452-8B852C5BEEC0}" srcOrd="1" destOrd="0" presId="urn:microsoft.com/office/officeart/2005/8/layout/balance1"/>
    <dgm:cxn modelId="{CF82355E-6F1B-4F22-96DD-9429EB03328D}" type="presParOf" srcId="{29CFD1A0-9738-4D57-8452-8B852C5BEEC0}" destId="{5F1A5F7C-09F6-499F-986E-B522D2398BF1}" srcOrd="0" destOrd="0" presId="urn:microsoft.com/office/officeart/2005/8/layout/balance1"/>
    <dgm:cxn modelId="{98E54283-9663-4540-A964-0E0D6375C682}" type="presParOf" srcId="{29CFD1A0-9738-4D57-8452-8B852C5BEEC0}" destId="{0C004DDB-8056-4A56-8A91-48468D968F7E}" srcOrd="1" destOrd="0" presId="urn:microsoft.com/office/officeart/2005/8/layout/balance1"/>
    <dgm:cxn modelId="{C4620B18-F6D5-4D78-8629-1A98527DEDFC}" type="presParOf" srcId="{8E9917B7-D0E3-48BB-9FE9-D547DCBDA495}" destId="{A1E3C0AE-B698-42B9-8EB7-C8C476AC4DF1}" srcOrd="2" destOrd="0" presId="urn:microsoft.com/office/officeart/2005/8/layout/balance1"/>
    <dgm:cxn modelId="{EEB690AE-691A-4E59-AB35-8390EC60F6FE}" type="presParOf" srcId="{A1E3C0AE-B698-42B9-8EB7-C8C476AC4DF1}" destId="{B6D7C4BC-4A2E-4012-B2FE-A2DAA897D6B8}" srcOrd="0" destOrd="0" presId="urn:microsoft.com/office/officeart/2005/8/layout/balance1"/>
    <dgm:cxn modelId="{AABFFEB5-D496-40F4-ACDE-1D916F3C231A}" type="presParOf" srcId="{A1E3C0AE-B698-42B9-8EB7-C8C476AC4DF1}" destId="{E399B901-4DAE-43AF-87AC-338CADA5146B}" srcOrd="1" destOrd="0" presId="urn:microsoft.com/office/officeart/2005/8/layout/balance1"/>
    <dgm:cxn modelId="{D9448B64-ABB4-4AA6-8C32-EC65CCE4A88C}" type="presParOf" srcId="{A1E3C0AE-B698-42B9-8EB7-C8C476AC4DF1}" destId="{D913B2DB-03D0-465B-9931-AE4C93A94B27}" srcOrd="2" destOrd="0" presId="urn:microsoft.com/office/officeart/2005/8/layout/balance1"/>
    <dgm:cxn modelId="{0B2A1191-40B4-4412-8883-D45FD321639F}" type="presParOf" srcId="{A1E3C0AE-B698-42B9-8EB7-C8C476AC4DF1}" destId="{88023B14-79F3-4F38-A2A0-DEEBD24469E7}" srcOrd="3" destOrd="0" presId="urn:microsoft.com/office/officeart/2005/8/layout/balance1"/>
    <dgm:cxn modelId="{2153E831-F588-4D90-B7BC-E7817DA8D0C3}" type="presParOf" srcId="{A1E3C0AE-B698-42B9-8EB7-C8C476AC4DF1}" destId="{E9428A17-1E0F-4720-B76F-B7D9ADC382ED}" srcOrd="4" destOrd="0" presId="urn:microsoft.com/office/officeart/2005/8/layout/balance1"/>
    <dgm:cxn modelId="{0D81AAF8-B12B-493C-9AFB-6E6010FAFA18}" type="presParOf" srcId="{A1E3C0AE-B698-42B9-8EB7-C8C476AC4DF1}" destId="{ADF37BB9-1AFA-4EE2-8E72-79F7B46A7675}" srcOrd="5" destOrd="0" presId="urn:microsoft.com/office/officeart/2005/8/layout/balance1"/>
    <dgm:cxn modelId="{DFC7FB54-E047-4A3F-B22F-F943E2CD499A}" type="presParOf" srcId="{A1E3C0AE-B698-42B9-8EB7-C8C476AC4DF1}" destId="{0208D67F-2763-4D98-B398-06FF87891232}" srcOrd="6" destOrd="0" presId="urn:microsoft.com/office/officeart/2005/8/layout/balance1"/>
    <dgm:cxn modelId="{0D97534C-712A-4004-A797-02BD082DCB11}" type="presParOf" srcId="{A1E3C0AE-B698-42B9-8EB7-C8C476AC4DF1}" destId="{87120E3B-5843-449D-8A7B-0217FCC316F9}" srcOrd="7" destOrd="0" presId="urn:microsoft.com/office/officeart/2005/8/layout/balance1"/>
    <dgm:cxn modelId="{05DCBFE8-91E4-415C-BA75-52C3F89C2471}" type="presParOf" srcId="{A1E3C0AE-B698-42B9-8EB7-C8C476AC4DF1}" destId="{25EE94F8-0982-4B89-A3A4-135409FF40D6}" srcOrd="8" destOrd="0" presId="urn:microsoft.com/office/officeart/2005/8/layout/balance1"/>
    <dgm:cxn modelId="{84DE2CBE-30CE-4060-8DA5-7628DA201724}" type="presParOf" srcId="{A1E3C0AE-B698-42B9-8EB7-C8C476AC4DF1}" destId="{C8F4B027-4892-43DA-B225-BFE15C0F1938}" srcOrd="9" destOrd="0" presId="urn:microsoft.com/office/officeart/2005/8/layout/balance1"/>
    <dgm:cxn modelId="{19C8EBD7-57C2-46DF-97D2-DCBCFCB955C5}" type="presParOf" srcId="{A1E3C0AE-B698-42B9-8EB7-C8C476AC4DF1}" destId="{BFC9D2AE-DD72-4662-977D-D3E8A87BC554}" srcOrd="10" destOrd="0" presId="urn:microsoft.com/office/officeart/2005/8/layout/balance1"/>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83C05C-79F8-42F1-8071-E3D8CA2C9A90}"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pl-PL"/>
        </a:p>
      </dgm:t>
    </dgm:pt>
    <dgm:pt modelId="{A9CCE34C-08BD-42AC-8607-66C21CC0894E}">
      <dgm:prSet phldrT="[Tekst]" custT="1"/>
      <dgm:spPr/>
      <dgm:t>
        <a:bodyPr/>
        <a:lstStyle/>
        <a:p>
          <a:r>
            <a:rPr lang="pl-PL" sz="2000"/>
            <a:t>SZANSE</a:t>
          </a:r>
        </a:p>
      </dgm:t>
    </dgm:pt>
    <dgm:pt modelId="{E2FE4CE9-4EDD-4FDC-9933-2DF09149AD4E}" type="parTrans" cxnId="{25D09C5E-8E46-4DFC-B830-DDF9EAE021B7}">
      <dgm:prSet/>
      <dgm:spPr/>
      <dgm:t>
        <a:bodyPr/>
        <a:lstStyle/>
        <a:p>
          <a:endParaRPr lang="pl-PL"/>
        </a:p>
      </dgm:t>
    </dgm:pt>
    <dgm:pt modelId="{04CF42F4-B9C6-4067-8D6F-44D9052717E9}" type="sibTrans" cxnId="{25D09C5E-8E46-4DFC-B830-DDF9EAE021B7}">
      <dgm:prSet/>
      <dgm:spPr/>
      <dgm:t>
        <a:bodyPr/>
        <a:lstStyle/>
        <a:p>
          <a:endParaRPr lang="pl-PL"/>
        </a:p>
      </dgm:t>
    </dgm:pt>
    <dgm:pt modelId="{19BA1CCE-DC4D-4D72-AD8E-9EB91DC556F9}">
      <dgm:prSet phldrT="[Tekst]" custT="1"/>
      <dgm:spPr/>
      <dgm:t>
        <a:bodyPr/>
        <a:lstStyle/>
        <a:p>
          <a:r>
            <a:rPr lang="pl-PL" sz="1000"/>
            <a:t>Rosnąca</a:t>
          </a:r>
          <a:r>
            <a:rPr lang="pl-PL" sz="800"/>
            <a:t> świadomość ekologiczna</a:t>
          </a:r>
        </a:p>
      </dgm:t>
    </dgm:pt>
    <dgm:pt modelId="{4B17231C-8881-4225-BA83-A7988605D34F}" type="parTrans" cxnId="{0B0FD309-52E0-498E-9FBB-1433F79BAC97}">
      <dgm:prSet/>
      <dgm:spPr/>
      <dgm:t>
        <a:bodyPr/>
        <a:lstStyle/>
        <a:p>
          <a:endParaRPr lang="pl-PL"/>
        </a:p>
      </dgm:t>
    </dgm:pt>
    <dgm:pt modelId="{95E93AC9-F3F7-4E78-B291-7EDCA52B4662}" type="sibTrans" cxnId="{0B0FD309-52E0-498E-9FBB-1433F79BAC97}">
      <dgm:prSet/>
      <dgm:spPr/>
      <dgm:t>
        <a:bodyPr/>
        <a:lstStyle/>
        <a:p>
          <a:endParaRPr lang="pl-PL"/>
        </a:p>
      </dgm:t>
    </dgm:pt>
    <dgm:pt modelId="{2B124C33-4A64-40DE-B916-063E12BC98FD}">
      <dgm:prSet custT="1"/>
      <dgm:spPr/>
      <dgm:t>
        <a:bodyPr/>
        <a:lstStyle/>
        <a:p>
          <a:r>
            <a:rPr lang="pl-PL" sz="1000"/>
            <a:t>Nowa perspektywa finansowa 2014-2020 umożliwiająca ubieganie się o dofinansowania inwestycji OZE, termomodernizacji na rzecz redukcji emisji</a:t>
          </a:r>
        </a:p>
      </dgm:t>
    </dgm:pt>
    <dgm:pt modelId="{0B16491B-44D4-47CF-91E8-8702480C8254}" type="parTrans" cxnId="{D778F3E1-C3E4-4021-B529-817554EB9397}">
      <dgm:prSet/>
      <dgm:spPr/>
      <dgm:t>
        <a:bodyPr/>
        <a:lstStyle/>
        <a:p>
          <a:endParaRPr lang="pl-PL"/>
        </a:p>
      </dgm:t>
    </dgm:pt>
    <dgm:pt modelId="{173C6CC8-B548-4DA8-95E0-9FA69727D1C6}" type="sibTrans" cxnId="{D778F3E1-C3E4-4021-B529-817554EB9397}">
      <dgm:prSet/>
      <dgm:spPr/>
      <dgm:t>
        <a:bodyPr/>
        <a:lstStyle/>
        <a:p>
          <a:endParaRPr lang="pl-PL"/>
        </a:p>
      </dgm:t>
    </dgm:pt>
    <dgm:pt modelId="{350D646F-A942-4F4A-A60B-24A723BE2B0B}">
      <dgm:prSet phldrT="[Tekst]" custT="1"/>
      <dgm:spPr/>
      <dgm:t>
        <a:bodyPr/>
        <a:lstStyle/>
        <a:p>
          <a:r>
            <a:rPr lang="pl-PL" sz="2000"/>
            <a:t>ZAGROŻENIA</a:t>
          </a:r>
        </a:p>
      </dgm:t>
    </dgm:pt>
    <dgm:pt modelId="{324DB090-48E7-4E6F-8529-797D112F8744}" type="parTrans" cxnId="{41416E42-DA5C-427E-A985-E30C5A44216A}">
      <dgm:prSet/>
      <dgm:spPr/>
      <dgm:t>
        <a:bodyPr/>
        <a:lstStyle/>
        <a:p>
          <a:endParaRPr lang="pl-PL"/>
        </a:p>
      </dgm:t>
    </dgm:pt>
    <dgm:pt modelId="{FDA5986B-2E41-491F-AB82-8A12A668830C}" type="sibTrans" cxnId="{41416E42-DA5C-427E-A985-E30C5A44216A}">
      <dgm:prSet/>
      <dgm:spPr/>
      <dgm:t>
        <a:bodyPr/>
        <a:lstStyle/>
        <a:p>
          <a:endParaRPr lang="pl-PL"/>
        </a:p>
      </dgm:t>
    </dgm:pt>
    <dgm:pt modelId="{E2634105-F5C7-4CE0-B241-25F3FFE53BBF}">
      <dgm:prSet phldrT="[Tekst]"/>
      <dgm:spPr/>
      <dgm:t>
        <a:bodyPr/>
        <a:lstStyle/>
        <a:p>
          <a:r>
            <a:rPr lang="pl-PL"/>
            <a:t>Wysokie koszty inwestycji w termomodernizacje i OZE.</a:t>
          </a:r>
        </a:p>
      </dgm:t>
    </dgm:pt>
    <dgm:pt modelId="{05712F44-5208-498F-A82F-0B8F63215302}" type="parTrans" cxnId="{208E87F2-149E-4936-8725-A6CE2E63D645}">
      <dgm:prSet/>
      <dgm:spPr/>
      <dgm:t>
        <a:bodyPr/>
        <a:lstStyle/>
        <a:p>
          <a:endParaRPr lang="pl-PL"/>
        </a:p>
      </dgm:t>
    </dgm:pt>
    <dgm:pt modelId="{FFB573AD-C215-4FAB-B48A-F0F9F72F9808}" type="sibTrans" cxnId="{208E87F2-149E-4936-8725-A6CE2E63D645}">
      <dgm:prSet/>
      <dgm:spPr/>
      <dgm:t>
        <a:bodyPr/>
        <a:lstStyle/>
        <a:p>
          <a:endParaRPr lang="pl-PL"/>
        </a:p>
      </dgm:t>
    </dgm:pt>
    <dgm:pt modelId="{AD415FE3-78CD-447D-8C2B-7521791D870E}">
      <dgm:prSet phldrT="[Tekst]" custT="1"/>
      <dgm:spPr/>
      <dgm:t>
        <a:bodyPr/>
        <a:lstStyle/>
        <a:p>
          <a:r>
            <a:rPr lang="pl-PL" sz="1000"/>
            <a:t>Niewystarczające dofinansowanie ze źródeł zewnętrznych na pokrycie wszystkich zaplanowanych działań. </a:t>
          </a:r>
        </a:p>
      </dgm:t>
    </dgm:pt>
    <dgm:pt modelId="{02F14784-11F5-4D19-9EFC-15B25953C92F}" type="parTrans" cxnId="{801027E1-B406-4EAC-A341-327CFA5383E3}">
      <dgm:prSet/>
      <dgm:spPr/>
      <dgm:t>
        <a:bodyPr/>
        <a:lstStyle/>
        <a:p>
          <a:endParaRPr lang="pl-PL"/>
        </a:p>
      </dgm:t>
    </dgm:pt>
    <dgm:pt modelId="{F960980E-C937-4990-8955-44745DA42117}" type="sibTrans" cxnId="{801027E1-B406-4EAC-A341-327CFA5383E3}">
      <dgm:prSet/>
      <dgm:spPr/>
      <dgm:t>
        <a:bodyPr/>
        <a:lstStyle/>
        <a:p>
          <a:endParaRPr lang="pl-PL"/>
        </a:p>
      </dgm:t>
    </dgm:pt>
    <dgm:pt modelId="{E9F472F0-9486-4067-9E30-416308432C75}">
      <dgm:prSet phldrT="[Tekst]" custT="1"/>
      <dgm:spPr/>
      <dgm:t>
        <a:bodyPr/>
        <a:lstStyle/>
        <a:p>
          <a:r>
            <a:rPr lang="pl-PL" sz="800"/>
            <a:t>Og</a:t>
          </a:r>
          <a:r>
            <a:rPr lang="pl-PL" sz="1000"/>
            <a:t>ólnokrajowy trend wzrostu zużycia energii elektrycznej.</a:t>
          </a:r>
        </a:p>
      </dgm:t>
    </dgm:pt>
    <dgm:pt modelId="{7886054B-FAC5-430D-B941-7A7D9CB9EFA1}" type="parTrans" cxnId="{96C5E9C7-5FFF-482F-9472-BC0B68095294}">
      <dgm:prSet/>
      <dgm:spPr/>
      <dgm:t>
        <a:bodyPr/>
        <a:lstStyle/>
        <a:p>
          <a:endParaRPr lang="pl-PL"/>
        </a:p>
      </dgm:t>
    </dgm:pt>
    <dgm:pt modelId="{EAF86669-31A4-4307-ABB0-66B652844083}" type="sibTrans" cxnId="{96C5E9C7-5FFF-482F-9472-BC0B68095294}">
      <dgm:prSet/>
      <dgm:spPr/>
      <dgm:t>
        <a:bodyPr/>
        <a:lstStyle/>
        <a:p>
          <a:endParaRPr lang="pl-PL"/>
        </a:p>
      </dgm:t>
    </dgm:pt>
    <dgm:pt modelId="{AEDAFD65-65A6-46A9-9560-4C2D8A841A9E}">
      <dgm:prSet/>
      <dgm:spPr/>
      <dgm:t>
        <a:bodyPr/>
        <a:lstStyle/>
        <a:p>
          <a:endParaRPr lang="pl-PL"/>
        </a:p>
      </dgm:t>
    </dgm:pt>
    <dgm:pt modelId="{55B8A2C7-3A71-48F9-B51F-60C1C6A93AAC}" type="parTrans" cxnId="{3E0BC8E9-97C3-43C4-92AD-EB540E0F1727}">
      <dgm:prSet/>
      <dgm:spPr/>
      <dgm:t>
        <a:bodyPr/>
        <a:lstStyle/>
        <a:p>
          <a:endParaRPr lang="pl-PL"/>
        </a:p>
      </dgm:t>
    </dgm:pt>
    <dgm:pt modelId="{FF669F4F-5F83-4FAE-AB7D-68D74B00B54D}" type="sibTrans" cxnId="{3E0BC8E9-97C3-43C4-92AD-EB540E0F1727}">
      <dgm:prSet/>
      <dgm:spPr/>
      <dgm:t>
        <a:bodyPr/>
        <a:lstStyle/>
        <a:p>
          <a:endParaRPr lang="pl-PL"/>
        </a:p>
      </dgm:t>
    </dgm:pt>
    <dgm:pt modelId="{3EF87152-D6E1-41B9-A1EB-7F3E2A8B322F}">
      <dgm:prSet custT="1"/>
      <dgm:spPr/>
      <dgm:t>
        <a:bodyPr/>
        <a:lstStyle/>
        <a:p>
          <a:r>
            <a:rPr lang="pl-PL" sz="1000"/>
            <a:t>Wzrastająca presja na racjonalne gospodarowanie energią i ograniczanie emisji. Rozwój technologii energooszczędnej.</a:t>
          </a:r>
        </a:p>
      </dgm:t>
    </dgm:pt>
    <dgm:pt modelId="{CCA614D4-96FA-451C-A443-68FCC8B40EFE}" type="parTrans" cxnId="{02456D35-F45A-4A17-BC38-0C5D860F31E0}">
      <dgm:prSet/>
      <dgm:spPr/>
      <dgm:t>
        <a:bodyPr/>
        <a:lstStyle/>
        <a:p>
          <a:endParaRPr lang="pl-PL"/>
        </a:p>
      </dgm:t>
    </dgm:pt>
    <dgm:pt modelId="{A818A5FD-B9CD-45DA-A780-5E31C32645A1}" type="sibTrans" cxnId="{02456D35-F45A-4A17-BC38-0C5D860F31E0}">
      <dgm:prSet/>
      <dgm:spPr/>
      <dgm:t>
        <a:bodyPr/>
        <a:lstStyle/>
        <a:p>
          <a:endParaRPr lang="pl-PL"/>
        </a:p>
      </dgm:t>
    </dgm:pt>
    <dgm:pt modelId="{9E4D4FCE-D86E-4C64-BD83-ACCB9B4A8CF9}">
      <dgm:prSet custT="1"/>
      <dgm:spPr/>
      <dgm:t>
        <a:bodyPr/>
        <a:lstStyle/>
        <a:p>
          <a:r>
            <a:rPr lang="pl-PL" sz="1000"/>
            <a:t>Krajowe zobowiązania dotyczące zapewnienia odpowiedniego poziomu energii odnawialnej i biopaliw na poziomie krajowym. </a:t>
          </a:r>
        </a:p>
      </dgm:t>
    </dgm:pt>
    <dgm:pt modelId="{344D09BC-FC1B-4D0E-8CD4-7BDAA66176CC}" type="parTrans" cxnId="{FC74714D-67D7-44E0-917A-1CFABCF88819}">
      <dgm:prSet/>
      <dgm:spPr/>
      <dgm:t>
        <a:bodyPr/>
        <a:lstStyle/>
        <a:p>
          <a:endParaRPr lang="pl-PL"/>
        </a:p>
      </dgm:t>
    </dgm:pt>
    <dgm:pt modelId="{84F60BC2-54B5-481F-8AC9-A4998582BD00}" type="sibTrans" cxnId="{FC74714D-67D7-44E0-917A-1CFABCF88819}">
      <dgm:prSet/>
      <dgm:spPr/>
      <dgm:t>
        <a:bodyPr/>
        <a:lstStyle/>
        <a:p>
          <a:endParaRPr lang="pl-PL"/>
        </a:p>
      </dgm:t>
    </dgm:pt>
    <dgm:pt modelId="{36A364D3-047D-4878-9C33-65B69907CE80}" type="pres">
      <dgm:prSet presAssocID="{7483C05C-79F8-42F1-8071-E3D8CA2C9A90}" presName="outerComposite" presStyleCnt="0">
        <dgm:presLayoutVars>
          <dgm:chMax val="2"/>
          <dgm:animLvl val="lvl"/>
          <dgm:resizeHandles val="exact"/>
        </dgm:presLayoutVars>
      </dgm:prSet>
      <dgm:spPr/>
      <dgm:t>
        <a:bodyPr/>
        <a:lstStyle/>
        <a:p>
          <a:endParaRPr lang="pl-PL"/>
        </a:p>
      </dgm:t>
    </dgm:pt>
    <dgm:pt modelId="{2B503615-5DB7-4EFE-A8DA-4C268791D390}" type="pres">
      <dgm:prSet presAssocID="{7483C05C-79F8-42F1-8071-E3D8CA2C9A90}" presName="dummyMaxCanvas" presStyleCnt="0"/>
      <dgm:spPr/>
    </dgm:pt>
    <dgm:pt modelId="{165CEEB7-FE33-41E1-BC80-C697CB893D5E}" type="pres">
      <dgm:prSet presAssocID="{7483C05C-79F8-42F1-8071-E3D8CA2C9A90}" presName="parentComposite" presStyleCnt="0"/>
      <dgm:spPr/>
    </dgm:pt>
    <dgm:pt modelId="{01F93D4D-B89C-4D8B-8510-42B476A81ADF}" type="pres">
      <dgm:prSet presAssocID="{7483C05C-79F8-42F1-8071-E3D8CA2C9A90}" presName="parent1" presStyleLbl="alignAccFollowNode1" presStyleIdx="0" presStyleCnt="4" custLinFactNeighborX="-6848" custLinFactNeighborY="-38011">
        <dgm:presLayoutVars>
          <dgm:chMax val="4"/>
        </dgm:presLayoutVars>
      </dgm:prSet>
      <dgm:spPr/>
      <dgm:t>
        <a:bodyPr/>
        <a:lstStyle/>
        <a:p>
          <a:endParaRPr lang="pl-PL"/>
        </a:p>
      </dgm:t>
    </dgm:pt>
    <dgm:pt modelId="{69E8767C-0BF0-4397-90EC-0ED56179A4DA}" type="pres">
      <dgm:prSet presAssocID="{7483C05C-79F8-42F1-8071-E3D8CA2C9A90}" presName="parent2" presStyleLbl="alignAccFollowNode1" presStyleIdx="1" presStyleCnt="4">
        <dgm:presLayoutVars>
          <dgm:chMax val="4"/>
        </dgm:presLayoutVars>
      </dgm:prSet>
      <dgm:spPr/>
      <dgm:t>
        <a:bodyPr/>
        <a:lstStyle/>
        <a:p>
          <a:endParaRPr lang="pl-PL"/>
        </a:p>
      </dgm:t>
    </dgm:pt>
    <dgm:pt modelId="{33804D6E-7165-4002-82D3-5AF18BB6712A}" type="pres">
      <dgm:prSet presAssocID="{7483C05C-79F8-42F1-8071-E3D8CA2C9A90}" presName="childrenComposite" presStyleCnt="0"/>
      <dgm:spPr/>
    </dgm:pt>
    <dgm:pt modelId="{777C80E1-7D8D-4AB8-9135-3B1D34DE7467}" type="pres">
      <dgm:prSet presAssocID="{7483C05C-79F8-42F1-8071-E3D8CA2C9A90}" presName="dummyMaxCanvas_ChildArea" presStyleCnt="0"/>
      <dgm:spPr/>
    </dgm:pt>
    <dgm:pt modelId="{8F0DE956-5110-4A12-8D6B-8340A1C854AE}" type="pres">
      <dgm:prSet presAssocID="{7483C05C-79F8-42F1-8071-E3D8CA2C9A90}" presName="fulcrum" presStyleLbl="alignAccFollowNode1" presStyleIdx="2" presStyleCnt="4" custLinFactNeighborX="4109" custLinFactNeighborY="43833"/>
      <dgm:spPr/>
    </dgm:pt>
    <dgm:pt modelId="{13958688-EFA9-407F-80CE-BC9A3A71956F}" type="pres">
      <dgm:prSet presAssocID="{7483C05C-79F8-42F1-8071-E3D8CA2C9A90}" presName="balance_43" presStyleLbl="alignAccFollowNode1" presStyleIdx="3" presStyleCnt="4" custLinFactNeighborX="0" custLinFactNeighborY="50712">
        <dgm:presLayoutVars>
          <dgm:bulletEnabled val="1"/>
        </dgm:presLayoutVars>
      </dgm:prSet>
      <dgm:spPr/>
    </dgm:pt>
    <dgm:pt modelId="{BF346C31-A1FF-46DE-BEA6-3E554BE61793}" type="pres">
      <dgm:prSet presAssocID="{7483C05C-79F8-42F1-8071-E3D8CA2C9A90}" presName="left_43_1" presStyleLbl="node1" presStyleIdx="0" presStyleCnt="7" custScaleX="102661" custScaleY="63917" custLinFactNeighborX="5630" custLinFactNeighborY="61084">
        <dgm:presLayoutVars>
          <dgm:bulletEnabled val="1"/>
        </dgm:presLayoutVars>
      </dgm:prSet>
      <dgm:spPr/>
      <dgm:t>
        <a:bodyPr/>
        <a:lstStyle/>
        <a:p>
          <a:endParaRPr lang="pl-PL"/>
        </a:p>
      </dgm:t>
    </dgm:pt>
    <dgm:pt modelId="{C5145C3E-2585-4D9E-A5B8-BE933CF12AC1}" type="pres">
      <dgm:prSet presAssocID="{7483C05C-79F8-42F1-8071-E3D8CA2C9A90}" presName="left_43_2" presStyleLbl="node1" presStyleIdx="1" presStyleCnt="7" custScaleX="103786" custScaleY="163494" custLinFactNeighborX="4504" custLinFactNeighborY="44425">
        <dgm:presLayoutVars>
          <dgm:bulletEnabled val="1"/>
        </dgm:presLayoutVars>
      </dgm:prSet>
      <dgm:spPr/>
      <dgm:t>
        <a:bodyPr/>
        <a:lstStyle/>
        <a:p>
          <a:endParaRPr lang="pl-PL"/>
        </a:p>
      </dgm:t>
    </dgm:pt>
    <dgm:pt modelId="{2D292862-9D26-487B-A3F8-54BBBA60EA88}" type="pres">
      <dgm:prSet presAssocID="{7483C05C-79F8-42F1-8071-E3D8CA2C9A90}" presName="left_43_3" presStyleLbl="node1" presStyleIdx="2" presStyleCnt="7" custScaleX="104283" custScaleY="148166" custLinFactNeighborX="1689" custLinFactNeighborY="-9718">
        <dgm:presLayoutVars>
          <dgm:bulletEnabled val="1"/>
        </dgm:presLayoutVars>
      </dgm:prSet>
      <dgm:spPr/>
      <dgm:t>
        <a:bodyPr/>
        <a:lstStyle/>
        <a:p>
          <a:endParaRPr lang="pl-PL"/>
        </a:p>
      </dgm:t>
    </dgm:pt>
    <dgm:pt modelId="{42FEA172-901A-4FB7-9974-4AA4B47E5DD2}" type="pres">
      <dgm:prSet presAssocID="{7483C05C-79F8-42F1-8071-E3D8CA2C9A90}" presName="left_43_4" presStyleLbl="node1" presStyleIdx="3" presStyleCnt="7" custScaleX="103566" custScaleY="147442" custLinFactNeighborX="1126" custLinFactNeighborY="-55531">
        <dgm:presLayoutVars>
          <dgm:bulletEnabled val="1"/>
        </dgm:presLayoutVars>
      </dgm:prSet>
      <dgm:spPr/>
      <dgm:t>
        <a:bodyPr/>
        <a:lstStyle/>
        <a:p>
          <a:endParaRPr lang="pl-PL"/>
        </a:p>
      </dgm:t>
    </dgm:pt>
    <dgm:pt modelId="{7B28FD0D-5F1F-4EBB-87D6-9C1A4D2CBA87}" type="pres">
      <dgm:prSet presAssocID="{7483C05C-79F8-42F1-8071-E3D8CA2C9A90}" presName="right_43_1" presStyleLbl="node1" presStyleIdx="4" presStyleCnt="7" custLinFactNeighborX="-1689" custLinFactNeighborY="9718">
        <dgm:presLayoutVars>
          <dgm:bulletEnabled val="1"/>
        </dgm:presLayoutVars>
      </dgm:prSet>
      <dgm:spPr/>
      <dgm:t>
        <a:bodyPr/>
        <a:lstStyle/>
        <a:p>
          <a:endParaRPr lang="pl-PL"/>
        </a:p>
      </dgm:t>
    </dgm:pt>
    <dgm:pt modelId="{52B30703-CE12-4B2E-95C6-A510CC6EBA3A}" type="pres">
      <dgm:prSet presAssocID="{7483C05C-79F8-42F1-8071-E3D8CA2C9A90}" presName="right_43_2" presStyleLbl="node1" presStyleIdx="5" presStyleCnt="7" custScaleX="99657" custScaleY="147564" custLinFactNeighborX="-4503" custLinFactNeighborY="-20824">
        <dgm:presLayoutVars>
          <dgm:bulletEnabled val="1"/>
        </dgm:presLayoutVars>
      </dgm:prSet>
      <dgm:spPr/>
      <dgm:t>
        <a:bodyPr/>
        <a:lstStyle/>
        <a:p>
          <a:endParaRPr lang="pl-PL"/>
        </a:p>
      </dgm:t>
    </dgm:pt>
    <dgm:pt modelId="{5AA9F2DD-A829-4338-A74F-4A7419488A96}" type="pres">
      <dgm:prSet presAssocID="{7483C05C-79F8-42F1-8071-E3D8CA2C9A90}" presName="right_43_3" presStyleLbl="node1" presStyleIdx="6" presStyleCnt="7" custLinFactNeighborX="-3377" custLinFactNeighborY="-49978">
        <dgm:presLayoutVars>
          <dgm:bulletEnabled val="1"/>
        </dgm:presLayoutVars>
      </dgm:prSet>
      <dgm:spPr/>
      <dgm:t>
        <a:bodyPr/>
        <a:lstStyle/>
        <a:p>
          <a:endParaRPr lang="pl-PL"/>
        </a:p>
      </dgm:t>
    </dgm:pt>
  </dgm:ptLst>
  <dgm:cxnLst>
    <dgm:cxn modelId="{25D09C5E-8E46-4DFC-B830-DDF9EAE021B7}" srcId="{7483C05C-79F8-42F1-8071-E3D8CA2C9A90}" destId="{A9CCE34C-08BD-42AC-8607-66C21CC0894E}" srcOrd="0" destOrd="0" parTransId="{E2FE4CE9-4EDD-4FDC-9933-2DF09149AD4E}" sibTransId="{04CF42F4-B9C6-4067-8D6F-44D9052717E9}"/>
    <dgm:cxn modelId="{29B164AA-E50B-4612-873E-46434B95BE05}" type="presOf" srcId="{A9CCE34C-08BD-42AC-8607-66C21CC0894E}" destId="{01F93D4D-B89C-4D8B-8510-42B476A81ADF}" srcOrd="0" destOrd="0" presId="urn:microsoft.com/office/officeart/2005/8/layout/balance1"/>
    <dgm:cxn modelId="{D778F3E1-C3E4-4021-B529-817554EB9397}" srcId="{A9CCE34C-08BD-42AC-8607-66C21CC0894E}" destId="{2B124C33-4A64-40DE-B916-063E12BC98FD}" srcOrd="1" destOrd="0" parTransId="{0B16491B-44D4-47CF-91E8-8702480C8254}" sibTransId="{173C6CC8-B548-4DA8-95E0-9FA69727D1C6}"/>
    <dgm:cxn modelId="{41416E42-DA5C-427E-A985-E30C5A44216A}" srcId="{7483C05C-79F8-42F1-8071-E3D8CA2C9A90}" destId="{350D646F-A942-4F4A-A60B-24A723BE2B0B}" srcOrd="1" destOrd="0" parTransId="{324DB090-48E7-4E6F-8529-797D112F8744}" sibTransId="{FDA5986B-2E41-491F-AB82-8A12A668830C}"/>
    <dgm:cxn modelId="{5D84C180-255F-4F5F-98C5-A219F3BA45EB}" type="presOf" srcId="{E9F472F0-9486-4067-9E30-416308432C75}" destId="{5AA9F2DD-A829-4338-A74F-4A7419488A96}" srcOrd="0" destOrd="0" presId="urn:microsoft.com/office/officeart/2005/8/layout/balance1"/>
    <dgm:cxn modelId="{7921BF59-4A92-48E6-8DE8-B5BE7D1B3089}" type="presOf" srcId="{7483C05C-79F8-42F1-8071-E3D8CA2C9A90}" destId="{36A364D3-047D-4878-9C33-65B69907CE80}" srcOrd="0" destOrd="0" presId="urn:microsoft.com/office/officeart/2005/8/layout/balance1"/>
    <dgm:cxn modelId="{3E0BC8E9-97C3-43C4-92AD-EB540E0F1727}" srcId="{A9CCE34C-08BD-42AC-8607-66C21CC0894E}" destId="{AEDAFD65-65A6-46A9-9560-4C2D8A841A9E}" srcOrd="4" destOrd="0" parTransId="{55B8A2C7-3A71-48F9-B51F-60C1C6A93AAC}" sibTransId="{FF669F4F-5F83-4FAE-AB7D-68D74B00B54D}"/>
    <dgm:cxn modelId="{48157999-D52E-4D34-9AAB-69E737B2B2B2}" type="presOf" srcId="{19BA1CCE-DC4D-4D72-AD8E-9EB91DC556F9}" destId="{BF346C31-A1FF-46DE-BEA6-3E554BE61793}" srcOrd="0" destOrd="0" presId="urn:microsoft.com/office/officeart/2005/8/layout/balance1"/>
    <dgm:cxn modelId="{0B0FD309-52E0-498E-9FBB-1433F79BAC97}" srcId="{A9CCE34C-08BD-42AC-8607-66C21CC0894E}" destId="{19BA1CCE-DC4D-4D72-AD8E-9EB91DC556F9}" srcOrd="0" destOrd="0" parTransId="{4B17231C-8881-4225-BA83-A7988605D34F}" sibTransId="{95E93AC9-F3F7-4E78-B291-7EDCA52B4662}"/>
    <dgm:cxn modelId="{208E87F2-149E-4936-8725-A6CE2E63D645}" srcId="{350D646F-A942-4F4A-A60B-24A723BE2B0B}" destId="{E2634105-F5C7-4CE0-B241-25F3FFE53BBF}" srcOrd="0" destOrd="0" parTransId="{05712F44-5208-498F-A82F-0B8F63215302}" sibTransId="{FFB573AD-C215-4FAB-B48A-F0F9F72F9808}"/>
    <dgm:cxn modelId="{029A8EBE-53F3-4A44-ACD0-077AD05A8BC2}" type="presOf" srcId="{AD415FE3-78CD-447D-8C2B-7521791D870E}" destId="{52B30703-CE12-4B2E-95C6-A510CC6EBA3A}" srcOrd="0" destOrd="0" presId="urn:microsoft.com/office/officeart/2005/8/layout/balance1"/>
    <dgm:cxn modelId="{96C5E9C7-5FFF-482F-9472-BC0B68095294}" srcId="{350D646F-A942-4F4A-A60B-24A723BE2B0B}" destId="{E9F472F0-9486-4067-9E30-416308432C75}" srcOrd="2" destOrd="0" parTransId="{7886054B-FAC5-430D-B941-7A7D9CB9EFA1}" sibTransId="{EAF86669-31A4-4307-ABB0-66B652844083}"/>
    <dgm:cxn modelId="{FC74714D-67D7-44E0-917A-1CFABCF88819}" srcId="{A9CCE34C-08BD-42AC-8607-66C21CC0894E}" destId="{9E4D4FCE-D86E-4C64-BD83-ACCB9B4A8CF9}" srcOrd="2" destOrd="0" parTransId="{344D09BC-FC1B-4D0E-8CD4-7BDAA66176CC}" sibTransId="{84F60BC2-54B5-481F-8AC9-A4998582BD00}"/>
    <dgm:cxn modelId="{649C854C-0525-4650-85BB-1CB594D4EBF3}" type="presOf" srcId="{9E4D4FCE-D86E-4C64-BD83-ACCB9B4A8CF9}" destId="{2D292862-9D26-487B-A3F8-54BBBA60EA88}" srcOrd="0" destOrd="0" presId="urn:microsoft.com/office/officeart/2005/8/layout/balance1"/>
    <dgm:cxn modelId="{56998E3B-2ABA-45E7-ACC1-C197BF1EA220}" type="presOf" srcId="{3EF87152-D6E1-41B9-A1EB-7F3E2A8B322F}" destId="{42FEA172-901A-4FB7-9974-4AA4B47E5DD2}" srcOrd="0" destOrd="0" presId="urn:microsoft.com/office/officeart/2005/8/layout/balance1"/>
    <dgm:cxn modelId="{706F7E70-5412-4DB4-9780-07427F83BE92}" type="presOf" srcId="{350D646F-A942-4F4A-A60B-24A723BE2B0B}" destId="{69E8767C-0BF0-4397-90EC-0ED56179A4DA}" srcOrd="0" destOrd="0" presId="urn:microsoft.com/office/officeart/2005/8/layout/balance1"/>
    <dgm:cxn modelId="{31365A07-4AC5-4E31-A3B1-8ED869E06561}" type="presOf" srcId="{2B124C33-4A64-40DE-B916-063E12BC98FD}" destId="{C5145C3E-2585-4D9E-A5B8-BE933CF12AC1}" srcOrd="0" destOrd="0" presId="urn:microsoft.com/office/officeart/2005/8/layout/balance1"/>
    <dgm:cxn modelId="{02456D35-F45A-4A17-BC38-0C5D860F31E0}" srcId="{A9CCE34C-08BD-42AC-8607-66C21CC0894E}" destId="{3EF87152-D6E1-41B9-A1EB-7F3E2A8B322F}" srcOrd="3" destOrd="0" parTransId="{CCA614D4-96FA-451C-A443-68FCC8B40EFE}" sibTransId="{A818A5FD-B9CD-45DA-A780-5E31C32645A1}"/>
    <dgm:cxn modelId="{A3D7550A-1844-499D-91E0-28439ABB7906}" type="presOf" srcId="{E2634105-F5C7-4CE0-B241-25F3FFE53BBF}" destId="{7B28FD0D-5F1F-4EBB-87D6-9C1A4D2CBA87}" srcOrd="0" destOrd="0" presId="urn:microsoft.com/office/officeart/2005/8/layout/balance1"/>
    <dgm:cxn modelId="{801027E1-B406-4EAC-A341-327CFA5383E3}" srcId="{350D646F-A942-4F4A-A60B-24A723BE2B0B}" destId="{AD415FE3-78CD-447D-8C2B-7521791D870E}" srcOrd="1" destOrd="0" parTransId="{02F14784-11F5-4D19-9EFC-15B25953C92F}" sibTransId="{F960980E-C937-4990-8955-44745DA42117}"/>
    <dgm:cxn modelId="{86F415A3-839C-46D1-ADAA-AB59445AA9EA}" type="presParOf" srcId="{36A364D3-047D-4878-9C33-65B69907CE80}" destId="{2B503615-5DB7-4EFE-A8DA-4C268791D390}" srcOrd="0" destOrd="0" presId="urn:microsoft.com/office/officeart/2005/8/layout/balance1"/>
    <dgm:cxn modelId="{097C26FB-FFC7-4F3F-8E65-CE6B42BDA5C8}" type="presParOf" srcId="{36A364D3-047D-4878-9C33-65B69907CE80}" destId="{165CEEB7-FE33-41E1-BC80-C697CB893D5E}" srcOrd="1" destOrd="0" presId="urn:microsoft.com/office/officeart/2005/8/layout/balance1"/>
    <dgm:cxn modelId="{A9CC9C4F-45E9-4199-9764-D1329680C9E9}" type="presParOf" srcId="{165CEEB7-FE33-41E1-BC80-C697CB893D5E}" destId="{01F93D4D-B89C-4D8B-8510-42B476A81ADF}" srcOrd="0" destOrd="0" presId="urn:microsoft.com/office/officeart/2005/8/layout/balance1"/>
    <dgm:cxn modelId="{E8A419B9-B932-4773-9371-B2D66F7A9170}" type="presParOf" srcId="{165CEEB7-FE33-41E1-BC80-C697CB893D5E}" destId="{69E8767C-0BF0-4397-90EC-0ED56179A4DA}" srcOrd="1" destOrd="0" presId="urn:microsoft.com/office/officeart/2005/8/layout/balance1"/>
    <dgm:cxn modelId="{03DE8408-27C2-4798-9565-0D360F3A780E}" type="presParOf" srcId="{36A364D3-047D-4878-9C33-65B69907CE80}" destId="{33804D6E-7165-4002-82D3-5AF18BB6712A}" srcOrd="2" destOrd="0" presId="urn:microsoft.com/office/officeart/2005/8/layout/balance1"/>
    <dgm:cxn modelId="{844C6FA0-3340-4C66-BE51-3454D36CCD56}" type="presParOf" srcId="{33804D6E-7165-4002-82D3-5AF18BB6712A}" destId="{777C80E1-7D8D-4AB8-9135-3B1D34DE7467}" srcOrd="0" destOrd="0" presId="urn:microsoft.com/office/officeart/2005/8/layout/balance1"/>
    <dgm:cxn modelId="{50C3212F-8C17-479C-AB32-758B5F200559}" type="presParOf" srcId="{33804D6E-7165-4002-82D3-5AF18BB6712A}" destId="{8F0DE956-5110-4A12-8D6B-8340A1C854AE}" srcOrd="1" destOrd="0" presId="urn:microsoft.com/office/officeart/2005/8/layout/balance1"/>
    <dgm:cxn modelId="{FE20F162-13C4-4E18-9D47-5328CBECDBAE}" type="presParOf" srcId="{33804D6E-7165-4002-82D3-5AF18BB6712A}" destId="{13958688-EFA9-407F-80CE-BC9A3A71956F}" srcOrd="2" destOrd="0" presId="urn:microsoft.com/office/officeart/2005/8/layout/balance1"/>
    <dgm:cxn modelId="{B207768A-C252-40FC-BEC2-36368D6A55FE}" type="presParOf" srcId="{33804D6E-7165-4002-82D3-5AF18BB6712A}" destId="{BF346C31-A1FF-46DE-BEA6-3E554BE61793}" srcOrd="3" destOrd="0" presId="urn:microsoft.com/office/officeart/2005/8/layout/balance1"/>
    <dgm:cxn modelId="{71764C03-9FF4-4BFF-BB4B-938403EBF892}" type="presParOf" srcId="{33804D6E-7165-4002-82D3-5AF18BB6712A}" destId="{C5145C3E-2585-4D9E-A5B8-BE933CF12AC1}" srcOrd="4" destOrd="0" presId="urn:microsoft.com/office/officeart/2005/8/layout/balance1"/>
    <dgm:cxn modelId="{C8900070-2420-43A1-987B-66893FC128CC}" type="presParOf" srcId="{33804D6E-7165-4002-82D3-5AF18BB6712A}" destId="{2D292862-9D26-487B-A3F8-54BBBA60EA88}" srcOrd="5" destOrd="0" presId="urn:microsoft.com/office/officeart/2005/8/layout/balance1"/>
    <dgm:cxn modelId="{15D286D1-C360-4241-B9BA-74E7C00052BF}" type="presParOf" srcId="{33804D6E-7165-4002-82D3-5AF18BB6712A}" destId="{42FEA172-901A-4FB7-9974-4AA4B47E5DD2}" srcOrd="6" destOrd="0" presId="urn:microsoft.com/office/officeart/2005/8/layout/balance1"/>
    <dgm:cxn modelId="{FEC5DCAD-CBC3-4013-BC25-D30A657FF963}" type="presParOf" srcId="{33804D6E-7165-4002-82D3-5AF18BB6712A}" destId="{7B28FD0D-5F1F-4EBB-87D6-9C1A4D2CBA87}" srcOrd="7" destOrd="0" presId="urn:microsoft.com/office/officeart/2005/8/layout/balance1"/>
    <dgm:cxn modelId="{720A70C4-D6B0-474D-8E33-1D9FD883B9A0}" type="presParOf" srcId="{33804D6E-7165-4002-82D3-5AF18BB6712A}" destId="{52B30703-CE12-4B2E-95C6-A510CC6EBA3A}" srcOrd="8" destOrd="0" presId="urn:microsoft.com/office/officeart/2005/8/layout/balance1"/>
    <dgm:cxn modelId="{75757863-E476-4E1F-8249-6879D3D2F8EB}" type="presParOf" srcId="{33804D6E-7165-4002-82D3-5AF18BB6712A}" destId="{5AA9F2DD-A829-4338-A74F-4A7419488A96}" srcOrd="9" destOrd="0" presId="urn:microsoft.com/office/officeart/2005/8/layout/balance1"/>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5042A5-4857-4EF8-B7A5-32980CF36A8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l-PL"/>
        </a:p>
      </dgm:t>
    </dgm:pt>
    <dgm:pt modelId="{6EF073DB-44B1-45D0-A3FF-6B734EDE695E}">
      <dgm:prSet phldrT="[Tekst]"/>
      <dgm:spPr/>
      <dgm:t>
        <a:bodyPr/>
        <a:lstStyle/>
        <a:p>
          <a:r>
            <a:rPr lang="pl-PL"/>
            <a:t>REDUKCJA EMISJI GAZÓW CIEPLARNIANYCH</a:t>
          </a:r>
        </a:p>
      </dgm:t>
    </dgm:pt>
    <dgm:pt modelId="{14B48D91-1E6B-4F00-A2AE-785913640BA5}" type="parTrans" cxnId="{82E4DA2F-C9FB-4760-807D-3997FB2EDB1B}">
      <dgm:prSet/>
      <dgm:spPr/>
      <dgm:t>
        <a:bodyPr/>
        <a:lstStyle/>
        <a:p>
          <a:endParaRPr lang="pl-PL"/>
        </a:p>
      </dgm:t>
    </dgm:pt>
    <dgm:pt modelId="{1D2AE769-AE8C-44AF-B4DD-9EB9266FC283}" type="sibTrans" cxnId="{82E4DA2F-C9FB-4760-807D-3997FB2EDB1B}">
      <dgm:prSet/>
      <dgm:spPr/>
      <dgm:t>
        <a:bodyPr/>
        <a:lstStyle/>
        <a:p>
          <a:endParaRPr lang="pl-PL"/>
        </a:p>
      </dgm:t>
    </dgm:pt>
    <dgm:pt modelId="{9F89940E-37C3-45E0-B085-52CD08A727E1}">
      <dgm:prSet phldrT="[Tekst]"/>
      <dgm:spPr/>
      <dgm:t>
        <a:bodyPr/>
        <a:lstStyle/>
        <a:p>
          <a:r>
            <a:rPr lang="pl-PL"/>
            <a:t>Zmniejszenie tzw. "niskiej emisji" w sektorze mieszkalnicta jedno- i wielorodzinnego.</a:t>
          </a:r>
        </a:p>
      </dgm:t>
    </dgm:pt>
    <dgm:pt modelId="{E9073445-9E6A-4DCD-A521-6D64FB654893}" type="parTrans" cxnId="{D0A276F1-F524-4D5D-A643-34A9707D44BC}">
      <dgm:prSet/>
      <dgm:spPr/>
      <dgm:t>
        <a:bodyPr/>
        <a:lstStyle/>
        <a:p>
          <a:endParaRPr lang="pl-PL"/>
        </a:p>
      </dgm:t>
    </dgm:pt>
    <dgm:pt modelId="{54FA62DC-5DF5-4C73-AA3F-B1168B42DCCD}" type="sibTrans" cxnId="{D0A276F1-F524-4D5D-A643-34A9707D44BC}">
      <dgm:prSet/>
      <dgm:spPr/>
      <dgm:t>
        <a:bodyPr/>
        <a:lstStyle/>
        <a:p>
          <a:endParaRPr lang="pl-PL"/>
        </a:p>
      </dgm:t>
    </dgm:pt>
    <dgm:pt modelId="{45D01738-8976-4BF7-8D8C-A23CF78C1E64}">
      <dgm:prSet phldrT="[Tekst]"/>
      <dgm:spPr/>
      <dgm:t>
        <a:bodyPr/>
        <a:lstStyle/>
        <a:p>
          <a:r>
            <a:rPr lang="pl-PL"/>
            <a:t>Modernizacja infrastruktury drogowej w celu ograniczenia zużycia paliwa i emisji gazów. </a:t>
          </a:r>
        </a:p>
      </dgm:t>
    </dgm:pt>
    <dgm:pt modelId="{99460667-9448-4916-84F1-BCBD16CB77DC}" type="parTrans" cxnId="{55ABE5D1-0B1F-434C-8135-7B073017BE08}">
      <dgm:prSet/>
      <dgm:spPr/>
      <dgm:t>
        <a:bodyPr/>
        <a:lstStyle/>
        <a:p>
          <a:endParaRPr lang="pl-PL"/>
        </a:p>
      </dgm:t>
    </dgm:pt>
    <dgm:pt modelId="{6D0AA715-5ADE-4A1C-A4A5-31B40A934F57}" type="sibTrans" cxnId="{55ABE5D1-0B1F-434C-8135-7B073017BE08}">
      <dgm:prSet/>
      <dgm:spPr/>
      <dgm:t>
        <a:bodyPr/>
        <a:lstStyle/>
        <a:p>
          <a:endParaRPr lang="pl-PL"/>
        </a:p>
      </dgm:t>
    </dgm:pt>
    <dgm:pt modelId="{6820C781-41E5-44CD-BC8D-88BCC0089196}">
      <dgm:prSet phldrT="[Tekst]"/>
      <dgm:spPr/>
      <dgm:t>
        <a:bodyPr/>
        <a:lstStyle/>
        <a:p>
          <a:r>
            <a:rPr lang="pl-PL"/>
            <a:t>ZWIĘKSZENIE UDZIAŁU ENERGII POCHODZĄCEJ ZE ŹRÓDEŁ ODNAWIALNYCH</a:t>
          </a:r>
        </a:p>
      </dgm:t>
    </dgm:pt>
    <dgm:pt modelId="{0B476219-6EB7-464A-B65F-3F8F778BDE4E}" type="parTrans" cxnId="{DCC3F8CB-8A68-44CA-B1E8-6DD41CA1BC53}">
      <dgm:prSet/>
      <dgm:spPr/>
      <dgm:t>
        <a:bodyPr/>
        <a:lstStyle/>
        <a:p>
          <a:endParaRPr lang="pl-PL"/>
        </a:p>
      </dgm:t>
    </dgm:pt>
    <dgm:pt modelId="{A5EDD75A-B420-4B43-A9AF-FDBD236813B3}" type="sibTrans" cxnId="{DCC3F8CB-8A68-44CA-B1E8-6DD41CA1BC53}">
      <dgm:prSet/>
      <dgm:spPr/>
      <dgm:t>
        <a:bodyPr/>
        <a:lstStyle/>
        <a:p>
          <a:endParaRPr lang="pl-PL"/>
        </a:p>
      </dgm:t>
    </dgm:pt>
    <dgm:pt modelId="{6AC1E9FA-DC12-4536-ADFE-8C5139F2DC75}">
      <dgm:prSet phldrT="[Tekst]"/>
      <dgm:spPr/>
      <dgm:t>
        <a:bodyPr/>
        <a:lstStyle/>
        <a:p>
          <a:r>
            <a:rPr lang="pl-PL"/>
            <a:t>Wzrost wykorzystania OZE w indywidualnej zabudowie.</a:t>
          </a:r>
        </a:p>
      </dgm:t>
    </dgm:pt>
    <dgm:pt modelId="{EF977110-CA41-422B-8900-20E1B7D0B9B3}" type="parTrans" cxnId="{BF958C19-B4E6-4666-8FC5-38137F7E6470}">
      <dgm:prSet/>
      <dgm:spPr/>
      <dgm:t>
        <a:bodyPr/>
        <a:lstStyle/>
        <a:p>
          <a:endParaRPr lang="pl-PL"/>
        </a:p>
      </dgm:t>
    </dgm:pt>
    <dgm:pt modelId="{B5BDF20D-27B7-4429-A455-74B9FCFDA9E7}" type="sibTrans" cxnId="{BF958C19-B4E6-4666-8FC5-38137F7E6470}">
      <dgm:prSet/>
      <dgm:spPr/>
      <dgm:t>
        <a:bodyPr/>
        <a:lstStyle/>
        <a:p>
          <a:endParaRPr lang="pl-PL"/>
        </a:p>
      </dgm:t>
    </dgm:pt>
    <dgm:pt modelId="{41710638-9841-468F-901A-BB84716D988C}">
      <dgm:prSet phldrT="[Tekst]"/>
      <dgm:spPr/>
      <dgm:t>
        <a:bodyPr/>
        <a:lstStyle/>
        <a:p>
          <a:r>
            <a:rPr lang="pl-PL" b="0"/>
            <a:t>REDUKCJA ZUŻYCIA ENERGII FINALNEJ POPRZEZ PODNIESIENIE EFEKTYWNOŚCI ENERGETYCZNEJ</a:t>
          </a:r>
        </a:p>
      </dgm:t>
    </dgm:pt>
    <dgm:pt modelId="{93275540-FEA3-4310-A2E3-24455792D34D}" type="parTrans" cxnId="{C7F24F99-E1F3-4F2B-86F3-F9100ABB2927}">
      <dgm:prSet/>
      <dgm:spPr/>
      <dgm:t>
        <a:bodyPr/>
        <a:lstStyle/>
        <a:p>
          <a:endParaRPr lang="pl-PL"/>
        </a:p>
      </dgm:t>
    </dgm:pt>
    <dgm:pt modelId="{C7DFB747-88B0-4E3D-8256-A0C144C35847}" type="sibTrans" cxnId="{C7F24F99-E1F3-4F2B-86F3-F9100ABB2927}">
      <dgm:prSet/>
      <dgm:spPr/>
      <dgm:t>
        <a:bodyPr/>
        <a:lstStyle/>
        <a:p>
          <a:endParaRPr lang="pl-PL"/>
        </a:p>
      </dgm:t>
    </dgm:pt>
    <dgm:pt modelId="{EF13A1AB-B951-47CF-9EE9-F0D7265BE6F3}">
      <dgm:prSet phldrT="[Tekst]"/>
      <dgm:spPr/>
      <dgm:t>
        <a:bodyPr/>
        <a:lstStyle/>
        <a:p>
          <a:r>
            <a:rPr lang="pl-PL"/>
            <a:t>Wprowadzenie nowoczesnych technologii                       w budownictwie w celu zmniejszenia energochłonności. </a:t>
          </a:r>
        </a:p>
      </dgm:t>
    </dgm:pt>
    <dgm:pt modelId="{436CF263-078A-4A8E-9747-8F177EE044F1}" type="parTrans" cxnId="{E48028B2-594C-49CD-9E69-0B54F7722195}">
      <dgm:prSet/>
      <dgm:spPr/>
      <dgm:t>
        <a:bodyPr/>
        <a:lstStyle/>
        <a:p>
          <a:endParaRPr lang="pl-PL"/>
        </a:p>
      </dgm:t>
    </dgm:pt>
    <dgm:pt modelId="{0BBD5A00-CE6E-4947-AE3E-BCE9874516B3}" type="sibTrans" cxnId="{E48028B2-594C-49CD-9E69-0B54F7722195}">
      <dgm:prSet/>
      <dgm:spPr/>
      <dgm:t>
        <a:bodyPr/>
        <a:lstStyle/>
        <a:p>
          <a:endParaRPr lang="pl-PL"/>
        </a:p>
      </dgm:t>
    </dgm:pt>
    <dgm:pt modelId="{ADA6F844-12C1-4B23-8C64-B2D319B361D7}">
      <dgm:prSet phldrT="[Tekst]"/>
      <dgm:spPr/>
      <dgm:t>
        <a:bodyPr/>
        <a:lstStyle/>
        <a:p>
          <a:r>
            <a:rPr lang="pl-PL"/>
            <a:t>Rozwój sieci dróg rowerowych.</a:t>
          </a:r>
        </a:p>
      </dgm:t>
    </dgm:pt>
    <dgm:pt modelId="{4F0865B3-211D-4452-AB97-B621210485EF}" type="parTrans" cxnId="{0BBB2E64-1BD1-43F2-B721-E70CAA2DD807}">
      <dgm:prSet/>
      <dgm:spPr/>
      <dgm:t>
        <a:bodyPr/>
        <a:lstStyle/>
        <a:p>
          <a:endParaRPr lang="pl-PL"/>
        </a:p>
      </dgm:t>
    </dgm:pt>
    <dgm:pt modelId="{799A6821-44FB-423E-9053-07DBA4C91CED}" type="sibTrans" cxnId="{0BBB2E64-1BD1-43F2-B721-E70CAA2DD807}">
      <dgm:prSet/>
      <dgm:spPr/>
      <dgm:t>
        <a:bodyPr/>
        <a:lstStyle/>
        <a:p>
          <a:endParaRPr lang="pl-PL"/>
        </a:p>
      </dgm:t>
    </dgm:pt>
    <dgm:pt modelId="{EDECAED6-D4C3-4525-A1E0-A1678406FC48}">
      <dgm:prSet phldrT="[Tekst]"/>
      <dgm:spPr/>
      <dgm:t>
        <a:bodyPr/>
        <a:lstStyle/>
        <a:p>
          <a:r>
            <a:rPr lang="pl-PL"/>
            <a:t>Wymiana źródeł ogrzewania budynków. </a:t>
          </a:r>
        </a:p>
      </dgm:t>
    </dgm:pt>
    <dgm:pt modelId="{CC5BA180-CEEC-423D-8134-38E629827076}" type="parTrans" cxnId="{D40AF4B2-1513-4E0D-8558-F5469D13E072}">
      <dgm:prSet/>
      <dgm:spPr/>
      <dgm:t>
        <a:bodyPr/>
        <a:lstStyle/>
        <a:p>
          <a:endParaRPr lang="pl-PL"/>
        </a:p>
      </dgm:t>
    </dgm:pt>
    <dgm:pt modelId="{1E007BBB-4415-40A9-9919-7D4C1D4A757B}" type="sibTrans" cxnId="{D40AF4B2-1513-4E0D-8558-F5469D13E072}">
      <dgm:prSet/>
      <dgm:spPr/>
      <dgm:t>
        <a:bodyPr/>
        <a:lstStyle/>
        <a:p>
          <a:endParaRPr lang="pl-PL"/>
        </a:p>
      </dgm:t>
    </dgm:pt>
    <dgm:pt modelId="{BDB28185-76F8-4E3C-9B11-2FF907FF4EFF}">
      <dgm:prSet phldrT="[Tekst]"/>
      <dgm:spPr/>
      <dgm:t>
        <a:bodyPr/>
        <a:lstStyle/>
        <a:p>
          <a:r>
            <a:rPr lang="pl-PL"/>
            <a:t>Kształtowanie świadomości ekologicznej mieszkańców gminy. </a:t>
          </a:r>
        </a:p>
      </dgm:t>
    </dgm:pt>
    <dgm:pt modelId="{BA4AC6F7-566E-4BC8-934E-EBADC2F20232}" type="parTrans" cxnId="{20275EF2-A2B8-4AB0-B992-C37CE4AD8936}">
      <dgm:prSet/>
      <dgm:spPr/>
      <dgm:t>
        <a:bodyPr/>
        <a:lstStyle/>
        <a:p>
          <a:endParaRPr lang="pl-PL"/>
        </a:p>
      </dgm:t>
    </dgm:pt>
    <dgm:pt modelId="{4EFA7D2C-220F-4AD5-B7C2-969829A0E038}" type="sibTrans" cxnId="{20275EF2-A2B8-4AB0-B992-C37CE4AD8936}">
      <dgm:prSet/>
      <dgm:spPr/>
      <dgm:t>
        <a:bodyPr/>
        <a:lstStyle/>
        <a:p>
          <a:endParaRPr lang="pl-PL"/>
        </a:p>
      </dgm:t>
    </dgm:pt>
    <dgm:pt modelId="{C7164DBB-0A0E-4D1D-926A-9D3A5872E898}">
      <dgm:prSet phldrT="[Tekst]"/>
      <dgm:spPr/>
      <dgm:t>
        <a:bodyPr/>
        <a:lstStyle/>
        <a:p>
          <a:r>
            <a:rPr lang="pl-PL"/>
            <a:t>Wzrost wykorzystania OZE w budynkach użyteczności publicznej. </a:t>
          </a:r>
        </a:p>
      </dgm:t>
    </dgm:pt>
    <dgm:pt modelId="{2036272C-5627-45D1-8C23-BE9A000566C1}" type="parTrans" cxnId="{C80FBABD-8AD7-4266-BA8E-33B795D3217B}">
      <dgm:prSet/>
      <dgm:spPr/>
      <dgm:t>
        <a:bodyPr/>
        <a:lstStyle/>
        <a:p>
          <a:endParaRPr lang="pl-PL"/>
        </a:p>
      </dgm:t>
    </dgm:pt>
    <dgm:pt modelId="{5E575D41-F765-401D-B0CD-6452B479C0AF}" type="sibTrans" cxnId="{C80FBABD-8AD7-4266-BA8E-33B795D3217B}">
      <dgm:prSet/>
      <dgm:spPr/>
      <dgm:t>
        <a:bodyPr/>
        <a:lstStyle/>
        <a:p>
          <a:endParaRPr lang="pl-PL"/>
        </a:p>
      </dgm:t>
    </dgm:pt>
    <dgm:pt modelId="{2270AA3E-A39C-49DC-9873-CDE982E9BA27}">
      <dgm:prSet phldrT="[Tekst]"/>
      <dgm:spPr/>
      <dgm:t>
        <a:bodyPr/>
        <a:lstStyle/>
        <a:p>
          <a:r>
            <a:rPr lang="pl-PL"/>
            <a:t>Wzrost liczby nowoczesnych systemów grzewczych oraz towarzyszących im technologii wykorzystujących odnawialne źródła energii.</a:t>
          </a:r>
        </a:p>
      </dgm:t>
    </dgm:pt>
    <dgm:pt modelId="{240747B6-1EAC-4923-9559-02172602587E}" type="parTrans" cxnId="{1C6E9E39-E4FC-4865-A516-FB1CE103F4A1}">
      <dgm:prSet/>
      <dgm:spPr/>
      <dgm:t>
        <a:bodyPr/>
        <a:lstStyle/>
        <a:p>
          <a:endParaRPr lang="pl-PL"/>
        </a:p>
      </dgm:t>
    </dgm:pt>
    <dgm:pt modelId="{66336E7D-089E-41DD-B954-F7148D80C043}" type="sibTrans" cxnId="{1C6E9E39-E4FC-4865-A516-FB1CE103F4A1}">
      <dgm:prSet/>
      <dgm:spPr/>
      <dgm:t>
        <a:bodyPr/>
        <a:lstStyle/>
        <a:p>
          <a:endParaRPr lang="pl-PL"/>
        </a:p>
      </dgm:t>
    </dgm:pt>
    <dgm:pt modelId="{AD986259-801A-41F5-9726-39049637B647}">
      <dgm:prSet phldrT="[Tekst]"/>
      <dgm:spPr/>
      <dgm:t>
        <a:bodyPr/>
        <a:lstStyle/>
        <a:p>
          <a:r>
            <a:rPr lang="pl-PL"/>
            <a:t>Ograniczenie "niskiej emisji" w sektorze mieszkalnictwa. </a:t>
          </a:r>
        </a:p>
      </dgm:t>
    </dgm:pt>
    <dgm:pt modelId="{5540F0EF-1A60-4B51-A14F-02AC93512B22}" type="parTrans" cxnId="{284D68AE-072A-48F0-99C5-665697524187}">
      <dgm:prSet/>
      <dgm:spPr/>
      <dgm:t>
        <a:bodyPr/>
        <a:lstStyle/>
        <a:p>
          <a:endParaRPr lang="pl-PL"/>
        </a:p>
      </dgm:t>
    </dgm:pt>
    <dgm:pt modelId="{BAD7E55F-B266-4745-A4FF-7F5B947F298C}" type="sibTrans" cxnId="{284D68AE-072A-48F0-99C5-665697524187}">
      <dgm:prSet/>
      <dgm:spPr/>
      <dgm:t>
        <a:bodyPr/>
        <a:lstStyle/>
        <a:p>
          <a:endParaRPr lang="pl-PL"/>
        </a:p>
      </dgm:t>
    </dgm:pt>
    <dgm:pt modelId="{AE668841-23F9-4C3F-A379-67B70F714AF2}">
      <dgm:prSet phldrT="[Tekst]"/>
      <dgm:spPr/>
      <dgm:t>
        <a:bodyPr/>
        <a:lstStyle/>
        <a:p>
          <a:r>
            <a:rPr lang="pl-PL"/>
            <a:t>Realizacja wzrostowej idei oszczędnego gospodarowania energią.</a:t>
          </a:r>
        </a:p>
      </dgm:t>
    </dgm:pt>
    <dgm:pt modelId="{FB4411BD-F98F-46DE-A0DB-F877D04E1009}" type="parTrans" cxnId="{A6656AD8-1E95-4D3F-B621-33EDD1C77EF1}">
      <dgm:prSet/>
      <dgm:spPr/>
      <dgm:t>
        <a:bodyPr/>
        <a:lstStyle/>
        <a:p>
          <a:endParaRPr lang="pl-PL"/>
        </a:p>
      </dgm:t>
    </dgm:pt>
    <dgm:pt modelId="{DF39ED28-EFAA-458F-8C9F-AE081D386753}" type="sibTrans" cxnId="{A6656AD8-1E95-4D3F-B621-33EDD1C77EF1}">
      <dgm:prSet/>
      <dgm:spPr/>
      <dgm:t>
        <a:bodyPr/>
        <a:lstStyle/>
        <a:p>
          <a:endParaRPr lang="pl-PL"/>
        </a:p>
      </dgm:t>
    </dgm:pt>
    <dgm:pt modelId="{A0EEF08F-74E6-4353-8C97-7A0BC58AA2BD}">
      <dgm:prSet phldrT="[Tekst]"/>
      <dgm:spPr/>
      <dgm:t>
        <a:bodyPr/>
        <a:lstStyle/>
        <a:p>
          <a:r>
            <a:rPr lang="pl-PL"/>
            <a:t>Poprawa bezpieczeństwa energetycznego. </a:t>
          </a:r>
        </a:p>
      </dgm:t>
    </dgm:pt>
    <dgm:pt modelId="{EB991573-0805-4752-861E-3D7095694722}" type="parTrans" cxnId="{BEC59524-A658-4B26-8CB5-75BE9ECB0EC0}">
      <dgm:prSet/>
      <dgm:spPr/>
      <dgm:t>
        <a:bodyPr/>
        <a:lstStyle/>
        <a:p>
          <a:endParaRPr lang="pl-PL"/>
        </a:p>
      </dgm:t>
    </dgm:pt>
    <dgm:pt modelId="{D1998178-A9B2-47E2-9F44-15BB19E11DA8}" type="sibTrans" cxnId="{BEC59524-A658-4B26-8CB5-75BE9ECB0EC0}">
      <dgm:prSet/>
      <dgm:spPr/>
      <dgm:t>
        <a:bodyPr/>
        <a:lstStyle/>
        <a:p>
          <a:endParaRPr lang="pl-PL"/>
        </a:p>
      </dgm:t>
    </dgm:pt>
    <dgm:pt modelId="{FF2B0283-E8BB-4BA3-AA6F-16798AA8962D}" type="pres">
      <dgm:prSet presAssocID="{C25042A5-4857-4EF8-B7A5-32980CF36A8B}" presName="linearFlow" presStyleCnt="0">
        <dgm:presLayoutVars>
          <dgm:dir/>
          <dgm:animLvl val="lvl"/>
          <dgm:resizeHandles val="exact"/>
        </dgm:presLayoutVars>
      </dgm:prSet>
      <dgm:spPr/>
      <dgm:t>
        <a:bodyPr/>
        <a:lstStyle/>
        <a:p>
          <a:endParaRPr lang="pl-PL"/>
        </a:p>
      </dgm:t>
    </dgm:pt>
    <dgm:pt modelId="{02E4DD39-4FF9-4E67-A033-BFB92544E434}" type="pres">
      <dgm:prSet presAssocID="{6EF073DB-44B1-45D0-A3FF-6B734EDE695E}" presName="composite" presStyleCnt="0"/>
      <dgm:spPr/>
    </dgm:pt>
    <dgm:pt modelId="{C4DE91E8-6580-4321-B9C7-CB1D5A8E22E3}" type="pres">
      <dgm:prSet presAssocID="{6EF073DB-44B1-45D0-A3FF-6B734EDE695E}" presName="parentText" presStyleLbl="alignNode1" presStyleIdx="0" presStyleCnt="3">
        <dgm:presLayoutVars>
          <dgm:chMax val="1"/>
          <dgm:bulletEnabled val="1"/>
        </dgm:presLayoutVars>
      </dgm:prSet>
      <dgm:spPr/>
      <dgm:t>
        <a:bodyPr/>
        <a:lstStyle/>
        <a:p>
          <a:endParaRPr lang="pl-PL"/>
        </a:p>
      </dgm:t>
    </dgm:pt>
    <dgm:pt modelId="{A38917C3-F470-4A26-BC7A-4C090DD6CF62}" type="pres">
      <dgm:prSet presAssocID="{6EF073DB-44B1-45D0-A3FF-6B734EDE695E}" presName="descendantText" presStyleLbl="alignAcc1" presStyleIdx="0" presStyleCnt="3">
        <dgm:presLayoutVars>
          <dgm:bulletEnabled val="1"/>
        </dgm:presLayoutVars>
      </dgm:prSet>
      <dgm:spPr/>
      <dgm:t>
        <a:bodyPr/>
        <a:lstStyle/>
        <a:p>
          <a:endParaRPr lang="pl-PL"/>
        </a:p>
      </dgm:t>
    </dgm:pt>
    <dgm:pt modelId="{710D13F6-01A5-4947-A736-5960DC154F0A}" type="pres">
      <dgm:prSet presAssocID="{1D2AE769-AE8C-44AF-B4DD-9EB9266FC283}" presName="sp" presStyleCnt="0"/>
      <dgm:spPr/>
    </dgm:pt>
    <dgm:pt modelId="{3E677A1A-46E7-408D-9F8C-3A21EE9C1869}" type="pres">
      <dgm:prSet presAssocID="{6820C781-41E5-44CD-BC8D-88BCC0089196}" presName="composite" presStyleCnt="0"/>
      <dgm:spPr/>
    </dgm:pt>
    <dgm:pt modelId="{ED37A283-88DB-4937-BC71-041CBA2E3EEA}" type="pres">
      <dgm:prSet presAssocID="{6820C781-41E5-44CD-BC8D-88BCC0089196}" presName="parentText" presStyleLbl="alignNode1" presStyleIdx="1" presStyleCnt="3">
        <dgm:presLayoutVars>
          <dgm:chMax val="1"/>
          <dgm:bulletEnabled val="1"/>
        </dgm:presLayoutVars>
      </dgm:prSet>
      <dgm:spPr/>
      <dgm:t>
        <a:bodyPr/>
        <a:lstStyle/>
        <a:p>
          <a:endParaRPr lang="pl-PL"/>
        </a:p>
      </dgm:t>
    </dgm:pt>
    <dgm:pt modelId="{5C305720-EB3F-4AE7-8773-F66097C10548}" type="pres">
      <dgm:prSet presAssocID="{6820C781-41E5-44CD-BC8D-88BCC0089196}" presName="descendantText" presStyleLbl="alignAcc1" presStyleIdx="1" presStyleCnt="3">
        <dgm:presLayoutVars>
          <dgm:bulletEnabled val="1"/>
        </dgm:presLayoutVars>
      </dgm:prSet>
      <dgm:spPr/>
      <dgm:t>
        <a:bodyPr/>
        <a:lstStyle/>
        <a:p>
          <a:endParaRPr lang="pl-PL"/>
        </a:p>
      </dgm:t>
    </dgm:pt>
    <dgm:pt modelId="{57079923-C8A1-4EC8-A354-D6AA16EE2AD5}" type="pres">
      <dgm:prSet presAssocID="{A5EDD75A-B420-4B43-A9AF-FDBD236813B3}" presName="sp" presStyleCnt="0"/>
      <dgm:spPr/>
    </dgm:pt>
    <dgm:pt modelId="{DDF73AC7-E69D-4EC3-9295-808F5037FE94}" type="pres">
      <dgm:prSet presAssocID="{41710638-9841-468F-901A-BB84716D988C}" presName="composite" presStyleCnt="0"/>
      <dgm:spPr/>
    </dgm:pt>
    <dgm:pt modelId="{372846ED-5740-4CA6-A0FB-E0CF2829A965}" type="pres">
      <dgm:prSet presAssocID="{41710638-9841-468F-901A-BB84716D988C}" presName="parentText" presStyleLbl="alignNode1" presStyleIdx="2" presStyleCnt="3">
        <dgm:presLayoutVars>
          <dgm:chMax val="1"/>
          <dgm:bulletEnabled val="1"/>
        </dgm:presLayoutVars>
      </dgm:prSet>
      <dgm:spPr/>
      <dgm:t>
        <a:bodyPr/>
        <a:lstStyle/>
        <a:p>
          <a:endParaRPr lang="pl-PL"/>
        </a:p>
      </dgm:t>
    </dgm:pt>
    <dgm:pt modelId="{026C4293-3377-43A1-911E-342F6E86B2A0}" type="pres">
      <dgm:prSet presAssocID="{41710638-9841-468F-901A-BB84716D988C}" presName="descendantText" presStyleLbl="alignAcc1" presStyleIdx="2" presStyleCnt="3">
        <dgm:presLayoutVars>
          <dgm:bulletEnabled val="1"/>
        </dgm:presLayoutVars>
      </dgm:prSet>
      <dgm:spPr/>
      <dgm:t>
        <a:bodyPr/>
        <a:lstStyle/>
        <a:p>
          <a:endParaRPr lang="pl-PL"/>
        </a:p>
      </dgm:t>
    </dgm:pt>
  </dgm:ptLst>
  <dgm:cxnLst>
    <dgm:cxn modelId="{284D68AE-072A-48F0-99C5-665697524187}" srcId="{41710638-9841-468F-901A-BB84716D988C}" destId="{AD986259-801A-41F5-9726-39049637B647}" srcOrd="1" destOrd="0" parTransId="{5540F0EF-1A60-4B51-A14F-02AC93512B22}" sibTransId="{BAD7E55F-B266-4745-A4FF-7F5B947F298C}"/>
    <dgm:cxn modelId="{0BBB2E64-1BD1-43F2-B721-E70CAA2DD807}" srcId="{6EF073DB-44B1-45D0-A3FF-6B734EDE695E}" destId="{ADA6F844-12C1-4B23-8C64-B2D319B361D7}" srcOrd="2" destOrd="0" parTransId="{4F0865B3-211D-4452-AB97-B621210485EF}" sibTransId="{799A6821-44FB-423E-9053-07DBA4C91CED}"/>
    <dgm:cxn modelId="{09395FDC-9DFC-4861-8EB4-69B792713531}" type="presOf" srcId="{9F89940E-37C3-45E0-B085-52CD08A727E1}" destId="{A38917C3-F470-4A26-BC7A-4C090DD6CF62}" srcOrd="0" destOrd="0" presId="urn:microsoft.com/office/officeart/2005/8/layout/chevron2"/>
    <dgm:cxn modelId="{BD6A3004-223C-498A-A09B-8AA190ABBC4C}" type="presOf" srcId="{2270AA3E-A39C-49DC-9873-CDE982E9BA27}" destId="{5C305720-EB3F-4AE7-8773-F66097C10548}" srcOrd="0" destOrd="2" presId="urn:microsoft.com/office/officeart/2005/8/layout/chevron2"/>
    <dgm:cxn modelId="{1C6E9E39-E4FC-4865-A516-FB1CE103F4A1}" srcId="{6820C781-41E5-44CD-BC8D-88BCC0089196}" destId="{2270AA3E-A39C-49DC-9873-CDE982E9BA27}" srcOrd="2" destOrd="0" parTransId="{240747B6-1EAC-4923-9559-02172602587E}" sibTransId="{66336E7D-089E-41DD-B954-F7148D80C043}"/>
    <dgm:cxn modelId="{82E4DA2F-C9FB-4760-807D-3997FB2EDB1B}" srcId="{C25042A5-4857-4EF8-B7A5-32980CF36A8B}" destId="{6EF073DB-44B1-45D0-A3FF-6B734EDE695E}" srcOrd="0" destOrd="0" parTransId="{14B48D91-1E6B-4F00-A2AE-785913640BA5}" sibTransId="{1D2AE769-AE8C-44AF-B4DD-9EB9266FC283}"/>
    <dgm:cxn modelId="{33FA9039-47F1-4B04-9483-69183DC91F70}" type="presOf" srcId="{41710638-9841-468F-901A-BB84716D988C}" destId="{372846ED-5740-4CA6-A0FB-E0CF2829A965}" srcOrd="0" destOrd="0" presId="urn:microsoft.com/office/officeart/2005/8/layout/chevron2"/>
    <dgm:cxn modelId="{55ABE5D1-0B1F-434C-8135-7B073017BE08}" srcId="{6EF073DB-44B1-45D0-A3FF-6B734EDE695E}" destId="{45D01738-8976-4BF7-8D8C-A23CF78C1E64}" srcOrd="1" destOrd="0" parTransId="{99460667-9448-4916-84F1-BCBD16CB77DC}" sibTransId="{6D0AA715-5ADE-4A1C-A4A5-31B40A934F57}"/>
    <dgm:cxn modelId="{A6656AD8-1E95-4D3F-B621-33EDD1C77EF1}" srcId="{41710638-9841-468F-901A-BB84716D988C}" destId="{AE668841-23F9-4C3F-A379-67B70F714AF2}" srcOrd="2" destOrd="0" parTransId="{FB4411BD-F98F-46DE-A0DB-F877D04E1009}" sibTransId="{DF39ED28-EFAA-458F-8C9F-AE081D386753}"/>
    <dgm:cxn modelId="{E48028B2-594C-49CD-9E69-0B54F7722195}" srcId="{41710638-9841-468F-901A-BB84716D988C}" destId="{EF13A1AB-B951-47CF-9EE9-F0D7265BE6F3}" srcOrd="0" destOrd="0" parTransId="{436CF263-078A-4A8E-9747-8F177EE044F1}" sibTransId="{0BBD5A00-CE6E-4947-AE3E-BCE9874516B3}"/>
    <dgm:cxn modelId="{DD5ACB2E-8988-427E-9E96-28BDF410B950}" type="presOf" srcId="{AE668841-23F9-4C3F-A379-67B70F714AF2}" destId="{026C4293-3377-43A1-911E-342F6E86B2A0}" srcOrd="0" destOrd="2" presId="urn:microsoft.com/office/officeart/2005/8/layout/chevron2"/>
    <dgm:cxn modelId="{20275EF2-A2B8-4AB0-B992-C37CE4AD8936}" srcId="{6EF073DB-44B1-45D0-A3FF-6B734EDE695E}" destId="{BDB28185-76F8-4E3C-9B11-2FF907FF4EFF}" srcOrd="4" destOrd="0" parTransId="{BA4AC6F7-566E-4BC8-934E-EBADC2F20232}" sibTransId="{4EFA7D2C-220F-4AD5-B7C2-969829A0E038}"/>
    <dgm:cxn modelId="{DCF44E8E-9BE1-47C2-A25F-0630DE6AE689}" type="presOf" srcId="{6EF073DB-44B1-45D0-A3FF-6B734EDE695E}" destId="{C4DE91E8-6580-4321-B9C7-CB1D5A8E22E3}" srcOrd="0" destOrd="0" presId="urn:microsoft.com/office/officeart/2005/8/layout/chevron2"/>
    <dgm:cxn modelId="{5D1CEAF0-9FAF-44F0-9686-DE207641DE0E}" type="presOf" srcId="{AD986259-801A-41F5-9726-39049637B647}" destId="{026C4293-3377-43A1-911E-342F6E86B2A0}" srcOrd="0" destOrd="1" presId="urn:microsoft.com/office/officeart/2005/8/layout/chevron2"/>
    <dgm:cxn modelId="{47E2BC71-C144-467C-B70B-19DD4C09A72C}" type="presOf" srcId="{6AC1E9FA-DC12-4536-ADFE-8C5139F2DC75}" destId="{5C305720-EB3F-4AE7-8773-F66097C10548}" srcOrd="0" destOrd="0" presId="urn:microsoft.com/office/officeart/2005/8/layout/chevron2"/>
    <dgm:cxn modelId="{C80FBABD-8AD7-4266-BA8E-33B795D3217B}" srcId="{6820C781-41E5-44CD-BC8D-88BCC0089196}" destId="{C7164DBB-0A0E-4D1D-926A-9D3A5872E898}" srcOrd="1" destOrd="0" parTransId="{2036272C-5627-45D1-8C23-BE9A000566C1}" sibTransId="{5E575D41-F765-401D-B0CD-6452B479C0AF}"/>
    <dgm:cxn modelId="{EFFE6107-C759-40E9-8DFD-0B9F61E9FD71}" type="presOf" srcId="{45D01738-8976-4BF7-8D8C-A23CF78C1E64}" destId="{A38917C3-F470-4A26-BC7A-4C090DD6CF62}" srcOrd="0" destOrd="1" presId="urn:microsoft.com/office/officeart/2005/8/layout/chevron2"/>
    <dgm:cxn modelId="{00112037-EBCC-47E7-81E6-FE4D59CEF2BC}" type="presOf" srcId="{BDB28185-76F8-4E3C-9B11-2FF907FF4EFF}" destId="{A38917C3-F470-4A26-BC7A-4C090DD6CF62}" srcOrd="0" destOrd="4" presId="urn:microsoft.com/office/officeart/2005/8/layout/chevron2"/>
    <dgm:cxn modelId="{6434FC37-53D6-4353-9D5B-BF5804CBFF3D}" type="presOf" srcId="{C25042A5-4857-4EF8-B7A5-32980CF36A8B}" destId="{FF2B0283-E8BB-4BA3-AA6F-16798AA8962D}" srcOrd="0" destOrd="0" presId="urn:microsoft.com/office/officeart/2005/8/layout/chevron2"/>
    <dgm:cxn modelId="{A80AF151-B77D-43D0-82F9-44945BE4482C}" type="presOf" srcId="{6820C781-41E5-44CD-BC8D-88BCC0089196}" destId="{ED37A283-88DB-4937-BC71-041CBA2E3EEA}" srcOrd="0" destOrd="0" presId="urn:microsoft.com/office/officeart/2005/8/layout/chevron2"/>
    <dgm:cxn modelId="{8ED22674-7A73-4E88-AAAE-E34912FBF676}" type="presOf" srcId="{EF13A1AB-B951-47CF-9EE9-F0D7265BE6F3}" destId="{026C4293-3377-43A1-911E-342F6E86B2A0}" srcOrd="0" destOrd="0" presId="urn:microsoft.com/office/officeart/2005/8/layout/chevron2"/>
    <dgm:cxn modelId="{BF958C19-B4E6-4666-8FC5-38137F7E6470}" srcId="{6820C781-41E5-44CD-BC8D-88BCC0089196}" destId="{6AC1E9FA-DC12-4536-ADFE-8C5139F2DC75}" srcOrd="0" destOrd="0" parTransId="{EF977110-CA41-422B-8900-20E1B7D0B9B3}" sibTransId="{B5BDF20D-27B7-4429-A455-74B9FCFDA9E7}"/>
    <dgm:cxn modelId="{80FD9680-332A-4C12-8D56-91D844B40DC4}" type="presOf" srcId="{C7164DBB-0A0E-4D1D-926A-9D3A5872E898}" destId="{5C305720-EB3F-4AE7-8773-F66097C10548}" srcOrd="0" destOrd="1" presId="urn:microsoft.com/office/officeart/2005/8/layout/chevron2"/>
    <dgm:cxn modelId="{B88B7BA4-C667-404C-A262-753FFDA7289E}" type="presOf" srcId="{ADA6F844-12C1-4B23-8C64-B2D319B361D7}" destId="{A38917C3-F470-4A26-BC7A-4C090DD6CF62}" srcOrd="0" destOrd="2" presId="urn:microsoft.com/office/officeart/2005/8/layout/chevron2"/>
    <dgm:cxn modelId="{BEC59524-A658-4B26-8CB5-75BE9ECB0EC0}" srcId="{41710638-9841-468F-901A-BB84716D988C}" destId="{A0EEF08F-74E6-4353-8C97-7A0BC58AA2BD}" srcOrd="3" destOrd="0" parTransId="{EB991573-0805-4752-861E-3D7095694722}" sibTransId="{D1998178-A9B2-47E2-9F44-15BB19E11DA8}"/>
    <dgm:cxn modelId="{D3303C9D-8F09-436E-AA6E-BD2AD1B91BE0}" type="presOf" srcId="{A0EEF08F-74E6-4353-8C97-7A0BC58AA2BD}" destId="{026C4293-3377-43A1-911E-342F6E86B2A0}" srcOrd="0" destOrd="3" presId="urn:microsoft.com/office/officeart/2005/8/layout/chevron2"/>
    <dgm:cxn modelId="{C7F24F99-E1F3-4F2B-86F3-F9100ABB2927}" srcId="{C25042A5-4857-4EF8-B7A5-32980CF36A8B}" destId="{41710638-9841-468F-901A-BB84716D988C}" srcOrd="2" destOrd="0" parTransId="{93275540-FEA3-4310-A2E3-24455792D34D}" sibTransId="{C7DFB747-88B0-4E3D-8256-A0C144C35847}"/>
    <dgm:cxn modelId="{DCC3F8CB-8A68-44CA-B1E8-6DD41CA1BC53}" srcId="{C25042A5-4857-4EF8-B7A5-32980CF36A8B}" destId="{6820C781-41E5-44CD-BC8D-88BCC0089196}" srcOrd="1" destOrd="0" parTransId="{0B476219-6EB7-464A-B65F-3F8F778BDE4E}" sibTransId="{A5EDD75A-B420-4B43-A9AF-FDBD236813B3}"/>
    <dgm:cxn modelId="{855D4094-1D42-4BD9-976F-D370E3C59117}" type="presOf" srcId="{EDECAED6-D4C3-4525-A1E0-A1678406FC48}" destId="{A38917C3-F470-4A26-BC7A-4C090DD6CF62}" srcOrd="0" destOrd="3" presId="urn:microsoft.com/office/officeart/2005/8/layout/chevron2"/>
    <dgm:cxn modelId="{D0A276F1-F524-4D5D-A643-34A9707D44BC}" srcId="{6EF073DB-44B1-45D0-A3FF-6B734EDE695E}" destId="{9F89940E-37C3-45E0-B085-52CD08A727E1}" srcOrd="0" destOrd="0" parTransId="{E9073445-9E6A-4DCD-A521-6D64FB654893}" sibTransId="{54FA62DC-5DF5-4C73-AA3F-B1168B42DCCD}"/>
    <dgm:cxn modelId="{D40AF4B2-1513-4E0D-8558-F5469D13E072}" srcId="{6EF073DB-44B1-45D0-A3FF-6B734EDE695E}" destId="{EDECAED6-D4C3-4525-A1E0-A1678406FC48}" srcOrd="3" destOrd="0" parTransId="{CC5BA180-CEEC-423D-8134-38E629827076}" sibTransId="{1E007BBB-4415-40A9-9919-7D4C1D4A757B}"/>
    <dgm:cxn modelId="{555C20FA-3107-4887-AE3D-3F083AD38E9C}" type="presParOf" srcId="{FF2B0283-E8BB-4BA3-AA6F-16798AA8962D}" destId="{02E4DD39-4FF9-4E67-A033-BFB92544E434}" srcOrd="0" destOrd="0" presId="urn:microsoft.com/office/officeart/2005/8/layout/chevron2"/>
    <dgm:cxn modelId="{FA776AF6-C2BA-4AB4-9636-B54B7D41F54B}" type="presParOf" srcId="{02E4DD39-4FF9-4E67-A033-BFB92544E434}" destId="{C4DE91E8-6580-4321-B9C7-CB1D5A8E22E3}" srcOrd="0" destOrd="0" presId="urn:microsoft.com/office/officeart/2005/8/layout/chevron2"/>
    <dgm:cxn modelId="{2C4E345B-9AF2-4903-AA3C-03CC3393151C}" type="presParOf" srcId="{02E4DD39-4FF9-4E67-A033-BFB92544E434}" destId="{A38917C3-F470-4A26-BC7A-4C090DD6CF62}" srcOrd="1" destOrd="0" presId="urn:microsoft.com/office/officeart/2005/8/layout/chevron2"/>
    <dgm:cxn modelId="{B5C7EB19-3C64-41AF-82A8-3C43C4536C57}" type="presParOf" srcId="{FF2B0283-E8BB-4BA3-AA6F-16798AA8962D}" destId="{710D13F6-01A5-4947-A736-5960DC154F0A}" srcOrd="1" destOrd="0" presId="urn:microsoft.com/office/officeart/2005/8/layout/chevron2"/>
    <dgm:cxn modelId="{B744B376-5ACF-4FA0-803D-EC25012FFA14}" type="presParOf" srcId="{FF2B0283-E8BB-4BA3-AA6F-16798AA8962D}" destId="{3E677A1A-46E7-408D-9F8C-3A21EE9C1869}" srcOrd="2" destOrd="0" presId="urn:microsoft.com/office/officeart/2005/8/layout/chevron2"/>
    <dgm:cxn modelId="{294BE829-04C0-41C0-AF0E-40AC2CC3B0D5}" type="presParOf" srcId="{3E677A1A-46E7-408D-9F8C-3A21EE9C1869}" destId="{ED37A283-88DB-4937-BC71-041CBA2E3EEA}" srcOrd="0" destOrd="0" presId="urn:microsoft.com/office/officeart/2005/8/layout/chevron2"/>
    <dgm:cxn modelId="{0CF31770-A72D-4483-9A2B-9F5709456642}" type="presParOf" srcId="{3E677A1A-46E7-408D-9F8C-3A21EE9C1869}" destId="{5C305720-EB3F-4AE7-8773-F66097C10548}" srcOrd="1" destOrd="0" presId="urn:microsoft.com/office/officeart/2005/8/layout/chevron2"/>
    <dgm:cxn modelId="{88A49766-4CFC-4620-8C1E-47B520B5DF8E}" type="presParOf" srcId="{FF2B0283-E8BB-4BA3-AA6F-16798AA8962D}" destId="{57079923-C8A1-4EC8-A354-D6AA16EE2AD5}" srcOrd="3" destOrd="0" presId="urn:microsoft.com/office/officeart/2005/8/layout/chevron2"/>
    <dgm:cxn modelId="{D0D0D935-37E9-444B-B426-8A9F1C96EBB8}" type="presParOf" srcId="{FF2B0283-E8BB-4BA3-AA6F-16798AA8962D}" destId="{DDF73AC7-E69D-4EC3-9295-808F5037FE94}" srcOrd="4" destOrd="0" presId="urn:microsoft.com/office/officeart/2005/8/layout/chevron2"/>
    <dgm:cxn modelId="{387A483F-9B48-47CB-B494-160332CE1896}" type="presParOf" srcId="{DDF73AC7-E69D-4EC3-9295-808F5037FE94}" destId="{372846ED-5740-4CA6-A0FB-E0CF2829A965}" srcOrd="0" destOrd="0" presId="urn:microsoft.com/office/officeart/2005/8/layout/chevron2"/>
    <dgm:cxn modelId="{C3B09147-B05B-4104-B602-237D073FB418}" type="presParOf" srcId="{DDF73AC7-E69D-4EC3-9295-808F5037FE94}" destId="{026C4293-3377-43A1-911E-342F6E86B2A0}" srcOrd="1" destOrd="0" presId="urn:microsoft.com/office/officeart/2005/8/layout/chevron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A5F7C-09F6-499F-986E-B522D2398BF1}">
      <dsp:nvSpPr>
        <dsp:cNvPr id="0" name=""/>
        <dsp:cNvSpPr/>
      </dsp:nvSpPr>
      <dsp:spPr>
        <a:xfrm>
          <a:off x="323828" y="184486"/>
          <a:ext cx="1669248" cy="92736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SILNE STRONY</a:t>
          </a:r>
        </a:p>
      </dsp:txBody>
      <dsp:txXfrm>
        <a:off x="350989" y="211647"/>
        <a:ext cx="1614926" cy="873038"/>
      </dsp:txXfrm>
    </dsp:sp>
    <dsp:sp modelId="{0C004DDB-8056-4A56-8A91-48468D968F7E}">
      <dsp:nvSpPr>
        <dsp:cNvPr id="0" name=""/>
        <dsp:cNvSpPr/>
      </dsp:nvSpPr>
      <dsp:spPr>
        <a:xfrm>
          <a:off x="2681314" y="221581"/>
          <a:ext cx="1669248" cy="92736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SŁABE STRONY</a:t>
          </a:r>
        </a:p>
      </dsp:txBody>
      <dsp:txXfrm>
        <a:off x="2708475" y="248742"/>
        <a:ext cx="1614926" cy="873038"/>
      </dsp:txXfrm>
    </dsp:sp>
    <dsp:sp modelId="{E399B901-4DAE-43AF-87AC-338CADA5146B}">
      <dsp:nvSpPr>
        <dsp:cNvPr id="0" name=""/>
        <dsp:cNvSpPr/>
      </dsp:nvSpPr>
      <dsp:spPr>
        <a:xfrm>
          <a:off x="1970640" y="4371396"/>
          <a:ext cx="695520" cy="695520"/>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13B2DB-03D0-465B-9931-AE4C93A94B27}">
      <dsp:nvSpPr>
        <dsp:cNvPr id="0" name=""/>
        <dsp:cNvSpPr/>
      </dsp:nvSpPr>
      <dsp:spPr>
        <a:xfrm>
          <a:off x="231839" y="4080205"/>
          <a:ext cx="4173120" cy="28191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023B14-79F3-4F38-A2A0-DEEBD24469E7}">
      <dsp:nvSpPr>
        <dsp:cNvPr id="0" name=""/>
        <dsp:cNvSpPr/>
      </dsp:nvSpPr>
      <dsp:spPr>
        <a:xfrm>
          <a:off x="2613142" y="3485095"/>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Niewystarczający poziom działań w zakresie oszczędności energii. </a:t>
          </a:r>
        </a:p>
      </dsp:txBody>
      <dsp:txXfrm>
        <a:off x="2641028" y="3512981"/>
        <a:ext cx="1613476" cy="515481"/>
      </dsp:txXfrm>
    </dsp:sp>
    <dsp:sp modelId="{E9428A17-1E0F-4720-B76F-B7D9ADC382ED}">
      <dsp:nvSpPr>
        <dsp:cNvPr id="0" name=""/>
        <dsp:cNvSpPr/>
      </dsp:nvSpPr>
      <dsp:spPr>
        <a:xfrm>
          <a:off x="2613142" y="2850276"/>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Znaczny udział węglowych źródeł ciepła w ogrzewaniu indywidualnym. </a:t>
          </a:r>
        </a:p>
      </dsp:txBody>
      <dsp:txXfrm>
        <a:off x="2641028" y="2878162"/>
        <a:ext cx="1613476" cy="515481"/>
      </dsp:txXfrm>
    </dsp:sp>
    <dsp:sp modelId="{ADF37BB9-1AFA-4EE2-8E72-79F7B46A7675}">
      <dsp:nvSpPr>
        <dsp:cNvPr id="0" name=""/>
        <dsp:cNvSpPr/>
      </dsp:nvSpPr>
      <dsp:spPr>
        <a:xfrm>
          <a:off x="2622674" y="2196407"/>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Niewystarczająco rozwinięta sieć ciepłownicza. </a:t>
          </a:r>
        </a:p>
      </dsp:txBody>
      <dsp:txXfrm>
        <a:off x="2650560" y="2224293"/>
        <a:ext cx="1613476" cy="515481"/>
      </dsp:txXfrm>
    </dsp:sp>
    <dsp:sp modelId="{0208D67F-2763-4D98-B398-06FF87891232}">
      <dsp:nvSpPr>
        <dsp:cNvPr id="0" name=""/>
        <dsp:cNvSpPr/>
      </dsp:nvSpPr>
      <dsp:spPr>
        <a:xfrm>
          <a:off x="2638966" y="1238547"/>
          <a:ext cx="1655693" cy="8712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Niewystarczająca wydolność układu komunikacyjnego, zły stan techniczny infrastruktury drogowej  i okołodorgowej sprzyjający zwiększeniu zanieczyszczeń.</a:t>
          </a:r>
        </a:p>
      </dsp:txBody>
      <dsp:txXfrm>
        <a:off x="2681496" y="1281077"/>
        <a:ext cx="1570633" cy="786176"/>
      </dsp:txXfrm>
    </dsp:sp>
    <dsp:sp modelId="{87120E3B-5843-449D-8A7B-0217FCC316F9}">
      <dsp:nvSpPr>
        <dsp:cNvPr id="0" name=""/>
        <dsp:cNvSpPr/>
      </dsp:nvSpPr>
      <dsp:spPr>
        <a:xfrm>
          <a:off x="215494" y="3159132"/>
          <a:ext cx="1718457" cy="8993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Chęć uczestnictwa w programach dofinansowujących inwestycje w zakresie termomodernizacji, wykorzystania OZE.</a:t>
          </a:r>
        </a:p>
      </dsp:txBody>
      <dsp:txXfrm>
        <a:off x="259395" y="3203033"/>
        <a:ext cx="1630655" cy="811522"/>
      </dsp:txXfrm>
    </dsp:sp>
    <dsp:sp modelId="{25EE94F8-0982-4B89-A3A4-135409FF40D6}">
      <dsp:nvSpPr>
        <dsp:cNvPr id="0" name=""/>
        <dsp:cNvSpPr/>
      </dsp:nvSpPr>
      <dsp:spPr>
        <a:xfrm>
          <a:off x="259161" y="2535950"/>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Aktywna polityka władz w zakresie działań na rzecz ochrony środowiska i ograniczania emisji CO2. </a:t>
          </a:r>
        </a:p>
      </dsp:txBody>
      <dsp:txXfrm>
        <a:off x="287047" y="2563836"/>
        <a:ext cx="1613476" cy="515481"/>
      </dsp:txXfrm>
    </dsp:sp>
    <dsp:sp modelId="{C8F4B027-4892-43DA-B225-BFE15C0F1938}">
      <dsp:nvSpPr>
        <dsp:cNvPr id="0" name=""/>
        <dsp:cNvSpPr/>
      </dsp:nvSpPr>
      <dsp:spPr>
        <a:xfrm>
          <a:off x="287739" y="1882086"/>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Zaawansowane prace modernizacyjne oświetlenia ulicznego oraz wykorzystania OZE.</a:t>
          </a:r>
        </a:p>
      </dsp:txBody>
      <dsp:txXfrm>
        <a:off x="315625" y="1909972"/>
        <a:ext cx="1613476" cy="515481"/>
      </dsp:txXfrm>
    </dsp:sp>
    <dsp:sp modelId="{BFC9D2AE-DD72-4662-977D-D3E8A87BC554}">
      <dsp:nvSpPr>
        <dsp:cNvPr id="0" name=""/>
        <dsp:cNvSpPr/>
      </dsp:nvSpPr>
      <dsp:spPr>
        <a:xfrm>
          <a:off x="287739" y="1217088"/>
          <a:ext cx="1669248" cy="57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t>P</a:t>
          </a:r>
          <a:r>
            <a:rPr lang="pl-PL" sz="1000" kern="1200"/>
            <a:t>otencjał wykorzystania energii słonecznej.</a:t>
          </a:r>
        </a:p>
      </dsp:txBody>
      <dsp:txXfrm>
        <a:off x="315625" y="1244974"/>
        <a:ext cx="1613476" cy="515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93D4D-B89C-4D8B-8510-42B476A81ADF}">
      <dsp:nvSpPr>
        <dsp:cNvPr id="0" name=""/>
        <dsp:cNvSpPr/>
      </dsp:nvSpPr>
      <dsp:spPr>
        <a:xfrm>
          <a:off x="163862" y="78196"/>
          <a:ext cx="1668886" cy="92715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SZANSE</a:t>
          </a:r>
        </a:p>
      </dsp:txBody>
      <dsp:txXfrm>
        <a:off x="191018" y="105352"/>
        <a:ext cx="1614574" cy="872847"/>
      </dsp:txXfrm>
    </dsp:sp>
    <dsp:sp modelId="{69E8767C-0BF0-4397-90EC-0ED56179A4DA}">
      <dsp:nvSpPr>
        <dsp:cNvPr id="0" name=""/>
        <dsp:cNvSpPr/>
      </dsp:nvSpPr>
      <dsp:spPr>
        <a:xfrm>
          <a:off x="2688761" y="430618"/>
          <a:ext cx="1668886" cy="92715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pl-PL" sz="2000" kern="1200"/>
            <a:t>ZAGROŻENIA</a:t>
          </a:r>
        </a:p>
      </dsp:txBody>
      <dsp:txXfrm>
        <a:off x="2715917" y="457774"/>
        <a:ext cx="1614574" cy="872847"/>
      </dsp:txXfrm>
    </dsp:sp>
    <dsp:sp modelId="{8F0DE956-5110-4A12-8D6B-8340A1C854AE}">
      <dsp:nvSpPr>
        <dsp:cNvPr id="0" name=""/>
        <dsp:cNvSpPr/>
      </dsp:nvSpPr>
      <dsp:spPr>
        <a:xfrm>
          <a:off x="1998786" y="4675846"/>
          <a:ext cx="695369" cy="695369"/>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958688-EFA9-407F-80CE-BC9A3A71956F}">
      <dsp:nvSpPr>
        <dsp:cNvPr id="0" name=""/>
        <dsp:cNvSpPr/>
      </dsp:nvSpPr>
      <dsp:spPr>
        <a:xfrm rot="21360000">
          <a:off x="231152" y="4368345"/>
          <a:ext cx="4173490" cy="29183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346C31-A1FF-46DE-BEA6-3E554BE61793}">
      <dsp:nvSpPr>
        <dsp:cNvPr id="0" name=""/>
        <dsp:cNvSpPr/>
      </dsp:nvSpPr>
      <dsp:spPr>
        <a:xfrm rot="21360000">
          <a:off x="301997" y="4092688"/>
          <a:ext cx="1718998" cy="3193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Rosnąca</a:t>
          </a:r>
          <a:r>
            <a:rPr lang="pl-PL" sz="800" kern="1200"/>
            <a:t> świadomość ekologiczna</a:t>
          </a:r>
        </a:p>
      </dsp:txBody>
      <dsp:txXfrm>
        <a:off x="317589" y="4108280"/>
        <a:ext cx="1687814" cy="288215"/>
      </dsp:txXfrm>
    </dsp:sp>
    <dsp:sp modelId="{C5145C3E-2585-4D9E-A5B8-BE933CF12AC1}">
      <dsp:nvSpPr>
        <dsp:cNvPr id="0" name=""/>
        <dsp:cNvSpPr/>
      </dsp:nvSpPr>
      <dsp:spPr>
        <a:xfrm rot="21360000">
          <a:off x="251061" y="3023022"/>
          <a:ext cx="1690048" cy="10062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Nowa perspektywa finansowa 2014-2020 umożliwiająca ubieganie się o dofinansowania inwestycji OZE, termomodernizacji na rzecz redukcji emisji</a:t>
          </a:r>
        </a:p>
      </dsp:txBody>
      <dsp:txXfrm>
        <a:off x="300184" y="3072145"/>
        <a:ext cx="1591802" cy="908042"/>
      </dsp:txXfrm>
    </dsp:sp>
    <dsp:sp modelId="{2D292862-9D26-487B-A3F8-54BBBA60EA88}">
      <dsp:nvSpPr>
        <dsp:cNvPr id="0" name=""/>
        <dsp:cNvSpPr/>
      </dsp:nvSpPr>
      <dsp:spPr>
        <a:xfrm rot="21360000">
          <a:off x="149131" y="2092889"/>
          <a:ext cx="1705928" cy="8997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Krajowe zobowiązania dotyczące zapewnienia odpowiedniego poziomu energii odnawialnej i biopaliw na poziomie krajowym. </a:t>
          </a:r>
        </a:p>
      </dsp:txBody>
      <dsp:txXfrm>
        <a:off x="193053" y="2136811"/>
        <a:ext cx="1618084" cy="811911"/>
      </dsp:txXfrm>
    </dsp:sp>
    <dsp:sp modelId="{42FEA172-901A-4FB7-9974-4AA4B47E5DD2}">
      <dsp:nvSpPr>
        <dsp:cNvPr id="0" name=""/>
        <dsp:cNvSpPr/>
      </dsp:nvSpPr>
      <dsp:spPr>
        <a:xfrm rot="21360000">
          <a:off x="99183" y="1168717"/>
          <a:ext cx="1694056" cy="8956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Wzrastająca presja na racjonalne gospodarowanie energią i ograniczanie emisji. Rozwój technologii energooszczędnej.</a:t>
          </a:r>
        </a:p>
      </dsp:txBody>
      <dsp:txXfrm>
        <a:off x="142903" y="1212437"/>
        <a:ext cx="1606616" cy="808166"/>
      </dsp:txXfrm>
    </dsp:sp>
    <dsp:sp modelId="{7B28FD0D-5F1F-4EBB-87D6-9C1A4D2CBA87}">
      <dsp:nvSpPr>
        <dsp:cNvPr id="0" name=""/>
        <dsp:cNvSpPr/>
      </dsp:nvSpPr>
      <dsp:spPr>
        <a:xfrm rot="21360000">
          <a:off x="2620166" y="3447098"/>
          <a:ext cx="1656202" cy="571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Wysokie koszty inwestycji w termomodernizacje i OZE.</a:t>
          </a:r>
        </a:p>
      </dsp:txBody>
      <dsp:txXfrm>
        <a:off x="2648087" y="3475019"/>
        <a:ext cx="1600360" cy="516118"/>
      </dsp:txXfrm>
    </dsp:sp>
    <dsp:sp modelId="{52B30703-CE12-4B2E-95C6-A510CC6EBA3A}">
      <dsp:nvSpPr>
        <dsp:cNvPr id="0" name=""/>
        <dsp:cNvSpPr/>
      </dsp:nvSpPr>
      <dsp:spPr>
        <a:xfrm rot="21360000">
          <a:off x="2540611" y="2461051"/>
          <a:ext cx="1627367" cy="9011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Niewystarczające dofinansowanie ze źródeł zewnętrznych na pokrycie wszystkich zaplanowanych działań. </a:t>
          </a:r>
        </a:p>
      </dsp:txBody>
      <dsp:txXfrm>
        <a:off x="2584599" y="2505039"/>
        <a:ext cx="1539391" cy="813132"/>
      </dsp:txXfrm>
    </dsp:sp>
    <dsp:sp modelId="{5AA9F2DD-A829-4338-A74F-4A7419488A96}">
      <dsp:nvSpPr>
        <dsp:cNvPr id="0" name=""/>
        <dsp:cNvSpPr/>
      </dsp:nvSpPr>
      <dsp:spPr>
        <a:xfrm rot="21360000">
          <a:off x="2498889" y="1813675"/>
          <a:ext cx="1656202" cy="571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Og</a:t>
          </a:r>
          <a:r>
            <a:rPr lang="pl-PL" sz="1000" kern="1200"/>
            <a:t>ólnokrajowy trend wzrostu zużycia energii elektrycznej.</a:t>
          </a:r>
        </a:p>
      </dsp:txBody>
      <dsp:txXfrm>
        <a:off x="2526810" y="1841596"/>
        <a:ext cx="1600360" cy="5161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DE91E8-6580-4321-B9C7-CB1D5A8E22E3}">
      <dsp:nvSpPr>
        <dsp:cNvPr id="0" name=""/>
        <dsp:cNvSpPr/>
      </dsp:nvSpPr>
      <dsp:spPr>
        <a:xfrm rot="5400000">
          <a:off x="-407220" y="409117"/>
          <a:ext cx="2714801" cy="19003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REDUKCJA EMISJI GAZÓW CIEPLARNIANYCH</a:t>
          </a:r>
        </a:p>
      </dsp:txBody>
      <dsp:txXfrm rot="-5400000">
        <a:off x="1" y="952078"/>
        <a:ext cx="1900361" cy="814440"/>
      </dsp:txXfrm>
    </dsp:sp>
    <dsp:sp modelId="{A38917C3-F470-4A26-BC7A-4C090DD6CF62}">
      <dsp:nvSpPr>
        <dsp:cNvPr id="0" name=""/>
        <dsp:cNvSpPr/>
      </dsp:nvSpPr>
      <dsp:spPr>
        <a:xfrm rot="5400000">
          <a:off x="2893029" y="-990771"/>
          <a:ext cx="1764621" cy="37499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pl-PL" sz="1300" kern="1200"/>
            <a:t>Zmniejszenie tzw. "niskiej emisji" w sektorze mieszkalnicta jedno- i wielorodzinnego.</a:t>
          </a:r>
        </a:p>
        <a:p>
          <a:pPr marL="114300" lvl="1" indent="-114300" algn="l" defTabSz="577850">
            <a:lnSpc>
              <a:spcPct val="90000"/>
            </a:lnSpc>
            <a:spcBef>
              <a:spcPct val="0"/>
            </a:spcBef>
            <a:spcAft>
              <a:spcPct val="15000"/>
            </a:spcAft>
            <a:buChar char="••"/>
          </a:pPr>
          <a:r>
            <a:rPr lang="pl-PL" sz="1300" kern="1200"/>
            <a:t>Modernizacja infrastruktury drogowej w celu ograniczenia zużycia paliwa i emisji gazów. </a:t>
          </a:r>
        </a:p>
        <a:p>
          <a:pPr marL="114300" lvl="1" indent="-114300" algn="l" defTabSz="577850">
            <a:lnSpc>
              <a:spcPct val="90000"/>
            </a:lnSpc>
            <a:spcBef>
              <a:spcPct val="0"/>
            </a:spcBef>
            <a:spcAft>
              <a:spcPct val="15000"/>
            </a:spcAft>
            <a:buChar char="••"/>
          </a:pPr>
          <a:r>
            <a:rPr lang="pl-PL" sz="1300" kern="1200"/>
            <a:t>Rozwój sieci dróg rowerowych.</a:t>
          </a:r>
        </a:p>
        <a:p>
          <a:pPr marL="114300" lvl="1" indent="-114300" algn="l" defTabSz="577850">
            <a:lnSpc>
              <a:spcPct val="90000"/>
            </a:lnSpc>
            <a:spcBef>
              <a:spcPct val="0"/>
            </a:spcBef>
            <a:spcAft>
              <a:spcPct val="15000"/>
            </a:spcAft>
            <a:buChar char="••"/>
          </a:pPr>
          <a:r>
            <a:rPr lang="pl-PL" sz="1300" kern="1200"/>
            <a:t>Wymiana źródeł ogrzewania budynków. </a:t>
          </a:r>
        </a:p>
        <a:p>
          <a:pPr marL="114300" lvl="1" indent="-114300" algn="l" defTabSz="577850">
            <a:lnSpc>
              <a:spcPct val="90000"/>
            </a:lnSpc>
            <a:spcBef>
              <a:spcPct val="0"/>
            </a:spcBef>
            <a:spcAft>
              <a:spcPct val="15000"/>
            </a:spcAft>
            <a:buChar char="••"/>
          </a:pPr>
          <a:r>
            <a:rPr lang="pl-PL" sz="1300" kern="1200"/>
            <a:t>Kształtowanie świadomości ekologicznej mieszkańców gminy. </a:t>
          </a:r>
        </a:p>
      </dsp:txBody>
      <dsp:txXfrm rot="-5400000">
        <a:off x="1900361" y="88039"/>
        <a:ext cx="3663815" cy="1592337"/>
      </dsp:txXfrm>
    </dsp:sp>
    <dsp:sp modelId="{ED37A283-88DB-4937-BC71-041CBA2E3EEA}">
      <dsp:nvSpPr>
        <dsp:cNvPr id="0" name=""/>
        <dsp:cNvSpPr/>
      </dsp:nvSpPr>
      <dsp:spPr>
        <a:xfrm rot="5400000">
          <a:off x="-407220" y="2909437"/>
          <a:ext cx="2714801" cy="19003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t>ZWIĘKSZENIE UDZIAŁU ENERGII POCHODZĄCEJ ZE ŹRÓDEŁ ODNAWIALNYCH</a:t>
          </a:r>
        </a:p>
      </dsp:txBody>
      <dsp:txXfrm rot="-5400000">
        <a:off x="1" y="3452398"/>
        <a:ext cx="1900361" cy="814440"/>
      </dsp:txXfrm>
    </dsp:sp>
    <dsp:sp modelId="{5C305720-EB3F-4AE7-8773-F66097C10548}">
      <dsp:nvSpPr>
        <dsp:cNvPr id="0" name=""/>
        <dsp:cNvSpPr/>
      </dsp:nvSpPr>
      <dsp:spPr>
        <a:xfrm rot="5400000">
          <a:off x="2893029" y="1509549"/>
          <a:ext cx="1764621" cy="37499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pl-PL" sz="1300" kern="1200"/>
            <a:t>Wzrost wykorzystania OZE w indywidualnej zabudowie.</a:t>
          </a:r>
        </a:p>
        <a:p>
          <a:pPr marL="114300" lvl="1" indent="-114300" algn="l" defTabSz="577850">
            <a:lnSpc>
              <a:spcPct val="90000"/>
            </a:lnSpc>
            <a:spcBef>
              <a:spcPct val="0"/>
            </a:spcBef>
            <a:spcAft>
              <a:spcPct val="15000"/>
            </a:spcAft>
            <a:buChar char="••"/>
          </a:pPr>
          <a:r>
            <a:rPr lang="pl-PL" sz="1300" kern="1200"/>
            <a:t>Wzrost wykorzystania OZE w budynkach użyteczności publicznej. </a:t>
          </a:r>
        </a:p>
        <a:p>
          <a:pPr marL="114300" lvl="1" indent="-114300" algn="l" defTabSz="577850">
            <a:lnSpc>
              <a:spcPct val="90000"/>
            </a:lnSpc>
            <a:spcBef>
              <a:spcPct val="0"/>
            </a:spcBef>
            <a:spcAft>
              <a:spcPct val="15000"/>
            </a:spcAft>
            <a:buChar char="••"/>
          </a:pPr>
          <a:r>
            <a:rPr lang="pl-PL" sz="1300" kern="1200"/>
            <a:t>Wzrost liczby nowoczesnych systemów grzewczych oraz towarzyszących im technologii wykorzystujących odnawialne źródła energii.</a:t>
          </a:r>
        </a:p>
      </dsp:txBody>
      <dsp:txXfrm rot="-5400000">
        <a:off x="1900361" y="2588359"/>
        <a:ext cx="3663815" cy="1592337"/>
      </dsp:txXfrm>
    </dsp:sp>
    <dsp:sp modelId="{372846ED-5740-4CA6-A0FB-E0CF2829A965}">
      <dsp:nvSpPr>
        <dsp:cNvPr id="0" name=""/>
        <dsp:cNvSpPr/>
      </dsp:nvSpPr>
      <dsp:spPr>
        <a:xfrm rot="5400000">
          <a:off x="-407220" y="5409758"/>
          <a:ext cx="2714801" cy="190036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b="0" kern="1200"/>
            <a:t>REDUKCJA ZUŻYCIA ENERGII FINALNEJ POPRZEZ PODNIESIENIE EFEKTYWNOŚCI ENERGETYCZNEJ</a:t>
          </a:r>
        </a:p>
      </dsp:txBody>
      <dsp:txXfrm rot="-5400000">
        <a:off x="1" y="5952719"/>
        <a:ext cx="1900361" cy="814440"/>
      </dsp:txXfrm>
    </dsp:sp>
    <dsp:sp modelId="{026C4293-3377-43A1-911E-342F6E86B2A0}">
      <dsp:nvSpPr>
        <dsp:cNvPr id="0" name=""/>
        <dsp:cNvSpPr/>
      </dsp:nvSpPr>
      <dsp:spPr>
        <a:xfrm rot="5400000">
          <a:off x="2893029" y="4009869"/>
          <a:ext cx="1764621" cy="37499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pl-PL" sz="1300" kern="1200"/>
            <a:t>Wprowadzenie nowoczesnych technologii                       w budownictwie w celu zmniejszenia energochłonności. </a:t>
          </a:r>
        </a:p>
        <a:p>
          <a:pPr marL="114300" lvl="1" indent="-114300" algn="l" defTabSz="577850">
            <a:lnSpc>
              <a:spcPct val="90000"/>
            </a:lnSpc>
            <a:spcBef>
              <a:spcPct val="0"/>
            </a:spcBef>
            <a:spcAft>
              <a:spcPct val="15000"/>
            </a:spcAft>
            <a:buChar char="••"/>
          </a:pPr>
          <a:r>
            <a:rPr lang="pl-PL" sz="1300" kern="1200"/>
            <a:t>Ograniczenie "niskiej emisji" w sektorze mieszkalnictwa. </a:t>
          </a:r>
        </a:p>
        <a:p>
          <a:pPr marL="114300" lvl="1" indent="-114300" algn="l" defTabSz="577850">
            <a:lnSpc>
              <a:spcPct val="90000"/>
            </a:lnSpc>
            <a:spcBef>
              <a:spcPct val="0"/>
            </a:spcBef>
            <a:spcAft>
              <a:spcPct val="15000"/>
            </a:spcAft>
            <a:buChar char="••"/>
          </a:pPr>
          <a:r>
            <a:rPr lang="pl-PL" sz="1300" kern="1200"/>
            <a:t>Realizacja wzrostowej idei oszczędnego gospodarowania energią.</a:t>
          </a:r>
        </a:p>
        <a:p>
          <a:pPr marL="114300" lvl="1" indent="-114300" algn="l" defTabSz="577850">
            <a:lnSpc>
              <a:spcPct val="90000"/>
            </a:lnSpc>
            <a:spcBef>
              <a:spcPct val="0"/>
            </a:spcBef>
            <a:spcAft>
              <a:spcPct val="15000"/>
            </a:spcAft>
            <a:buChar char="••"/>
          </a:pPr>
          <a:r>
            <a:rPr lang="pl-PL" sz="1300" kern="1200"/>
            <a:t>Poprawa bezpieczeństwa energetycznego. </a:t>
          </a:r>
        </a:p>
      </dsp:txBody>
      <dsp:txXfrm rot="-5400000">
        <a:off x="1900361" y="5088679"/>
        <a:ext cx="3663815" cy="1592337"/>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0.11346</cdr:x>
      <cdr:y>0.1279</cdr:y>
    </cdr:from>
    <cdr:to>
      <cdr:x>0.12669</cdr:x>
      <cdr:y>0.14093</cdr:y>
    </cdr:to>
    <cdr:sp macro="" textlink="">
      <cdr:nvSpPr>
        <cdr:cNvPr id="3" name="Prostokąt 2"/>
        <cdr:cNvSpPr/>
      </cdr:nvSpPr>
      <cdr:spPr>
        <a:xfrm xmlns:a="http://schemas.openxmlformats.org/drawingml/2006/main">
          <a:off x="653881" y="448769"/>
          <a:ext cx="76242" cy="45719"/>
        </a:xfrm>
        <a:prstGeom xmlns:a="http://schemas.openxmlformats.org/drawingml/2006/main" prst="rect">
          <a:avLst/>
        </a:prstGeom>
        <a:solidFill xmlns:a="http://schemas.openxmlformats.org/drawingml/2006/main">
          <a:schemeClr val="accent4">
            <a:lumMod val="5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F6843-E00E-4FC9-9A6F-C8658924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117</Pages>
  <Words>25253</Words>
  <Characters>151519</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PLAN GOSPODARKI NISKOEMISYJNEJ DLA GMINY HERBY</vt:lpstr>
    </vt:vector>
  </TitlesOfParts>
  <Company>PHIN Consulting Sp. z o. o.</Company>
  <LinksUpToDate>false</LinksUpToDate>
  <CharactersWithSpaces>176420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GOSPODARKI NISKOEMISYJNEJ DLA GMINY HERBY</dc:title>
  <dc:creator/>
  <cp:lastModifiedBy>iburek</cp:lastModifiedBy>
  <cp:revision>16</cp:revision>
  <cp:lastPrinted>2016-03-15T10:59:00Z</cp:lastPrinted>
  <dcterms:created xsi:type="dcterms:W3CDTF">2016-03-15T10:55:00Z</dcterms:created>
  <dcterms:modified xsi:type="dcterms:W3CDTF">2016-03-15T14:30:00Z</dcterms:modified>
</cp:coreProperties>
</file>