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62" w14:textId="2FC1985D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B2040">
        <w:rPr>
          <w:rFonts w:eastAsia="Calibri"/>
          <w:i/>
          <w:color w:val="000000"/>
          <w:sz w:val="22"/>
          <w:szCs w:val="22"/>
          <w:lang w:eastAsia="en-US"/>
        </w:rPr>
        <w:t>6</w:t>
      </w:r>
      <w:r w:rsidR="009512A8">
        <w:rPr>
          <w:rFonts w:eastAsia="Calibri"/>
          <w:i/>
          <w:color w:val="000000"/>
          <w:sz w:val="22"/>
          <w:szCs w:val="22"/>
          <w:lang w:eastAsia="en-US"/>
        </w:rPr>
        <w:t>.20</w:t>
      </w:r>
      <w:r w:rsidR="004E0D85">
        <w:rPr>
          <w:rFonts w:eastAsia="Calibri"/>
          <w:i/>
          <w:color w:val="000000"/>
          <w:sz w:val="22"/>
          <w:szCs w:val="22"/>
          <w:lang w:eastAsia="en-US"/>
        </w:rPr>
        <w:t>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6B464C05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„Odbi</w:t>
      </w:r>
      <w:r w:rsidR="006E23BA">
        <w:rPr>
          <w:rFonts w:eastAsia="Calibri"/>
          <w:b/>
          <w:color w:val="000000"/>
          <w:sz w:val="22"/>
          <w:szCs w:val="22"/>
          <w:lang w:eastAsia="en-US"/>
        </w:rPr>
        <w:t>ór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 xml:space="preserve"> i zagospodarowanie odpadów komunalnych powstających na nieruchomościach zamieszkałych na terenie Gminy Grodziec”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4CC609FA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6E23BA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249F191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2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D8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2040"/>
    <w:rsid w:val="006B32A2"/>
    <w:rsid w:val="006B5786"/>
    <w:rsid w:val="006B62B2"/>
    <w:rsid w:val="006C151E"/>
    <w:rsid w:val="006C5547"/>
    <w:rsid w:val="006C5741"/>
    <w:rsid w:val="006C6E25"/>
    <w:rsid w:val="006E23BA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12A8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448DC5"/>
  <w15:docId w15:val="{C01553E9-3693-40F1-9DEF-474C6FE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2190-06E3-4FA4-B0B5-5CEBB65F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29</cp:revision>
  <cp:lastPrinted>2020-07-22T14:24:00Z</cp:lastPrinted>
  <dcterms:created xsi:type="dcterms:W3CDTF">2016-11-23T07:51:00Z</dcterms:created>
  <dcterms:modified xsi:type="dcterms:W3CDTF">2020-07-22T14:24:00Z</dcterms:modified>
</cp:coreProperties>
</file>