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18501F">
        <w:rPr>
          <w:rFonts w:ascii="Times New Roman" w:hAnsi="Times New Roman" w:cs="Times New Roman"/>
          <w:i/>
        </w:rPr>
        <w:t>8</w:t>
      </w:r>
      <w:r w:rsidRPr="00A7599F">
        <w:rPr>
          <w:rFonts w:ascii="Times New Roman" w:hAnsi="Times New Roman" w:cs="Times New Roman"/>
          <w:i/>
        </w:rPr>
        <w:t>.201</w:t>
      </w:r>
      <w:r w:rsidR="00FB3982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D30DC4" w:rsidP="009C1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8501F" w:rsidRPr="0018501F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18501F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18501F" w:rsidRPr="0018501F">
        <w:rPr>
          <w:rFonts w:ascii="Times New Roman" w:hAnsi="Times New Roman" w:cs="Times New Roman"/>
          <w:b/>
          <w:bCs/>
          <w:sz w:val="24"/>
          <w:szCs w:val="24"/>
        </w:rPr>
        <w:t xml:space="preserve"> energii elektrycznej czynnej na potrzeby budynków i obiektów Gminy Grodziec i jej Jednostek Organizacyjnych</w:t>
      </w:r>
      <w:r w:rsidR="00976C88" w:rsidRPr="00976C88">
        <w:rPr>
          <w:rFonts w:ascii="Times New Roman" w:hAnsi="Times New Roman" w:cs="Times New Roman"/>
          <w:b/>
          <w:sz w:val="24"/>
          <w:szCs w:val="24"/>
        </w:rPr>
        <w:t>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 2015 r. poz. 184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FB3982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18501F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6800C6"/>
    <w:rsid w:val="00712313"/>
    <w:rsid w:val="0077428D"/>
    <w:rsid w:val="00781A54"/>
    <w:rsid w:val="00784043"/>
    <w:rsid w:val="0091646A"/>
    <w:rsid w:val="00953DD6"/>
    <w:rsid w:val="00976C88"/>
    <w:rsid w:val="009A1DD7"/>
    <w:rsid w:val="009C1292"/>
    <w:rsid w:val="00A7599F"/>
    <w:rsid w:val="00CB2DAA"/>
    <w:rsid w:val="00D30DC4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A95FE2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19</cp:revision>
  <cp:lastPrinted>2017-09-14T10:41:00Z</cp:lastPrinted>
  <dcterms:created xsi:type="dcterms:W3CDTF">2016-09-12T10:49:00Z</dcterms:created>
  <dcterms:modified xsi:type="dcterms:W3CDTF">2018-06-20T05:55:00Z</dcterms:modified>
</cp:coreProperties>
</file>