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DC75" w14:textId="77777777" w:rsidR="004B2454" w:rsidRDefault="004B2454" w:rsidP="004B2454">
      <w:pPr>
        <w:pStyle w:val="Default"/>
      </w:pPr>
    </w:p>
    <w:p w14:paraId="62D7402E" w14:textId="418A7655" w:rsidR="004B2454" w:rsidRDefault="004B2454" w:rsidP="004B2454">
      <w:pPr>
        <w:pStyle w:val="Default"/>
        <w:jc w:val="center"/>
        <w:rPr>
          <w:sz w:val="22"/>
          <w:szCs w:val="22"/>
        </w:rPr>
      </w:pPr>
      <w:r>
        <w:rPr>
          <w:sz w:val="22"/>
          <w:szCs w:val="22"/>
        </w:rPr>
        <w:t>Zarządzenie Nr OA 0050.1</w:t>
      </w:r>
      <w:r w:rsidR="00A344D3">
        <w:rPr>
          <w:sz w:val="22"/>
          <w:szCs w:val="22"/>
        </w:rPr>
        <w:t>46</w:t>
      </w:r>
      <w:r>
        <w:rPr>
          <w:sz w:val="22"/>
          <w:szCs w:val="22"/>
        </w:rPr>
        <w:t>.2025</w:t>
      </w:r>
    </w:p>
    <w:p w14:paraId="76C61015" w14:textId="77777777" w:rsidR="004B2454" w:rsidRDefault="004B2454" w:rsidP="004B2454">
      <w:pPr>
        <w:pStyle w:val="Default"/>
        <w:jc w:val="center"/>
        <w:rPr>
          <w:sz w:val="22"/>
          <w:szCs w:val="22"/>
        </w:rPr>
      </w:pPr>
      <w:r>
        <w:rPr>
          <w:sz w:val="22"/>
          <w:szCs w:val="22"/>
        </w:rPr>
        <w:t>Burmistrza Miasta i Gminy Gołańcz</w:t>
      </w:r>
    </w:p>
    <w:p w14:paraId="2763DAA2" w14:textId="77777777" w:rsidR="004B2454" w:rsidRDefault="004B2454" w:rsidP="004B2454">
      <w:pPr>
        <w:pStyle w:val="Default"/>
        <w:jc w:val="center"/>
        <w:rPr>
          <w:sz w:val="22"/>
          <w:szCs w:val="22"/>
        </w:rPr>
      </w:pPr>
      <w:r>
        <w:rPr>
          <w:sz w:val="22"/>
          <w:szCs w:val="22"/>
        </w:rPr>
        <w:t>z dnia 31.12.2025 r.</w:t>
      </w:r>
    </w:p>
    <w:p w14:paraId="598BC4C4" w14:textId="77777777" w:rsidR="00FD7345" w:rsidRDefault="00FD7345" w:rsidP="004B2454">
      <w:pPr>
        <w:pStyle w:val="Default"/>
        <w:jc w:val="center"/>
        <w:rPr>
          <w:sz w:val="22"/>
          <w:szCs w:val="22"/>
        </w:rPr>
      </w:pPr>
    </w:p>
    <w:p w14:paraId="3CC74CFF" w14:textId="53F350E6" w:rsidR="004B2454" w:rsidRDefault="004B2454" w:rsidP="004B2454">
      <w:pPr>
        <w:pStyle w:val="Default"/>
        <w:jc w:val="center"/>
        <w:rPr>
          <w:b/>
          <w:bCs/>
          <w:sz w:val="22"/>
          <w:szCs w:val="22"/>
        </w:rPr>
      </w:pPr>
      <w:r>
        <w:rPr>
          <w:b/>
          <w:bCs/>
          <w:sz w:val="22"/>
          <w:szCs w:val="22"/>
        </w:rPr>
        <w:t xml:space="preserve">w sprawie zmian w zakładowym planie kont dla budżetu Gminy – organu oraz planu kont dla Urzędu Miasta i Gminy Gołańcz, </w:t>
      </w:r>
    </w:p>
    <w:p w14:paraId="234C1716" w14:textId="77777777" w:rsidR="00C4126E" w:rsidRDefault="00C4126E" w:rsidP="004B2454">
      <w:pPr>
        <w:pStyle w:val="Default"/>
        <w:jc w:val="center"/>
        <w:rPr>
          <w:b/>
          <w:bCs/>
          <w:sz w:val="22"/>
          <w:szCs w:val="22"/>
        </w:rPr>
      </w:pPr>
    </w:p>
    <w:p w14:paraId="43458D82" w14:textId="77777777" w:rsidR="00C4126E" w:rsidRDefault="00C4126E" w:rsidP="00C4126E">
      <w:pPr>
        <w:pStyle w:val="Default"/>
        <w:jc w:val="both"/>
        <w:rPr>
          <w:sz w:val="22"/>
          <w:szCs w:val="22"/>
        </w:rPr>
      </w:pPr>
      <w:r>
        <w:rPr>
          <w:sz w:val="22"/>
          <w:szCs w:val="22"/>
        </w:rPr>
        <w:t xml:space="preserve">Na podstawie ustawy z dnia 29 września 1994 r. o rachunkowości (Dz.U. z 2023 r. poz. 120 z późn. zm.), ustawy z dnia 27 sierpnia 2009r. o finansach publicznych (Dz.U. z 2025 r., poz. 1483),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 rozporządzenia Ministra Finansów z dnia 29 stycznia 2025 r. w sprawie sprawozdawczości budżetowej (Dz.U. z 2025 r., poz. 133), rozporządzenia Ministra Finansów z dnia 25 października 2010 r. w sprawie zasad rachunkowości oraz planów kont dla organów podatkowych jednostek samorządu terytorialnego (Dz.U. z 2010 r. nr 208, poz. 1375) zarządza się, co następuje: </w:t>
      </w:r>
    </w:p>
    <w:p w14:paraId="37E751A6" w14:textId="77777777" w:rsidR="004B2454" w:rsidRDefault="004B2454" w:rsidP="004B2454">
      <w:pPr>
        <w:pStyle w:val="Default"/>
        <w:jc w:val="both"/>
        <w:rPr>
          <w:sz w:val="22"/>
          <w:szCs w:val="22"/>
        </w:rPr>
      </w:pPr>
    </w:p>
    <w:p w14:paraId="40341829" w14:textId="77777777" w:rsidR="004B2454" w:rsidRDefault="004B2454" w:rsidP="004B2454">
      <w:pPr>
        <w:pStyle w:val="Default"/>
        <w:jc w:val="both"/>
        <w:rPr>
          <w:sz w:val="22"/>
          <w:szCs w:val="22"/>
        </w:rPr>
      </w:pPr>
      <w:r>
        <w:rPr>
          <w:b/>
          <w:bCs/>
          <w:sz w:val="22"/>
          <w:szCs w:val="22"/>
        </w:rPr>
        <w:t xml:space="preserve">§ 1. </w:t>
      </w:r>
      <w:r>
        <w:rPr>
          <w:sz w:val="22"/>
          <w:szCs w:val="22"/>
        </w:rPr>
        <w:t xml:space="preserve">W Zarządzeniu Nr OA 0050.173.2024 Burmistrza Miasta i Gminy Gołańcz z dnia 31 grudnia 2024 r. w sprawie ustalenia zakładowego planu kont dla budżetu Gminy - organu oraz planu kont dla Urzędu Miasta i Gminy Gołańcz ze zmianami, dokonuje się następujących zmian: </w:t>
      </w:r>
    </w:p>
    <w:p w14:paraId="54596142" w14:textId="77777777" w:rsidR="00E616A9" w:rsidRPr="00FD7345" w:rsidRDefault="00E616A9" w:rsidP="004B2454">
      <w:pPr>
        <w:pStyle w:val="Default"/>
        <w:jc w:val="both"/>
        <w:rPr>
          <w:sz w:val="22"/>
          <w:szCs w:val="22"/>
        </w:rPr>
      </w:pPr>
    </w:p>
    <w:p w14:paraId="086D7A79" w14:textId="77777777" w:rsidR="00D00A14" w:rsidRPr="00FD7345" w:rsidRDefault="002E07D4" w:rsidP="00E616A9">
      <w:pPr>
        <w:pStyle w:val="Akapitzlist"/>
        <w:numPr>
          <w:ilvl w:val="0"/>
          <w:numId w:val="2"/>
        </w:numPr>
        <w:jc w:val="both"/>
        <w:rPr>
          <w:rFonts w:ascii="Arial" w:hAnsi="Arial" w:cs="Arial"/>
        </w:rPr>
      </w:pPr>
      <w:r w:rsidRPr="00FD7345">
        <w:rPr>
          <w:rFonts w:ascii="Arial" w:hAnsi="Arial" w:cs="Arial"/>
        </w:rPr>
        <w:t xml:space="preserve">W § </w:t>
      </w:r>
      <w:r w:rsidR="00E616A9" w:rsidRPr="00FD7345">
        <w:rPr>
          <w:rFonts w:ascii="Arial" w:hAnsi="Arial" w:cs="Arial"/>
        </w:rPr>
        <w:t>3 zapis:</w:t>
      </w:r>
    </w:p>
    <w:p w14:paraId="6763F6CE" w14:textId="327274B9" w:rsidR="00E616A9" w:rsidRPr="00FD7345" w:rsidRDefault="00E616A9" w:rsidP="00D00A14">
      <w:pPr>
        <w:pStyle w:val="Akapitzlist"/>
        <w:jc w:val="both"/>
        <w:rPr>
          <w:rFonts w:ascii="Arial" w:hAnsi="Arial" w:cs="Arial"/>
        </w:rPr>
      </w:pPr>
      <w:r w:rsidRPr="00FD7345">
        <w:rPr>
          <w:rFonts w:ascii="Arial" w:hAnsi="Arial" w:cs="Arial"/>
        </w:rPr>
        <w:t>„Sporządza się:</w:t>
      </w:r>
    </w:p>
    <w:p w14:paraId="01002B5C" w14:textId="77777777" w:rsidR="00E616A9" w:rsidRPr="00FD7345" w:rsidRDefault="00E616A9" w:rsidP="00E616A9">
      <w:pPr>
        <w:pStyle w:val="kreska2"/>
        <w:numPr>
          <w:ilvl w:val="0"/>
          <w:numId w:val="5"/>
        </w:numPr>
        <w:spacing w:before="0" w:line="240" w:lineRule="auto"/>
        <w:rPr>
          <w:rFonts w:ascii="Arial" w:hAnsi="Arial" w:cs="Arial"/>
          <w:szCs w:val="22"/>
        </w:rPr>
      </w:pPr>
      <w:r w:rsidRPr="00FD7345">
        <w:rPr>
          <w:rFonts w:ascii="Arial" w:hAnsi="Arial" w:cs="Arial"/>
          <w:szCs w:val="22"/>
        </w:rPr>
        <w:t>deklarację ZUS, VAT, PFRON oraz dokonuje się rozliczeń z urzędem skarbowym</w:t>
      </w:r>
    </w:p>
    <w:p w14:paraId="7E8C18D2" w14:textId="77777777" w:rsidR="00E616A9" w:rsidRPr="00FD7345" w:rsidRDefault="00E616A9" w:rsidP="00E616A9">
      <w:pPr>
        <w:jc w:val="both"/>
        <w:rPr>
          <w:rFonts w:ascii="Arial" w:hAnsi="Arial" w:cs="Arial"/>
        </w:rPr>
      </w:pPr>
      <w:r w:rsidRPr="00FD7345">
        <w:rPr>
          <w:rFonts w:ascii="Arial" w:hAnsi="Arial" w:cs="Arial"/>
        </w:rPr>
        <w:t xml:space="preserve">oraz </w:t>
      </w:r>
    </w:p>
    <w:p w14:paraId="5FA13D87" w14:textId="67C350D1" w:rsidR="00E616A9" w:rsidRPr="00FD7345" w:rsidRDefault="00E616A9" w:rsidP="00E616A9">
      <w:pPr>
        <w:pStyle w:val="kreska2"/>
        <w:numPr>
          <w:ilvl w:val="0"/>
          <w:numId w:val="0"/>
        </w:numPr>
        <w:ind w:left="644"/>
        <w:rPr>
          <w:rFonts w:ascii="Arial" w:hAnsi="Arial" w:cs="Arial"/>
          <w:szCs w:val="22"/>
        </w:rPr>
      </w:pPr>
      <w:r w:rsidRPr="00FD7345">
        <w:rPr>
          <w:rFonts w:ascii="Arial" w:hAnsi="Arial" w:cs="Arial"/>
          <w:szCs w:val="22"/>
        </w:rPr>
        <w:t>sprawozdania budżetowe na podstawie przepisów rozporządzenia Ministra Finansów z dnia 11 stycznia 2022 r. w sprawie sprawozdawczości budżetowej oraz rozporządzenia Ministra Finansów, Funduszy i Polityki Regionalnej z dnia 17 grudnia 2020 r. w sprawie sprawozdań jednostek sektora finansów publicznych w zakresie operacji finansowych. Odbiorcami sprawozdań są jednostki określone w rozporządzeniu, tj. zarząd jst (burmistrz), Regionalna Izba Obrachunkowa oraz dysponenci główni przekazujący dotacje, NIK.”</w:t>
      </w:r>
    </w:p>
    <w:p w14:paraId="4A502A32" w14:textId="77777777" w:rsidR="00E616A9" w:rsidRPr="00FD7345" w:rsidRDefault="00E616A9" w:rsidP="00E616A9">
      <w:pPr>
        <w:pStyle w:val="kreska2"/>
        <w:numPr>
          <w:ilvl w:val="0"/>
          <w:numId w:val="0"/>
        </w:numPr>
        <w:ind w:left="644"/>
        <w:rPr>
          <w:rFonts w:ascii="Arial" w:hAnsi="Arial" w:cs="Arial"/>
          <w:szCs w:val="22"/>
        </w:rPr>
      </w:pPr>
    </w:p>
    <w:p w14:paraId="15950753" w14:textId="23AEC28B" w:rsidR="00E616A9" w:rsidRPr="00FD7345" w:rsidRDefault="00E616A9" w:rsidP="00E616A9">
      <w:pPr>
        <w:pStyle w:val="kreska2"/>
        <w:numPr>
          <w:ilvl w:val="0"/>
          <w:numId w:val="0"/>
        </w:numPr>
        <w:ind w:left="644"/>
        <w:rPr>
          <w:rFonts w:ascii="Arial" w:hAnsi="Arial" w:cs="Arial"/>
          <w:b/>
          <w:bCs/>
          <w:szCs w:val="22"/>
          <w:u w:val="single"/>
        </w:rPr>
      </w:pPr>
      <w:r w:rsidRPr="00FD7345">
        <w:rPr>
          <w:rFonts w:ascii="Arial" w:hAnsi="Arial" w:cs="Arial"/>
          <w:b/>
          <w:bCs/>
          <w:szCs w:val="22"/>
          <w:u w:val="single"/>
        </w:rPr>
        <w:t>otrzymuje brzmienie:</w:t>
      </w:r>
    </w:p>
    <w:p w14:paraId="6C1876F3" w14:textId="5ED436AA" w:rsidR="00E616A9" w:rsidRPr="00FD7345" w:rsidRDefault="00E616A9" w:rsidP="00E616A9">
      <w:pPr>
        <w:rPr>
          <w:rFonts w:ascii="Arial" w:hAnsi="Arial" w:cs="Arial"/>
          <w:i/>
          <w:iCs/>
        </w:rPr>
      </w:pPr>
      <w:r w:rsidRPr="00FD7345">
        <w:rPr>
          <w:rFonts w:ascii="Arial" w:hAnsi="Arial" w:cs="Arial"/>
          <w:i/>
          <w:iCs/>
        </w:rPr>
        <w:t>„Sporządza się:</w:t>
      </w:r>
    </w:p>
    <w:p w14:paraId="01983899" w14:textId="77777777" w:rsidR="00E616A9" w:rsidRPr="00FD7345" w:rsidRDefault="00E616A9" w:rsidP="00E616A9">
      <w:pPr>
        <w:pStyle w:val="kreska2"/>
        <w:numPr>
          <w:ilvl w:val="0"/>
          <w:numId w:val="5"/>
        </w:numPr>
        <w:spacing w:before="0" w:line="240" w:lineRule="auto"/>
        <w:rPr>
          <w:rFonts w:ascii="Arial" w:hAnsi="Arial" w:cs="Arial"/>
          <w:i/>
          <w:iCs/>
          <w:szCs w:val="22"/>
        </w:rPr>
      </w:pPr>
      <w:r w:rsidRPr="00FD7345">
        <w:rPr>
          <w:rFonts w:ascii="Arial" w:hAnsi="Arial" w:cs="Arial"/>
          <w:i/>
          <w:iCs/>
          <w:szCs w:val="22"/>
        </w:rPr>
        <w:t>deklarację ZUS, VAT, PFRON oraz dokonuje się rozliczeń z urzędem skarbowym</w:t>
      </w:r>
    </w:p>
    <w:p w14:paraId="47C003D9" w14:textId="77777777" w:rsidR="00E616A9" w:rsidRPr="00FD7345" w:rsidRDefault="00E616A9" w:rsidP="00E616A9">
      <w:pPr>
        <w:jc w:val="both"/>
        <w:rPr>
          <w:rFonts w:ascii="Arial" w:hAnsi="Arial" w:cs="Arial"/>
          <w:i/>
          <w:iCs/>
        </w:rPr>
      </w:pPr>
      <w:r w:rsidRPr="00FD7345">
        <w:rPr>
          <w:rFonts w:ascii="Arial" w:hAnsi="Arial" w:cs="Arial"/>
          <w:i/>
          <w:iCs/>
        </w:rPr>
        <w:t xml:space="preserve">oraz </w:t>
      </w:r>
    </w:p>
    <w:p w14:paraId="2C607380" w14:textId="2013DA10" w:rsidR="00E616A9" w:rsidRDefault="00E616A9" w:rsidP="00E616A9">
      <w:pPr>
        <w:pStyle w:val="kreska2"/>
        <w:numPr>
          <w:ilvl w:val="0"/>
          <w:numId w:val="0"/>
        </w:numPr>
        <w:ind w:left="644"/>
        <w:rPr>
          <w:rFonts w:ascii="Arial" w:hAnsi="Arial" w:cs="Arial"/>
          <w:i/>
          <w:iCs/>
          <w:szCs w:val="22"/>
        </w:rPr>
      </w:pPr>
      <w:r w:rsidRPr="00FD7345">
        <w:rPr>
          <w:rFonts w:ascii="Arial" w:hAnsi="Arial" w:cs="Arial"/>
          <w:i/>
          <w:iCs/>
          <w:szCs w:val="22"/>
        </w:rPr>
        <w:t>sprawozdania budżetowe na podstawie przepisów rozporządzenia Ministra Finansów z w sprawie sprawozdawczości budżetowej oraz rozporządzenia Ministra Finansów, Funduszy i Polityki Regionalnej z dnia 17 grudnia 2020 r. w sprawie sprawozdań jednostek sektora finansów publicznych w zakresie operacji finansowych. Odbiorcami sprawozdań są jednostki określone w rozporządzeniu, tj. zarząd jst (burmistrz), Regionalna Izba Obrachunkowa oraz dysponenci główni przekazujący dotacje, NIK.”</w:t>
      </w:r>
    </w:p>
    <w:p w14:paraId="27865823" w14:textId="77777777" w:rsidR="00225EC3" w:rsidRDefault="00225EC3" w:rsidP="00E616A9">
      <w:pPr>
        <w:pStyle w:val="kreska2"/>
        <w:numPr>
          <w:ilvl w:val="0"/>
          <w:numId w:val="0"/>
        </w:numPr>
        <w:ind w:left="644"/>
        <w:rPr>
          <w:rFonts w:ascii="Arial" w:hAnsi="Arial" w:cs="Arial"/>
          <w:i/>
          <w:iCs/>
          <w:szCs w:val="22"/>
        </w:rPr>
      </w:pPr>
    </w:p>
    <w:p w14:paraId="512DB1F2" w14:textId="3442ED09" w:rsidR="00225EC3" w:rsidRPr="00FD7345" w:rsidRDefault="00225EC3" w:rsidP="00225EC3">
      <w:pPr>
        <w:pStyle w:val="kreska2"/>
        <w:numPr>
          <w:ilvl w:val="0"/>
          <w:numId w:val="2"/>
        </w:numPr>
        <w:rPr>
          <w:rFonts w:ascii="Arial" w:hAnsi="Arial" w:cs="Arial"/>
          <w:szCs w:val="22"/>
        </w:rPr>
      </w:pPr>
      <w:r w:rsidRPr="00FD7345">
        <w:rPr>
          <w:rFonts w:ascii="Arial" w:hAnsi="Arial" w:cs="Arial"/>
          <w:szCs w:val="22"/>
        </w:rPr>
        <w:t xml:space="preserve">W § 3 pkt </w:t>
      </w:r>
      <w:r>
        <w:rPr>
          <w:rFonts w:ascii="Arial" w:hAnsi="Arial" w:cs="Arial"/>
          <w:szCs w:val="22"/>
        </w:rPr>
        <w:t xml:space="preserve">B </w:t>
      </w:r>
      <w:r w:rsidRPr="00225EC3">
        <w:rPr>
          <w:rFonts w:ascii="Arial" w:hAnsi="Arial" w:cs="Arial"/>
          <w:b/>
          <w:bCs/>
          <w:szCs w:val="22"/>
          <w:u w:val="single"/>
        </w:rPr>
        <w:t>otrzymuje brzmienie</w:t>
      </w:r>
      <w:r>
        <w:rPr>
          <w:rFonts w:ascii="Arial" w:hAnsi="Arial" w:cs="Arial"/>
          <w:szCs w:val="22"/>
        </w:rPr>
        <w:t>:</w:t>
      </w:r>
      <w:r w:rsidRPr="00FD7345">
        <w:rPr>
          <w:rFonts w:ascii="Arial" w:hAnsi="Arial" w:cs="Arial"/>
          <w:szCs w:val="22"/>
        </w:rPr>
        <w:t xml:space="preserve"> </w:t>
      </w:r>
    </w:p>
    <w:p w14:paraId="660F28A8" w14:textId="54C59406" w:rsidR="00225EC3" w:rsidRPr="00225EC3" w:rsidRDefault="00225EC3" w:rsidP="00225EC3">
      <w:pPr>
        <w:pStyle w:val="Akapitzlist"/>
        <w:shd w:val="clear" w:color="auto" w:fill="FFFFFF"/>
        <w:tabs>
          <w:tab w:val="left" w:pos="283"/>
        </w:tabs>
        <w:spacing w:before="5" w:line="274" w:lineRule="exact"/>
        <w:jc w:val="both"/>
        <w:rPr>
          <w:rFonts w:ascii="Arial" w:hAnsi="Arial" w:cs="Arial"/>
          <w:i/>
          <w:iCs/>
          <w:spacing w:val="-1"/>
        </w:rPr>
      </w:pPr>
      <w:r>
        <w:rPr>
          <w:rFonts w:ascii="Arial" w:hAnsi="Arial" w:cs="Arial"/>
          <w:i/>
          <w:iCs/>
          <w:spacing w:val="4"/>
        </w:rPr>
        <w:t>„</w:t>
      </w:r>
      <w:r w:rsidRPr="00225EC3">
        <w:rPr>
          <w:rFonts w:ascii="Arial" w:hAnsi="Arial" w:cs="Arial"/>
          <w:i/>
          <w:iCs/>
          <w:spacing w:val="4"/>
        </w:rPr>
        <w:t>B. Nie</w:t>
      </w:r>
      <w:r w:rsidR="005A0242">
        <w:rPr>
          <w:rFonts w:ascii="Arial" w:hAnsi="Arial" w:cs="Arial"/>
          <w:i/>
          <w:iCs/>
          <w:spacing w:val="4"/>
        </w:rPr>
        <w:t xml:space="preserve"> </w:t>
      </w:r>
      <w:r w:rsidRPr="00225EC3">
        <w:rPr>
          <w:rFonts w:ascii="Arial" w:hAnsi="Arial" w:cs="Arial"/>
          <w:i/>
          <w:iCs/>
          <w:spacing w:val="4"/>
        </w:rPr>
        <w:t>dokonuje</w:t>
      </w:r>
      <w:r w:rsidR="005A0242">
        <w:rPr>
          <w:rFonts w:ascii="Arial" w:hAnsi="Arial" w:cs="Arial"/>
          <w:i/>
          <w:iCs/>
          <w:spacing w:val="4"/>
        </w:rPr>
        <w:t xml:space="preserve"> </w:t>
      </w:r>
      <w:r w:rsidRPr="00225EC3">
        <w:rPr>
          <w:rFonts w:ascii="Arial" w:hAnsi="Arial" w:cs="Arial"/>
          <w:i/>
          <w:iCs/>
          <w:spacing w:val="4"/>
        </w:rPr>
        <w:t>się wzajemnych</w:t>
      </w:r>
      <w:r w:rsidR="001B73A5">
        <w:rPr>
          <w:rFonts w:ascii="Arial" w:hAnsi="Arial" w:cs="Arial"/>
          <w:i/>
          <w:iCs/>
          <w:spacing w:val="4"/>
        </w:rPr>
        <w:t xml:space="preserve"> </w:t>
      </w:r>
      <w:r w:rsidRPr="00225EC3">
        <w:rPr>
          <w:rFonts w:ascii="Arial" w:hAnsi="Arial" w:cs="Arial"/>
          <w:i/>
          <w:iCs/>
          <w:spacing w:val="4"/>
        </w:rPr>
        <w:t xml:space="preserve">wyłączeń, jeżeli zgodnie z ustawą </w:t>
      </w:r>
      <w:r w:rsidRPr="00225EC3">
        <w:rPr>
          <w:rFonts w:ascii="Arial" w:hAnsi="Arial" w:cs="Arial"/>
          <w:i/>
          <w:iCs/>
          <w:spacing w:val="4"/>
        </w:rPr>
        <w:br/>
      </w:r>
      <w:r w:rsidRPr="00225EC3">
        <w:rPr>
          <w:rFonts w:ascii="Arial" w:hAnsi="Arial" w:cs="Arial"/>
          <w:i/>
          <w:iCs/>
          <w:spacing w:val="1"/>
        </w:rPr>
        <w:t xml:space="preserve">o rachunkowości, nie wywierają istotnego wpływu na przedstawienie sytuacji majątkowej </w:t>
      </w:r>
      <w:r w:rsidR="00FD5C84">
        <w:rPr>
          <w:rFonts w:ascii="Arial" w:hAnsi="Arial" w:cs="Arial"/>
          <w:i/>
          <w:iCs/>
          <w:spacing w:val="-1"/>
        </w:rPr>
        <w:t>i</w:t>
      </w:r>
      <w:r w:rsidRPr="00225EC3">
        <w:rPr>
          <w:rFonts w:ascii="Arial" w:hAnsi="Arial" w:cs="Arial"/>
          <w:i/>
          <w:iCs/>
          <w:spacing w:val="-1"/>
        </w:rPr>
        <w:t xml:space="preserve"> finansowej oraz wyniku finansowego.</w:t>
      </w:r>
    </w:p>
    <w:p w14:paraId="6E979CBB" w14:textId="51661C5D" w:rsidR="00225EC3" w:rsidRPr="002539A5" w:rsidRDefault="00225EC3" w:rsidP="00225EC3">
      <w:pPr>
        <w:pStyle w:val="Default"/>
        <w:ind w:left="708"/>
        <w:rPr>
          <w:i/>
          <w:iCs/>
          <w:color w:val="auto"/>
          <w:sz w:val="22"/>
          <w:szCs w:val="22"/>
        </w:rPr>
      </w:pPr>
      <w:r w:rsidRPr="002539A5">
        <w:rPr>
          <w:i/>
          <w:iCs/>
          <w:color w:val="auto"/>
          <w:sz w:val="22"/>
          <w:szCs w:val="22"/>
        </w:rPr>
        <w:t>Za próg istotności dla celów sporządzania łącznego sprawozdania finansowego dla operacji wpływających na stany aktywów i pasywów przyjmuje się np. 0,1</w:t>
      </w:r>
      <w:r w:rsidR="008B06A6">
        <w:rPr>
          <w:i/>
          <w:iCs/>
          <w:color w:val="auto"/>
          <w:sz w:val="22"/>
          <w:szCs w:val="22"/>
        </w:rPr>
        <w:t>5</w:t>
      </w:r>
      <w:r w:rsidRPr="002539A5">
        <w:rPr>
          <w:i/>
          <w:iCs/>
          <w:color w:val="auto"/>
          <w:sz w:val="22"/>
          <w:szCs w:val="22"/>
        </w:rPr>
        <w:t>% sumy bilansowej łącznego bilansu jednostek budżetowych i zakładu budżetowego za rok poprzedni.</w:t>
      </w:r>
    </w:p>
    <w:p w14:paraId="49649AC2" w14:textId="77777777" w:rsidR="00225EC3" w:rsidRPr="002539A5" w:rsidRDefault="00225EC3" w:rsidP="00225EC3">
      <w:pPr>
        <w:pStyle w:val="Default"/>
        <w:ind w:left="720"/>
        <w:rPr>
          <w:i/>
          <w:iCs/>
          <w:color w:val="auto"/>
          <w:sz w:val="22"/>
          <w:szCs w:val="22"/>
        </w:rPr>
      </w:pPr>
      <w:r w:rsidRPr="002539A5">
        <w:rPr>
          <w:i/>
          <w:iCs/>
          <w:color w:val="auto"/>
          <w:sz w:val="22"/>
          <w:szCs w:val="22"/>
        </w:rPr>
        <w:t xml:space="preserve"> 0,2% łącznego wyniku netto jednostek budżetowych i zakładu budżetowego za rok poprzedni. za rok poprzedni dla operacji wpływających na wynik finansowy.</w:t>
      </w:r>
    </w:p>
    <w:p w14:paraId="3391E2D0" w14:textId="1EDE1DAB" w:rsidR="00225EC3" w:rsidRPr="002539A5" w:rsidRDefault="00225EC3" w:rsidP="00225EC3">
      <w:pPr>
        <w:pStyle w:val="Default"/>
        <w:ind w:left="720"/>
        <w:rPr>
          <w:i/>
          <w:iCs/>
          <w:color w:val="auto"/>
          <w:sz w:val="22"/>
          <w:szCs w:val="22"/>
        </w:rPr>
      </w:pPr>
      <w:r w:rsidRPr="002539A5">
        <w:rPr>
          <w:i/>
          <w:iCs/>
          <w:color w:val="auto"/>
          <w:sz w:val="22"/>
          <w:szCs w:val="22"/>
        </w:rPr>
        <w:t>0,1</w:t>
      </w:r>
      <w:r w:rsidR="008B06A6">
        <w:rPr>
          <w:i/>
          <w:iCs/>
          <w:color w:val="auto"/>
          <w:sz w:val="22"/>
          <w:szCs w:val="22"/>
        </w:rPr>
        <w:t>5</w:t>
      </w:r>
      <w:r w:rsidRPr="002539A5">
        <w:rPr>
          <w:i/>
          <w:iCs/>
          <w:color w:val="auto"/>
          <w:sz w:val="22"/>
          <w:szCs w:val="22"/>
        </w:rPr>
        <w:t>% łącznego funduszu jednostek budżetowych i zakładu budżetowego za rok poprzedni dla operacji wpływających na fundusz.</w:t>
      </w:r>
      <w:r>
        <w:rPr>
          <w:i/>
          <w:iCs/>
          <w:color w:val="auto"/>
          <w:sz w:val="22"/>
          <w:szCs w:val="22"/>
        </w:rPr>
        <w:t>”</w:t>
      </w:r>
    </w:p>
    <w:p w14:paraId="63BE8C29" w14:textId="77777777" w:rsidR="00E14B82" w:rsidRPr="00FD7345" w:rsidRDefault="00E14B82" w:rsidP="00E616A9">
      <w:pPr>
        <w:pStyle w:val="kreska2"/>
        <w:numPr>
          <w:ilvl w:val="0"/>
          <w:numId w:val="0"/>
        </w:numPr>
        <w:ind w:left="644"/>
        <w:rPr>
          <w:rFonts w:ascii="Arial" w:hAnsi="Arial" w:cs="Arial"/>
          <w:i/>
          <w:iCs/>
          <w:szCs w:val="22"/>
        </w:rPr>
      </w:pPr>
    </w:p>
    <w:p w14:paraId="0BD3E389" w14:textId="248A69CA" w:rsidR="00BD6F66" w:rsidRPr="00FD7345" w:rsidRDefault="00E14B82" w:rsidP="00E14B82">
      <w:pPr>
        <w:pStyle w:val="kreska2"/>
        <w:numPr>
          <w:ilvl w:val="0"/>
          <w:numId w:val="2"/>
        </w:numPr>
        <w:rPr>
          <w:rFonts w:ascii="Arial" w:hAnsi="Arial" w:cs="Arial"/>
          <w:szCs w:val="22"/>
        </w:rPr>
      </w:pPr>
      <w:r w:rsidRPr="00FD7345">
        <w:rPr>
          <w:rFonts w:ascii="Arial" w:hAnsi="Arial" w:cs="Arial"/>
          <w:szCs w:val="22"/>
        </w:rPr>
        <w:t xml:space="preserve">W § 3 po pkt C przed zapisem „Wynik finansowy ….” </w:t>
      </w:r>
    </w:p>
    <w:p w14:paraId="6B520FF8" w14:textId="7EDE5511" w:rsidR="00E14B82" w:rsidRPr="00FD7345" w:rsidRDefault="00E14B82" w:rsidP="00E14B82">
      <w:pPr>
        <w:pStyle w:val="kreska2"/>
        <w:numPr>
          <w:ilvl w:val="0"/>
          <w:numId w:val="0"/>
        </w:numPr>
        <w:ind w:left="720"/>
        <w:rPr>
          <w:rFonts w:ascii="Arial" w:hAnsi="Arial" w:cs="Arial"/>
          <w:b/>
          <w:bCs/>
          <w:szCs w:val="22"/>
          <w:u w:val="single"/>
        </w:rPr>
      </w:pPr>
      <w:r w:rsidRPr="00FD7345">
        <w:rPr>
          <w:rFonts w:ascii="Arial" w:hAnsi="Arial" w:cs="Arial"/>
          <w:b/>
          <w:bCs/>
          <w:szCs w:val="22"/>
          <w:u w:val="single"/>
        </w:rPr>
        <w:t>dodaje się pkt D</w:t>
      </w:r>
    </w:p>
    <w:p w14:paraId="13835DBD" w14:textId="53FCD976" w:rsidR="00AA1A87" w:rsidRDefault="00E14B82" w:rsidP="00225EC3">
      <w:pPr>
        <w:pStyle w:val="kreska2"/>
        <w:numPr>
          <w:ilvl w:val="0"/>
          <w:numId w:val="0"/>
        </w:numPr>
        <w:ind w:left="644"/>
        <w:rPr>
          <w:rFonts w:ascii="Arial" w:hAnsi="Arial" w:cs="Arial"/>
          <w:i/>
          <w:iCs/>
          <w:szCs w:val="22"/>
        </w:rPr>
      </w:pPr>
      <w:r w:rsidRPr="00930413">
        <w:rPr>
          <w:rFonts w:ascii="Arial" w:hAnsi="Arial" w:cs="Arial"/>
          <w:i/>
          <w:iCs/>
          <w:szCs w:val="22"/>
        </w:rPr>
        <w:t>„</w:t>
      </w:r>
      <w:r w:rsidR="00225EC3">
        <w:rPr>
          <w:rFonts w:ascii="Arial" w:hAnsi="Arial" w:cs="Arial"/>
          <w:i/>
          <w:iCs/>
          <w:szCs w:val="22"/>
        </w:rPr>
        <w:t>D.</w:t>
      </w:r>
      <w:r w:rsidR="00037E98">
        <w:rPr>
          <w:rFonts w:ascii="Arial" w:hAnsi="Arial" w:cs="Arial"/>
          <w:i/>
          <w:iCs/>
          <w:szCs w:val="22"/>
        </w:rPr>
        <w:t xml:space="preserve"> W urzędzie j</w:t>
      </w:r>
      <w:r w:rsidRPr="00930413">
        <w:rPr>
          <w:rFonts w:ascii="Arial" w:hAnsi="Arial" w:cs="Arial"/>
          <w:i/>
          <w:iCs/>
          <w:szCs w:val="22"/>
        </w:rPr>
        <w:t xml:space="preserve">ako próg istotności przyjmuje się </w:t>
      </w:r>
      <w:r w:rsidR="00740993">
        <w:rPr>
          <w:rFonts w:ascii="Arial" w:hAnsi="Arial" w:cs="Arial"/>
          <w:i/>
          <w:iCs/>
          <w:szCs w:val="22"/>
        </w:rPr>
        <w:t>0,</w:t>
      </w:r>
      <w:r w:rsidR="001B73A5">
        <w:rPr>
          <w:rFonts w:ascii="Arial" w:hAnsi="Arial" w:cs="Arial"/>
          <w:i/>
          <w:iCs/>
          <w:szCs w:val="22"/>
        </w:rPr>
        <w:t>5</w:t>
      </w:r>
      <w:r w:rsidR="00740993">
        <w:rPr>
          <w:rFonts w:ascii="Arial" w:hAnsi="Arial" w:cs="Arial"/>
          <w:i/>
          <w:iCs/>
          <w:szCs w:val="22"/>
        </w:rPr>
        <w:t xml:space="preserve"> </w:t>
      </w:r>
      <w:r w:rsidRPr="00930413">
        <w:rPr>
          <w:rFonts w:ascii="Arial" w:hAnsi="Arial" w:cs="Arial"/>
          <w:i/>
          <w:iCs/>
          <w:szCs w:val="22"/>
        </w:rPr>
        <w:t>% sumy bilansowej UMiG Gołańcz za rok poprzedni</w:t>
      </w:r>
      <w:r w:rsidR="00CE0499">
        <w:rPr>
          <w:rFonts w:ascii="Arial" w:hAnsi="Arial" w:cs="Arial"/>
          <w:i/>
          <w:iCs/>
          <w:szCs w:val="22"/>
        </w:rPr>
        <w:t>.</w:t>
      </w:r>
      <w:r w:rsidR="00AA1A87">
        <w:rPr>
          <w:rFonts w:ascii="Arial" w:hAnsi="Arial" w:cs="Arial"/>
          <w:i/>
          <w:iCs/>
          <w:szCs w:val="22"/>
        </w:rPr>
        <w:t xml:space="preserve"> </w:t>
      </w:r>
    </w:p>
    <w:p w14:paraId="64D8E274" w14:textId="24029E65" w:rsidR="00E14B82" w:rsidRPr="00930413" w:rsidRDefault="00E14B82" w:rsidP="00E14B82">
      <w:pPr>
        <w:pStyle w:val="kreska2"/>
        <w:numPr>
          <w:ilvl w:val="0"/>
          <w:numId w:val="0"/>
        </w:numPr>
        <w:ind w:left="644"/>
        <w:rPr>
          <w:rFonts w:ascii="Arial" w:hAnsi="Arial" w:cs="Arial"/>
          <w:i/>
          <w:iCs/>
          <w:szCs w:val="22"/>
        </w:rPr>
      </w:pPr>
      <w:r w:rsidRPr="00930413">
        <w:rPr>
          <w:rFonts w:ascii="Arial" w:hAnsi="Arial" w:cs="Arial"/>
          <w:i/>
          <w:iCs/>
          <w:szCs w:val="22"/>
        </w:rPr>
        <w:t xml:space="preserve"> Zdarzenia o wartości poniżej tego progu uznaje się za nieistotne w rozumieniu art. 4 ust. 4 ustawy o rachunkowości, gdyż nie wpływają one na rzetelne i jasne przedstawienie sytuacji majątkowej i finansowej oraz wyniku finansowego jednostki.”</w:t>
      </w:r>
    </w:p>
    <w:p w14:paraId="55D28354" w14:textId="2873DFFC" w:rsidR="002676EB" w:rsidRPr="00930413" w:rsidRDefault="002676EB" w:rsidP="002676EB">
      <w:pPr>
        <w:pStyle w:val="kreska2"/>
        <w:numPr>
          <w:ilvl w:val="0"/>
          <w:numId w:val="0"/>
        </w:numPr>
        <w:ind w:left="567" w:hanging="284"/>
        <w:rPr>
          <w:rFonts w:ascii="Arial" w:hAnsi="Arial" w:cs="Arial"/>
          <w:szCs w:val="22"/>
        </w:rPr>
      </w:pPr>
    </w:p>
    <w:p w14:paraId="2BA11339" w14:textId="368C30F4" w:rsidR="002676EB" w:rsidRPr="00FD7345" w:rsidRDefault="002676EB" w:rsidP="002676EB">
      <w:pPr>
        <w:pStyle w:val="Akapitzlist"/>
        <w:numPr>
          <w:ilvl w:val="0"/>
          <w:numId w:val="2"/>
        </w:numPr>
        <w:rPr>
          <w:rFonts w:ascii="Arial" w:hAnsi="Arial" w:cs="Arial"/>
        </w:rPr>
      </w:pPr>
      <w:r w:rsidRPr="00FD7345">
        <w:rPr>
          <w:rFonts w:ascii="Arial" w:hAnsi="Arial" w:cs="Arial"/>
        </w:rPr>
        <w:t xml:space="preserve">W § 4, III. Plan kont dla jednostki budżetowej, </w:t>
      </w:r>
      <w:r w:rsidRPr="00FD7345">
        <w:rPr>
          <w:rFonts w:ascii="Arial" w:eastAsia="Times New Roman" w:hAnsi="Arial" w:cs="Arial"/>
          <w:lang w:eastAsia="pl-PL"/>
        </w:rPr>
        <w:t xml:space="preserve">I. Wykaz Kont, </w:t>
      </w:r>
      <w:r w:rsidRPr="00FD7345">
        <w:rPr>
          <w:rFonts w:ascii="Arial" w:hAnsi="Arial" w:cs="Arial"/>
        </w:rPr>
        <w:t>1. Konta pozabilansowe</w:t>
      </w:r>
    </w:p>
    <w:p w14:paraId="50830CCC" w14:textId="1A844847" w:rsidR="002676EB" w:rsidRPr="00FD7345" w:rsidRDefault="002676EB" w:rsidP="002676EB">
      <w:pPr>
        <w:pStyle w:val="Akapitzlist"/>
        <w:rPr>
          <w:rFonts w:ascii="Arial" w:hAnsi="Arial" w:cs="Arial"/>
          <w:b/>
          <w:bCs/>
          <w:u w:val="single"/>
        </w:rPr>
      </w:pPr>
      <w:r w:rsidRPr="00FD7345">
        <w:rPr>
          <w:rFonts w:ascii="Arial" w:hAnsi="Arial" w:cs="Arial"/>
          <w:b/>
          <w:bCs/>
          <w:u w:val="single"/>
        </w:rPr>
        <w:t>dodaje się kont</w:t>
      </w:r>
      <w:r w:rsidR="00C76B8D">
        <w:rPr>
          <w:rFonts w:ascii="Arial" w:hAnsi="Arial" w:cs="Arial"/>
          <w:b/>
          <w:bCs/>
          <w:u w:val="single"/>
        </w:rPr>
        <w:t>a</w:t>
      </w:r>
    </w:p>
    <w:p w14:paraId="32D2683D" w14:textId="3216372D" w:rsidR="002676EB" w:rsidRDefault="00C76B8D" w:rsidP="002676EB">
      <w:pPr>
        <w:pStyle w:val="Akapitzlist"/>
        <w:rPr>
          <w:rFonts w:ascii="Arial" w:hAnsi="Arial" w:cs="Arial"/>
        </w:rPr>
      </w:pPr>
      <w:r>
        <w:rPr>
          <w:rFonts w:ascii="Arial" w:hAnsi="Arial" w:cs="Arial"/>
        </w:rPr>
        <w:t>012</w:t>
      </w:r>
      <w:r w:rsidR="002676EB" w:rsidRPr="00FD7345">
        <w:rPr>
          <w:rFonts w:ascii="Arial" w:hAnsi="Arial" w:cs="Arial"/>
        </w:rPr>
        <w:t xml:space="preserve"> – Grunty użytkowane wieczyście przez gminę</w:t>
      </w:r>
    </w:p>
    <w:p w14:paraId="60C7DEEA" w14:textId="194F97E9" w:rsidR="00C76B8D" w:rsidRDefault="00C76B8D" w:rsidP="00C76B8D">
      <w:pPr>
        <w:pStyle w:val="Akapitzlist"/>
        <w:rPr>
          <w:rFonts w:ascii="Arial" w:hAnsi="Arial" w:cs="Arial"/>
        </w:rPr>
      </w:pPr>
      <w:r w:rsidRPr="00C76B8D">
        <w:rPr>
          <w:rFonts w:ascii="Arial" w:hAnsi="Arial" w:cs="Arial"/>
        </w:rPr>
        <w:t>291 - Należności warunkowe</w:t>
      </w:r>
    </w:p>
    <w:p w14:paraId="6A66DD2C" w14:textId="1D8381F7" w:rsidR="00346F3F" w:rsidRPr="00FD7345" w:rsidRDefault="00346F3F" w:rsidP="005754EC">
      <w:pPr>
        <w:pStyle w:val="Default"/>
        <w:numPr>
          <w:ilvl w:val="0"/>
          <w:numId w:val="2"/>
        </w:numPr>
        <w:jc w:val="both"/>
        <w:rPr>
          <w:color w:val="auto"/>
          <w:sz w:val="22"/>
          <w:szCs w:val="22"/>
        </w:rPr>
      </w:pPr>
      <w:r w:rsidRPr="00FD7345">
        <w:rPr>
          <w:color w:val="auto"/>
          <w:sz w:val="22"/>
          <w:szCs w:val="22"/>
        </w:rPr>
        <w:t>W § 4, IV.  Opis kont</w:t>
      </w:r>
      <w:r w:rsidR="00B724B4" w:rsidRPr="00FD7345">
        <w:rPr>
          <w:color w:val="auto"/>
          <w:sz w:val="22"/>
          <w:szCs w:val="22"/>
        </w:rPr>
        <w:t>,</w:t>
      </w:r>
      <w:r w:rsidRPr="00FD7345">
        <w:rPr>
          <w:color w:val="auto"/>
          <w:sz w:val="22"/>
          <w:szCs w:val="22"/>
        </w:rPr>
        <w:t xml:space="preserve"> </w:t>
      </w:r>
      <w:r w:rsidRPr="00FD7345">
        <w:rPr>
          <w:b/>
          <w:bCs/>
          <w:i/>
          <w:iCs/>
          <w:color w:val="auto"/>
          <w:sz w:val="22"/>
          <w:szCs w:val="22"/>
          <w:u w:val="single"/>
        </w:rPr>
        <w:t>pkt 37</w:t>
      </w:r>
      <w:r w:rsidR="00F011C5">
        <w:rPr>
          <w:b/>
          <w:bCs/>
          <w:i/>
          <w:iCs/>
          <w:color w:val="auto"/>
          <w:sz w:val="22"/>
          <w:szCs w:val="22"/>
          <w:u w:val="single"/>
        </w:rPr>
        <w:t>)</w:t>
      </w:r>
      <w:r w:rsidRPr="00FD7345">
        <w:rPr>
          <w:b/>
          <w:bCs/>
          <w:i/>
          <w:iCs/>
          <w:color w:val="auto"/>
          <w:sz w:val="22"/>
          <w:szCs w:val="22"/>
          <w:u w:val="single"/>
        </w:rPr>
        <w:t xml:space="preserve"> otrzymuje brzmienie:</w:t>
      </w:r>
    </w:p>
    <w:p w14:paraId="073FC5FE" w14:textId="3DA1AFB4" w:rsidR="00346F3F" w:rsidRPr="00FD7345" w:rsidRDefault="00346F3F" w:rsidP="00346F3F">
      <w:pPr>
        <w:spacing w:after="0" w:line="240" w:lineRule="auto"/>
        <w:jc w:val="both"/>
        <w:rPr>
          <w:rFonts w:ascii="Arial" w:hAnsi="Arial" w:cs="Arial"/>
          <w:i/>
          <w:iCs/>
        </w:rPr>
      </w:pPr>
      <w:r w:rsidRPr="00FD7345">
        <w:rPr>
          <w:rFonts w:ascii="Arial" w:hAnsi="Arial" w:cs="Arial"/>
          <w:i/>
          <w:iCs/>
        </w:rPr>
        <w:t>„</w:t>
      </w:r>
      <w:r w:rsidRPr="00FD7345">
        <w:rPr>
          <w:rFonts w:ascii="Arial" w:hAnsi="Arial" w:cs="Arial"/>
          <w:b/>
          <w:bCs/>
          <w:i/>
          <w:iCs/>
        </w:rPr>
        <w:t>37)</w:t>
      </w:r>
      <w:r w:rsidRPr="00FD7345">
        <w:rPr>
          <w:rStyle w:val="tabulatory"/>
          <w:rFonts w:ascii="Arial" w:hAnsi="Arial" w:cs="Arial"/>
          <w:b/>
          <w:bCs/>
          <w:i/>
          <w:iCs/>
        </w:rPr>
        <w:t> </w:t>
      </w:r>
      <w:r w:rsidRPr="00FD7345">
        <w:rPr>
          <w:rFonts w:ascii="Arial" w:hAnsi="Arial" w:cs="Arial"/>
          <w:b/>
          <w:bCs/>
          <w:i/>
          <w:iCs/>
        </w:rPr>
        <w:t>Konto 310 - "Materiały"</w:t>
      </w:r>
    </w:p>
    <w:p w14:paraId="349B4F0E" w14:textId="77777777" w:rsidR="00346F3F" w:rsidRPr="00FD7345" w:rsidRDefault="00346F3F" w:rsidP="00346F3F">
      <w:pPr>
        <w:spacing w:after="0" w:line="240" w:lineRule="auto"/>
        <w:ind w:firstLine="480"/>
        <w:jc w:val="both"/>
        <w:rPr>
          <w:rFonts w:ascii="Arial" w:hAnsi="Arial" w:cs="Arial"/>
          <w:i/>
          <w:iCs/>
        </w:rPr>
      </w:pPr>
      <w:r w:rsidRPr="00FD7345">
        <w:rPr>
          <w:rFonts w:ascii="Arial" w:hAnsi="Arial" w:cs="Arial"/>
          <w:i/>
          <w:iCs/>
        </w:rPr>
        <w:t>Konto 310 służy do ewidencji zapasów materiałów, w tym także opakowań i odpadków, znajdujących się w magazynach własnych i obcych oraz we własnym i obcym przerobie.</w:t>
      </w:r>
    </w:p>
    <w:p w14:paraId="4534A540" w14:textId="77777777" w:rsidR="00346F3F" w:rsidRPr="00FD7345" w:rsidRDefault="00346F3F" w:rsidP="00346F3F">
      <w:pPr>
        <w:spacing w:after="0" w:line="240" w:lineRule="auto"/>
        <w:ind w:firstLine="480"/>
        <w:jc w:val="both"/>
        <w:rPr>
          <w:rFonts w:ascii="Arial" w:hAnsi="Arial" w:cs="Arial"/>
          <w:i/>
          <w:iCs/>
        </w:rPr>
      </w:pPr>
      <w:r w:rsidRPr="00FD7345">
        <w:rPr>
          <w:rFonts w:ascii="Arial" w:hAnsi="Arial" w:cs="Arial"/>
          <w:i/>
          <w:iCs/>
        </w:rPr>
        <w:t>Na stronie Wn konta 310 ujmuje się zwiększenie ilości i wartości stanu zapasu materiałów, a na stronie Ma - jego zmniejszenia.</w:t>
      </w:r>
    </w:p>
    <w:p w14:paraId="170413F1" w14:textId="77777777" w:rsidR="00346F3F" w:rsidRPr="00FD7345" w:rsidRDefault="00346F3F" w:rsidP="00346F3F">
      <w:pPr>
        <w:spacing w:after="0" w:line="240" w:lineRule="auto"/>
        <w:ind w:firstLine="480"/>
        <w:jc w:val="both"/>
        <w:rPr>
          <w:rFonts w:ascii="Arial" w:hAnsi="Arial" w:cs="Arial"/>
          <w:i/>
          <w:iCs/>
        </w:rPr>
      </w:pPr>
      <w:r w:rsidRPr="00FD7345">
        <w:rPr>
          <w:rFonts w:ascii="Arial" w:hAnsi="Arial" w:cs="Arial"/>
          <w:i/>
          <w:iCs/>
        </w:rPr>
        <w:t>Konto 310 może wykazywać saldo Wn, które wyraża stan zapasów materiałów, w cenach zakupu, nabycia lub w stałych cenach ewidencyjnych.”</w:t>
      </w:r>
    </w:p>
    <w:p w14:paraId="127DCF68" w14:textId="77777777" w:rsidR="00346F3F" w:rsidRPr="00FD7345" w:rsidRDefault="00346F3F" w:rsidP="00346F3F">
      <w:pPr>
        <w:pStyle w:val="Default"/>
        <w:ind w:left="720"/>
        <w:jc w:val="both"/>
        <w:rPr>
          <w:color w:val="auto"/>
          <w:sz w:val="22"/>
          <w:szCs w:val="22"/>
        </w:rPr>
      </w:pPr>
    </w:p>
    <w:p w14:paraId="652FDF65" w14:textId="2C98AD3D" w:rsidR="00CF63D6" w:rsidRPr="00FD7345" w:rsidRDefault="00CF63D6" w:rsidP="005754EC">
      <w:pPr>
        <w:pStyle w:val="Default"/>
        <w:numPr>
          <w:ilvl w:val="0"/>
          <w:numId w:val="2"/>
        </w:numPr>
        <w:jc w:val="both"/>
        <w:rPr>
          <w:color w:val="auto"/>
          <w:sz w:val="22"/>
          <w:szCs w:val="22"/>
        </w:rPr>
      </w:pPr>
      <w:r w:rsidRPr="00FD7345">
        <w:rPr>
          <w:color w:val="auto"/>
          <w:sz w:val="22"/>
          <w:szCs w:val="22"/>
        </w:rPr>
        <w:t>W § 4, IV.  Opis kont</w:t>
      </w:r>
      <w:r w:rsidR="00B724B4" w:rsidRPr="00FD7345">
        <w:rPr>
          <w:color w:val="auto"/>
          <w:sz w:val="22"/>
          <w:szCs w:val="22"/>
        </w:rPr>
        <w:t xml:space="preserve">, </w:t>
      </w:r>
      <w:r w:rsidRPr="00FD7345">
        <w:rPr>
          <w:b/>
          <w:bCs/>
          <w:i/>
          <w:iCs/>
          <w:color w:val="auto"/>
          <w:sz w:val="22"/>
          <w:szCs w:val="22"/>
          <w:u w:val="single"/>
        </w:rPr>
        <w:t>pkt 38</w:t>
      </w:r>
      <w:r w:rsidR="004263D5">
        <w:rPr>
          <w:b/>
          <w:bCs/>
          <w:i/>
          <w:iCs/>
          <w:color w:val="auto"/>
          <w:sz w:val="22"/>
          <w:szCs w:val="22"/>
          <w:u w:val="single"/>
        </w:rPr>
        <w:t>)</w:t>
      </w:r>
      <w:r w:rsidRPr="00FD7345">
        <w:rPr>
          <w:b/>
          <w:bCs/>
          <w:i/>
          <w:iCs/>
          <w:color w:val="auto"/>
          <w:sz w:val="22"/>
          <w:szCs w:val="22"/>
          <w:u w:val="single"/>
        </w:rPr>
        <w:t xml:space="preserve"> otrzymuje brzmienie:</w:t>
      </w:r>
    </w:p>
    <w:p w14:paraId="21F60AD0" w14:textId="37A4857C" w:rsidR="00192568" w:rsidRPr="00FD7345" w:rsidRDefault="00A3141E" w:rsidP="00192568">
      <w:pPr>
        <w:spacing w:after="0" w:line="240" w:lineRule="auto"/>
        <w:jc w:val="both"/>
        <w:rPr>
          <w:rFonts w:ascii="Arial" w:hAnsi="Arial" w:cs="Arial"/>
          <w:b/>
          <w:bCs/>
          <w:i/>
          <w:iCs/>
        </w:rPr>
      </w:pPr>
      <w:r w:rsidRPr="00FD7345">
        <w:rPr>
          <w:rFonts w:ascii="Arial" w:hAnsi="Arial" w:cs="Arial"/>
          <w:b/>
          <w:bCs/>
          <w:i/>
          <w:iCs/>
        </w:rPr>
        <w:t>„</w:t>
      </w:r>
      <w:r w:rsidR="00CF63D6" w:rsidRPr="00FD7345">
        <w:rPr>
          <w:rFonts w:ascii="Arial" w:hAnsi="Arial" w:cs="Arial"/>
          <w:b/>
          <w:bCs/>
          <w:i/>
          <w:iCs/>
        </w:rPr>
        <w:t>38)</w:t>
      </w:r>
      <w:r w:rsidR="00CF63D6" w:rsidRPr="00FD7345">
        <w:rPr>
          <w:rStyle w:val="tabulatory"/>
          <w:rFonts w:ascii="Arial" w:hAnsi="Arial" w:cs="Arial"/>
          <w:b/>
          <w:bCs/>
          <w:i/>
          <w:iCs/>
        </w:rPr>
        <w:t> </w:t>
      </w:r>
      <w:r w:rsidR="00CF63D6" w:rsidRPr="00FD7345">
        <w:rPr>
          <w:rFonts w:ascii="Arial" w:hAnsi="Arial" w:cs="Arial"/>
          <w:b/>
          <w:bCs/>
          <w:i/>
          <w:iCs/>
        </w:rPr>
        <w:t>Konto 330 - "Towary"</w:t>
      </w:r>
    </w:p>
    <w:p w14:paraId="46F95A41" w14:textId="17E16B99" w:rsidR="00192568" w:rsidRPr="00FD7345" w:rsidRDefault="00AD5D9E" w:rsidP="00B724B4">
      <w:pPr>
        <w:spacing w:after="0" w:line="240" w:lineRule="auto"/>
        <w:jc w:val="both"/>
        <w:rPr>
          <w:rFonts w:ascii="Arial" w:hAnsi="Arial" w:cs="Arial"/>
          <w:i/>
          <w:iCs/>
        </w:rPr>
      </w:pPr>
      <w:r w:rsidRPr="00FD7345">
        <w:rPr>
          <w:rFonts w:ascii="Arial" w:hAnsi="Arial" w:cs="Arial"/>
          <w:i/>
          <w:iCs/>
        </w:rPr>
        <w:t xml:space="preserve">          </w:t>
      </w:r>
      <w:r w:rsidR="00CF63D6" w:rsidRPr="00FD7345">
        <w:rPr>
          <w:rFonts w:ascii="Arial" w:hAnsi="Arial" w:cs="Arial"/>
          <w:i/>
          <w:iCs/>
        </w:rPr>
        <w:t>Konto 330 jest przeznaczone do ewidencji zapasów towarów.</w:t>
      </w:r>
    </w:p>
    <w:p w14:paraId="0B458BA1" w14:textId="77777777" w:rsidR="00CF63D6" w:rsidRPr="00FD7345" w:rsidRDefault="00CF63D6" w:rsidP="00B724B4">
      <w:pPr>
        <w:pStyle w:val="Akapitzlist"/>
        <w:spacing w:after="0" w:line="240" w:lineRule="auto"/>
        <w:jc w:val="both"/>
        <w:rPr>
          <w:rFonts w:ascii="Arial" w:hAnsi="Arial" w:cs="Arial"/>
          <w:i/>
          <w:iCs/>
        </w:rPr>
      </w:pPr>
      <w:r w:rsidRPr="00FD7345">
        <w:rPr>
          <w:rFonts w:ascii="Arial" w:hAnsi="Arial" w:cs="Arial"/>
          <w:i/>
          <w:iCs/>
        </w:rPr>
        <w:t>Ewidencją na tym koncie obejmuje się towary znajdujące się zarówno we własnych magazynach, punktach sprzedaży, punktach przerobu, jak również w magazynach obcych i przerobie obcym.</w:t>
      </w:r>
    </w:p>
    <w:p w14:paraId="060A5B0F" w14:textId="77777777" w:rsidR="00CF63D6" w:rsidRPr="00FD7345" w:rsidRDefault="00CF63D6" w:rsidP="00192568">
      <w:pPr>
        <w:pStyle w:val="Akapitzlist"/>
        <w:jc w:val="both"/>
        <w:rPr>
          <w:rFonts w:ascii="Arial" w:hAnsi="Arial" w:cs="Arial"/>
          <w:i/>
          <w:iCs/>
        </w:rPr>
      </w:pPr>
      <w:r w:rsidRPr="00FD7345">
        <w:rPr>
          <w:rFonts w:ascii="Arial" w:hAnsi="Arial" w:cs="Arial"/>
          <w:i/>
          <w:iCs/>
        </w:rPr>
        <w:t>Na stronie Wn konta 330 ujmuje się zwiększenie ilości i wartości stanu zapasów towarów, a na stronie Ma – jego zmniejszenia.</w:t>
      </w:r>
    </w:p>
    <w:p w14:paraId="5654116F" w14:textId="7AC1A8F4" w:rsidR="00CF63D6" w:rsidRPr="00FD7345" w:rsidRDefault="00CF63D6" w:rsidP="00192568">
      <w:pPr>
        <w:pStyle w:val="Akapitzlist"/>
        <w:jc w:val="both"/>
        <w:rPr>
          <w:rFonts w:ascii="Arial" w:hAnsi="Arial" w:cs="Arial"/>
          <w:i/>
          <w:iCs/>
        </w:rPr>
      </w:pPr>
      <w:r w:rsidRPr="00FD7345">
        <w:rPr>
          <w:rFonts w:ascii="Arial" w:hAnsi="Arial" w:cs="Arial"/>
          <w:i/>
          <w:iCs/>
        </w:rPr>
        <w:t>Konto 330 może wykazywać saldo Wn, które oznacza stan zapasów towarów w cenach zakupu, nabycia lub w stałych cenach ewidencyjnych.</w:t>
      </w:r>
      <w:r w:rsidR="00A3141E" w:rsidRPr="00FD7345">
        <w:rPr>
          <w:rFonts w:ascii="Arial" w:hAnsi="Arial" w:cs="Arial"/>
          <w:i/>
          <w:iCs/>
        </w:rPr>
        <w:t>”</w:t>
      </w:r>
    </w:p>
    <w:p w14:paraId="2E469787" w14:textId="77777777" w:rsidR="00CF63D6" w:rsidRPr="00FD7345" w:rsidRDefault="00CF63D6" w:rsidP="00346F3F">
      <w:pPr>
        <w:pStyle w:val="Default"/>
        <w:ind w:left="720"/>
        <w:jc w:val="both"/>
        <w:rPr>
          <w:color w:val="FF0000"/>
          <w:sz w:val="22"/>
          <w:szCs w:val="22"/>
        </w:rPr>
      </w:pPr>
    </w:p>
    <w:p w14:paraId="09981452" w14:textId="783AC949" w:rsidR="00A3141E" w:rsidRPr="00DE4A04" w:rsidRDefault="00346F3F" w:rsidP="00A3141E">
      <w:pPr>
        <w:pStyle w:val="Default"/>
        <w:numPr>
          <w:ilvl w:val="0"/>
          <w:numId w:val="2"/>
        </w:numPr>
        <w:jc w:val="both"/>
        <w:rPr>
          <w:sz w:val="22"/>
          <w:szCs w:val="22"/>
        </w:rPr>
      </w:pPr>
      <w:r w:rsidRPr="00DE4A04">
        <w:rPr>
          <w:sz w:val="22"/>
          <w:szCs w:val="22"/>
        </w:rPr>
        <w:t>W § 4, IV.  Opis kont</w:t>
      </w:r>
      <w:r w:rsidR="004C72CD" w:rsidRPr="00DE4A04">
        <w:rPr>
          <w:sz w:val="22"/>
          <w:szCs w:val="22"/>
        </w:rPr>
        <w:t>,</w:t>
      </w:r>
      <w:r w:rsidRPr="00DE4A04">
        <w:rPr>
          <w:sz w:val="22"/>
          <w:szCs w:val="22"/>
        </w:rPr>
        <w:t xml:space="preserve"> </w:t>
      </w:r>
      <w:r w:rsidRPr="00DE4A04">
        <w:rPr>
          <w:b/>
          <w:bCs/>
          <w:i/>
          <w:iCs/>
          <w:sz w:val="22"/>
          <w:szCs w:val="22"/>
          <w:u w:val="single"/>
        </w:rPr>
        <w:t>pkt 39</w:t>
      </w:r>
      <w:r w:rsidR="004263D5">
        <w:rPr>
          <w:b/>
          <w:bCs/>
          <w:i/>
          <w:iCs/>
          <w:sz w:val="22"/>
          <w:szCs w:val="22"/>
          <w:u w:val="single"/>
        </w:rPr>
        <w:t>)</w:t>
      </w:r>
      <w:r w:rsidRPr="00DE4A04">
        <w:rPr>
          <w:b/>
          <w:bCs/>
          <w:i/>
          <w:iCs/>
          <w:sz w:val="22"/>
          <w:szCs w:val="22"/>
          <w:u w:val="single"/>
        </w:rPr>
        <w:t xml:space="preserve"> otrzymuje brzmienie:</w:t>
      </w:r>
    </w:p>
    <w:p w14:paraId="27D1DA38" w14:textId="74D20206" w:rsidR="00346F3F" w:rsidRPr="00DE4A04" w:rsidRDefault="00DE4A04" w:rsidP="00346F3F">
      <w:pPr>
        <w:ind w:left="360"/>
        <w:jc w:val="both"/>
        <w:rPr>
          <w:rFonts w:ascii="Arial" w:hAnsi="Arial" w:cs="Arial"/>
          <w:i/>
          <w:iCs/>
        </w:rPr>
      </w:pPr>
      <w:r>
        <w:rPr>
          <w:rFonts w:ascii="Arial" w:hAnsi="Arial" w:cs="Arial"/>
          <w:b/>
          <w:bCs/>
          <w:i/>
          <w:iCs/>
        </w:rPr>
        <w:t>„</w:t>
      </w:r>
      <w:r w:rsidR="00346F3F" w:rsidRPr="00DE4A04">
        <w:rPr>
          <w:rFonts w:ascii="Arial" w:hAnsi="Arial" w:cs="Arial"/>
          <w:b/>
          <w:bCs/>
          <w:i/>
          <w:iCs/>
        </w:rPr>
        <w:t>39)</w:t>
      </w:r>
      <w:r w:rsidR="00346F3F" w:rsidRPr="00DE4A04">
        <w:rPr>
          <w:rStyle w:val="tabulatory"/>
          <w:rFonts w:ascii="Arial" w:hAnsi="Arial" w:cs="Arial"/>
          <w:b/>
          <w:bCs/>
          <w:i/>
          <w:iCs/>
        </w:rPr>
        <w:t> </w:t>
      </w:r>
      <w:r w:rsidR="00346F3F" w:rsidRPr="00DE4A04">
        <w:rPr>
          <w:rFonts w:ascii="Arial" w:hAnsi="Arial" w:cs="Arial"/>
          <w:b/>
          <w:bCs/>
          <w:i/>
          <w:iCs/>
        </w:rPr>
        <w:t>Zespół 4 - "Koszty według rodzajów i ich rozliczenie"</w:t>
      </w:r>
    </w:p>
    <w:p w14:paraId="38AD6BEA" w14:textId="77777777" w:rsidR="00346F3F" w:rsidRPr="00FD7345" w:rsidRDefault="00346F3F" w:rsidP="00346F3F">
      <w:pPr>
        <w:pStyle w:val="Akapitzlist"/>
        <w:shd w:val="clear" w:color="auto" w:fill="FFFFFF"/>
        <w:tabs>
          <w:tab w:val="left" w:pos="331"/>
        </w:tabs>
        <w:jc w:val="both"/>
        <w:rPr>
          <w:rFonts w:ascii="Arial" w:hAnsi="Arial" w:cs="Arial"/>
          <w:i/>
          <w:iCs/>
          <w:color w:val="FF0000"/>
          <w:spacing w:val="8"/>
        </w:rPr>
      </w:pPr>
      <w:r w:rsidRPr="00FD7345">
        <w:rPr>
          <w:rFonts w:ascii="Arial" w:hAnsi="Arial" w:cs="Arial"/>
          <w:i/>
          <w:iCs/>
        </w:rPr>
        <w:lastRenderedPageBreak/>
        <w:t>Konta zespołu 4 "Koszty według rodzajów i ich rozliczenie" służą do ewidencji kosztów w układzie rodzajowym i ich rozliczenia. Poniesione koszty ujmuje się w księgach rachunkowych w momencie ich powstania niezależnie od terminu ich zapłaty. Zmniejszenia uprzednio zarachowanych kosztów dokonuje się na podstawie dokumentów korygujących koszty (np. faktur korygujących).</w:t>
      </w:r>
      <w:r w:rsidRPr="00FD7345">
        <w:rPr>
          <w:rFonts w:ascii="Arial" w:hAnsi="Arial" w:cs="Arial"/>
          <w:i/>
          <w:iCs/>
          <w:color w:val="FF0000"/>
          <w:spacing w:val="8"/>
        </w:rPr>
        <w:t xml:space="preserve"> </w:t>
      </w:r>
    </w:p>
    <w:p w14:paraId="7011B41D" w14:textId="4723F43A" w:rsidR="00346F3F" w:rsidRDefault="00346F3F" w:rsidP="00346F3F">
      <w:pPr>
        <w:pStyle w:val="Akapitzlist"/>
        <w:shd w:val="clear" w:color="auto" w:fill="FFFFFF"/>
        <w:tabs>
          <w:tab w:val="left" w:pos="331"/>
        </w:tabs>
        <w:jc w:val="both"/>
        <w:rPr>
          <w:rFonts w:ascii="Arial" w:hAnsi="Arial" w:cs="Arial"/>
          <w:i/>
          <w:iCs/>
          <w:spacing w:val="8"/>
        </w:rPr>
      </w:pPr>
      <w:r w:rsidRPr="00FD7345">
        <w:rPr>
          <w:rFonts w:ascii="Arial" w:hAnsi="Arial" w:cs="Arial"/>
          <w:i/>
          <w:iCs/>
          <w:color w:val="00B0F0"/>
          <w:spacing w:val="8"/>
        </w:rPr>
        <w:t xml:space="preserve"> </w:t>
      </w:r>
      <w:r w:rsidRPr="00FD7345">
        <w:rPr>
          <w:rFonts w:ascii="Arial" w:hAnsi="Arial" w:cs="Arial"/>
          <w:i/>
          <w:iCs/>
          <w:spacing w:val="8"/>
        </w:rPr>
        <w:t>Do ksiąg danego miesiąca przyjmuje się koszty z faktur, rachunków, których data wystawienia dotyczy danego miesiąca, a data wpływu do jednostki nie jest późniejsza niż 3 dzień miesiąca następnego. Powyższy zapis nie ma zastosowania do końca roku budżetowego.</w:t>
      </w:r>
      <w:r w:rsidR="00DE4A04">
        <w:rPr>
          <w:rFonts w:ascii="Arial" w:hAnsi="Arial" w:cs="Arial"/>
          <w:i/>
          <w:iCs/>
          <w:spacing w:val="8"/>
        </w:rPr>
        <w:t>”</w:t>
      </w:r>
    </w:p>
    <w:p w14:paraId="4ED640A2" w14:textId="77777777" w:rsidR="00A854A8" w:rsidRDefault="00A854A8" w:rsidP="00346F3F">
      <w:pPr>
        <w:pStyle w:val="Akapitzlist"/>
        <w:shd w:val="clear" w:color="auto" w:fill="FFFFFF"/>
        <w:tabs>
          <w:tab w:val="left" w:pos="331"/>
        </w:tabs>
        <w:jc w:val="both"/>
        <w:rPr>
          <w:rFonts w:ascii="Arial" w:hAnsi="Arial" w:cs="Arial"/>
          <w:i/>
          <w:iCs/>
          <w:spacing w:val="8"/>
        </w:rPr>
      </w:pPr>
    </w:p>
    <w:p w14:paraId="4D3BF0A7" w14:textId="0248E458" w:rsidR="00A854A8" w:rsidRPr="00A854A8" w:rsidRDefault="00A854A8" w:rsidP="00A854A8">
      <w:pPr>
        <w:pStyle w:val="Akapitzlist"/>
        <w:numPr>
          <w:ilvl w:val="0"/>
          <w:numId w:val="2"/>
        </w:numPr>
        <w:shd w:val="clear" w:color="auto" w:fill="FFFFFF"/>
        <w:tabs>
          <w:tab w:val="left" w:pos="331"/>
        </w:tabs>
        <w:jc w:val="both"/>
        <w:rPr>
          <w:rFonts w:ascii="Arial" w:hAnsi="Arial" w:cs="Arial"/>
          <w:i/>
          <w:iCs/>
          <w:spacing w:val="8"/>
        </w:rPr>
      </w:pPr>
      <w:r w:rsidRPr="00DE4A04">
        <w:rPr>
          <w:rFonts w:ascii="Arial" w:hAnsi="Arial" w:cs="Arial"/>
        </w:rPr>
        <w:t>W § 4, IV.  Opis kont</w:t>
      </w:r>
      <w:r w:rsidRPr="00DE4A04">
        <w:t>,</w:t>
      </w:r>
      <w:r w:rsidRPr="00DE4A04">
        <w:rPr>
          <w:rFonts w:ascii="Arial" w:hAnsi="Arial" w:cs="Arial"/>
        </w:rPr>
        <w:t xml:space="preserve"> </w:t>
      </w:r>
      <w:r w:rsidRPr="00DE4A04">
        <w:rPr>
          <w:rFonts w:ascii="Arial" w:hAnsi="Arial" w:cs="Arial"/>
          <w:b/>
          <w:bCs/>
          <w:i/>
          <w:iCs/>
          <w:u w:val="single"/>
        </w:rPr>
        <w:t xml:space="preserve">pkt </w:t>
      </w:r>
      <w:r>
        <w:rPr>
          <w:rFonts w:ascii="Arial" w:hAnsi="Arial" w:cs="Arial"/>
          <w:b/>
          <w:bCs/>
          <w:i/>
          <w:iCs/>
          <w:u w:val="single"/>
        </w:rPr>
        <w:t>4</w:t>
      </w:r>
      <w:r w:rsidRPr="00DE4A04">
        <w:rPr>
          <w:rFonts w:ascii="Arial" w:hAnsi="Arial" w:cs="Arial"/>
          <w:b/>
          <w:bCs/>
          <w:i/>
          <w:iCs/>
          <w:u w:val="single"/>
        </w:rPr>
        <w:t>9</w:t>
      </w:r>
      <w:r w:rsidR="004263D5">
        <w:rPr>
          <w:rFonts w:ascii="Arial" w:hAnsi="Arial" w:cs="Arial"/>
          <w:b/>
          <w:bCs/>
          <w:i/>
          <w:iCs/>
          <w:u w:val="single"/>
        </w:rPr>
        <w:t>)</w:t>
      </w:r>
      <w:r w:rsidRPr="00DE4A04">
        <w:rPr>
          <w:rFonts w:ascii="Arial" w:hAnsi="Arial" w:cs="Arial"/>
          <w:b/>
          <w:bCs/>
          <w:i/>
          <w:iCs/>
          <w:u w:val="single"/>
        </w:rPr>
        <w:t xml:space="preserve"> otrzymuje brzmienie</w:t>
      </w:r>
      <w:r w:rsidR="00D7408B">
        <w:rPr>
          <w:rFonts w:ascii="Arial" w:hAnsi="Arial" w:cs="Arial"/>
          <w:b/>
          <w:bCs/>
          <w:i/>
          <w:iCs/>
          <w:u w:val="single"/>
        </w:rPr>
        <w:t>:</w:t>
      </w:r>
    </w:p>
    <w:p w14:paraId="30CD352F" w14:textId="2A910F92" w:rsidR="00A854A8" w:rsidRPr="00A854A8" w:rsidRDefault="00A854A8" w:rsidP="00E304EA">
      <w:pPr>
        <w:spacing w:after="0" w:line="240" w:lineRule="auto"/>
        <w:ind w:left="360"/>
        <w:jc w:val="both"/>
        <w:rPr>
          <w:rFonts w:ascii="Arial" w:hAnsi="Arial" w:cs="Arial"/>
          <w:b/>
          <w:bCs/>
        </w:rPr>
      </w:pPr>
      <w:r>
        <w:rPr>
          <w:rFonts w:ascii="Arial" w:hAnsi="Arial" w:cs="Arial"/>
          <w:b/>
          <w:bCs/>
        </w:rPr>
        <w:t>„</w:t>
      </w:r>
      <w:r w:rsidRPr="00A854A8">
        <w:rPr>
          <w:rFonts w:ascii="Arial" w:hAnsi="Arial" w:cs="Arial"/>
          <w:b/>
          <w:bCs/>
        </w:rPr>
        <w:t>49)</w:t>
      </w:r>
      <w:r w:rsidRPr="00A854A8">
        <w:rPr>
          <w:rStyle w:val="tabulatory"/>
          <w:rFonts w:ascii="Arial" w:hAnsi="Arial" w:cs="Arial"/>
          <w:b/>
          <w:bCs/>
        </w:rPr>
        <w:t> </w:t>
      </w:r>
      <w:r w:rsidRPr="00A854A8">
        <w:rPr>
          <w:rFonts w:ascii="Arial" w:hAnsi="Arial" w:cs="Arial"/>
          <w:b/>
          <w:bCs/>
        </w:rPr>
        <w:t>Konto 730 - „Sprzedaż towarów i wartość ich zakupu”</w:t>
      </w:r>
    </w:p>
    <w:p w14:paraId="4B7E125B" w14:textId="77777777" w:rsidR="00A854A8" w:rsidRPr="00A854A8" w:rsidRDefault="00A854A8" w:rsidP="00E304EA">
      <w:pPr>
        <w:pStyle w:val="Akapitzlist"/>
        <w:spacing w:after="0" w:line="240" w:lineRule="auto"/>
        <w:jc w:val="both"/>
        <w:rPr>
          <w:rFonts w:ascii="Arial" w:hAnsi="Arial" w:cs="Arial"/>
          <w:i/>
          <w:iCs/>
        </w:rPr>
      </w:pPr>
      <w:r w:rsidRPr="00A854A8">
        <w:rPr>
          <w:rFonts w:ascii="Arial" w:hAnsi="Arial" w:cs="Arial"/>
          <w:i/>
          <w:iCs/>
        </w:rPr>
        <w:t>Konto 730 służy do ewidencji sprzedaży towarów i wartości ich zakupu.</w:t>
      </w:r>
    </w:p>
    <w:p w14:paraId="3E93156F" w14:textId="6EA4971D" w:rsidR="00A854A8" w:rsidRPr="00A854A8" w:rsidRDefault="00A854A8" w:rsidP="00E304EA">
      <w:pPr>
        <w:pStyle w:val="Akapitzlist"/>
        <w:spacing w:after="0" w:line="240" w:lineRule="auto"/>
        <w:jc w:val="both"/>
        <w:rPr>
          <w:rFonts w:ascii="Arial" w:hAnsi="Arial" w:cs="Arial"/>
          <w:i/>
          <w:iCs/>
        </w:rPr>
      </w:pPr>
      <w:r w:rsidRPr="00A854A8">
        <w:rPr>
          <w:rFonts w:ascii="Arial" w:hAnsi="Arial" w:cs="Arial"/>
          <w:i/>
          <w:iCs/>
        </w:rPr>
        <w:t>Na stronie Wn ujmuje się wartość sprzedanych towarów w cenie zakupu (nabycia), w korespondencji z kontami 330.</w:t>
      </w:r>
    </w:p>
    <w:p w14:paraId="38530440" w14:textId="70F05E8E" w:rsidR="00A854A8" w:rsidRPr="00A854A8" w:rsidRDefault="00A854A8" w:rsidP="00E304EA">
      <w:pPr>
        <w:pStyle w:val="Akapitzlist"/>
        <w:spacing w:after="0" w:line="240" w:lineRule="auto"/>
        <w:jc w:val="both"/>
        <w:rPr>
          <w:rFonts w:ascii="Arial" w:hAnsi="Arial" w:cs="Arial"/>
          <w:i/>
          <w:iCs/>
        </w:rPr>
      </w:pPr>
      <w:r w:rsidRPr="00A854A8">
        <w:rPr>
          <w:rFonts w:ascii="Arial" w:hAnsi="Arial" w:cs="Arial"/>
          <w:i/>
          <w:iCs/>
        </w:rPr>
        <w:t>Na stronie Ma konta 730 ujmuje się przychody ze sprzedaży towarów, w korespondencji z kontami przede wszystkim zespołu 1 i 2 oraz zespołu 0 i 8 bądź 4 i 5.</w:t>
      </w:r>
      <w:r w:rsidR="00E304EA">
        <w:rPr>
          <w:rFonts w:ascii="Arial" w:hAnsi="Arial" w:cs="Arial"/>
          <w:i/>
          <w:iCs/>
        </w:rPr>
        <w:t xml:space="preserve"> </w:t>
      </w:r>
      <w:r w:rsidRPr="00A854A8">
        <w:rPr>
          <w:rFonts w:ascii="Arial" w:hAnsi="Arial" w:cs="Arial"/>
          <w:i/>
          <w:iCs/>
        </w:rPr>
        <w:t>W końcu roku obrotowego przenosi się:</w:t>
      </w:r>
    </w:p>
    <w:p w14:paraId="63D6D56D" w14:textId="77777777" w:rsidR="00A854A8" w:rsidRPr="00A854A8" w:rsidRDefault="00A854A8" w:rsidP="00A854A8">
      <w:pPr>
        <w:pStyle w:val="Akapitzlist"/>
        <w:jc w:val="both"/>
        <w:rPr>
          <w:rFonts w:ascii="Arial" w:hAnsi="Arial" w:cs="Arial"/>
          <w:i/>
          <w:iCs/>
        </w:rPr>
      </w:pPr>
      <w:r w:rsidRPr="00A854A8">
        <w:rPr>
          <w:rFonts w:ascii="Arial" w:hAnsi="Arial" w:cs="Arial"/>
          <w:i/>
          <w:iCs/>
        </w:rPr>
        <w:t>1) przychody ze sprzedaży towarów na stronę Ma konta 860 (Wn konto 730);</w:t>
      </w:r>
    </w:p>
    <w:p w14:paraId="43C6B00E" w14:textId="77777777" w:rsidR="00A854A8" w:rsidRPr="00A854A8" w:rsidRDefault="00A854A8" w:rsidP="00A854A8">
      <w:pPr>
        <w:pStyle w:val="Akapitzlist"/>
        <w:jc w:val="both"/>
        <w:rPr>
          <w:rFonts w:ascii="Arial" w:hAnsi="Arial" w:cs="Arial"/>
          <w:i/>
          <w:iCs/>
        </w:rPr>
      </w:pPr>
      <w:r w:rsidRPr="00A854A8">
        <w:rPr>
          <w:rFonts w:ascii="Arial" w:hAnsi="Arial" w:cs="Arial"/>
          <w:i/>
          <w:iCs/>
        </w:rPr>
        <w:t>2) wartość sprzedanych towarów w cenie zakupu na stronę Wn konta 860 (Ma konto 730).</w:t>
      </w:r>
    </w:p>
    <w:p w14:paraId="385CF3C9" w14:textId="4205EB3C" w:rsidR="00A854A8" w:rsidRPr="00A854A8" w:rsidRDefault="00A854A8" w:rsidP="00A854A8">
      <w:pPr>
        <w:pStyle w:val="Akapitzlist"/>
        <w:jc w:val="both"/>
        <w:rPr>
          <w:rFonts w:ascii="Arial" w:hAnsi="Arial" w:cs="Arial"/>
          <w:i/>
          <w:iCs/>
        </w:rPr>
      </w:pPr>
      <w:r w:rsidRPr="00A854A8">
        <w:rPr>
          <w:rFonts w:ascii="Arial" w:hAnsi="Arial" w:cs="Arial"/>
          <w:i/>
          <w:iCs/>
        </w:rPr>
        <w:t>Na koniec roku konto 730 nie wykazuje salda.</w:t>
      </w:r>
      <w:r>
        <w:rPr>
          <w:rFonts w:ascii="Arial" w:hAnsi="Arial" w:cs="Arial"/>
          <w:i/>
          <w:iCs/>
        </w:rPr>
        <w:t>”</w:t>
      </w:r>
    </w:p>
    <w:p w14:paraId="09B91F9B" w14:textId="77777777" w:rsidR="005754EC" w:rsidRPr="00FD7345" w:rsidRDefault="005754EC" w:rsidP="00346F3F">
      <w:pPr>
        <w:pStyle w:val="Akapitzlist"/>
        <w:shd w:val="clear" w:color="auto" w:fill="FFFFFF"/>
        <w:tabs>
          <w:tab w:val="left" w:pos="331"/>
        </w:tabs>
        <w:jc w:val="both"/>
        <w:rPr>
          <w:rFonts w:ascii="Arial" w:hAnsi="Arial" w:cs="Arial"/>
          <w:i/>
          <w:iCs/>
          <w:spacing w:val="8"/>
        </w:rPr>
      </w:pPr>
    </w:p>
    <w:p w14:paraId="757F4B3C" w14:textId="092E57BD" w:rsidR="005754EC" w:rsidRPr="00FD7345" w:rsidRDefault="005754EC" w:rsidP="005754EC">
      <w:pPr>
        <w:pStyle w:val="Akapitzlist"/>
        <w:numPr>
          <w:ilvl w:val="0"/>
          <w:numId w:val="2"/>
        </w:numPr>
        <w:rPr>
          <w:rFonts w:ascii="Arial" w:hAnsi="Arial" w:cs="Arial"/>
        </w:rPr>
      </w:pPr>
      <w:r w:rsidRPr="00FD7345">
        <w:rPr>
          <w:rFonts w:ascii="Arial" w:hAnsi="Arial" w:cs="Arial"/>
          <w:b/>
          <w:bCs/>
          <w:color w:val="000000"/>
        </w:rPr>
        <w:t xml:space="preserve"> </w:t>
      </w:r>
      <w:r w:rsidRPr="00FD7345">
        <w:rPr>
          <w:rFonts w:ascii="Arial" w:hAnsi="Arial" w:cs="Arial"/>
        </w:rPr>
        <w:t>W § 4, IV.  Opis kont, 1. Konta pozabilansowe</w:t>
      </w:r>
    </w:p>
    <w:p w14:paraId="52ACA4DF" w14:textId="1397BC84" w:rsidR="00AF2643" w:rsidRPr="00FD7345" w:rsidRDefault="00AF2643" w:rsidP="00AF2643">
      <w:pPr>
        <w:pStyle w:val="Akapitzlist"/>
        <w:rPr>
          <w:rFonts w:ascii="Arial" w:hAnsi="Arial" w:cs="Arial"/>
          <w:b/>
          <w:bCs/>
          <w:u w:val="single"/>
        </w:rPr>
      </w:pPr>
      <w:r w:rsidRPr="00FD7345">
        <w:rPr>
          <w:rFonts w:ascii="Arial" w:hAnsi="Arial" w:cs="Arial"/>
          <w:b/>
          <w:bCs/>
          <w:u w:val="single"/>
        </w:rPr>
        <w:t>dodaje się 6)</w:t>
      </w:r>
    </w:p>
    <w:p w14:paraId="4AB706E6" w14:textId="006CCFA3" w:rsidR="00AF2643" w:rsidRPr="00FD7345" w:rsidRDefault="00AF2643" w:rsidP="00C4126E">
      <w:pPr>
        <w:pStyle w:val="Akapitzlist"/>
        <w:spacing w:after="0" w:line="240" w:lineRule="auto"/>
        <w:rPr>
          <w:rFonts w:ascii="Arial" w:hAnsi="Arial" w:cs="Arial"/>
          <w:b/>
          <w:bCs/>
          <w:i/>
          <w:iCs/>
        </w:rPr>
      </w:pPr>
      <w:r w:rsidRPr="00FD7345">
        <w:rPr>
          <w:rFonts w:ascii="Arial" w:hAnsi="Arial" w:cs="Arial"/>
          <w:b/>
          <w:bCs/>
          <w:i/>
          <w:iCs/>
        </w:rPr>
        <w:t>„6)</w:t>
      </w:r>
      <w:r w:rsidR="00635048">
        <w:rPr>
          <w:rFonts w:ascii="Arial" w:hAnsi="Arial" w:cs="Arial"/>
          <w:b/>
          <w:bCs/>
          <w:i/>
          <w:iCs/>
        </w:rPr>
        <w:t xml:space="preserve"> 012</w:t>
      </w:r>
      <w:r w:rsidR="002126A2">
        <w:rPr>
          <w:rFonts w:ascii="Arial" w:hAnsi="Arial" w:cs="Arial"/>
          <w:b/>
          <w:bCs/>
          <w:i/>
          <w:iCs/>
        </w:rPr>
        <w:t xml:space="preserve"> </w:t>
      </w:r>
      <w:r w:rsidRPr="00FD7345">
        <w:rPr>
          <w:rFonts w:ascii="Arial" w:hAnsi="Arial" w:cs="Arial"/>
          <w:b/>
          <w:bCs/>
          <w:i/>
          <w:iCs/>
        </w:rPr>
        <w:t>- „Grunty użytkowane wieczyście przez gminę”</w:t>
      </w:r>
    </w:p>
    <w:p w14:paraId="2F3212F8" w14:textId="384F0688" w:rsidR="00EC0595" w:rsidRPr="00FD7345" w:rsidRDefault="00EC0595" w:rsidP="00420204">
      <w:pPr>
        <w:spacing w:after="0" w:line="240" w:lineRule="auto"/>
        <w:ind w:left="708"/>
        <w:jc w:val="both"/>
        <w:rPr>
          <w:rFonts w:ascii="Arial" w:hAnsi="Arial" w:cs="Arial"/>
          <w:strike/>
          <w:color w:val="FF0000"/>
        </w:rPr>
      </w:pPr>
      <w:r w:rsidRPr="00FD7345">
        <w:rPr>
          <w:rFonts w:ascii="Arial" w:hAnsi="Arial" w:cs="Arial"/>
        </w:rPr>
        <w:t xml:space="preserve">Konto </w:t>
      </w:r>
      <w:r w:rsidR="00D47952">
        <w:rPr>
          <w:rFonts w:ascii="Arial" w:hAnsi="Arial" w:cs="Arial"/>
        </w:rPr>
        <w:t>012</w:t>
      </w:r>
      <w:r w:rsidRPr="00FD7345">
        <w:rPr>
          <w:rFonts w:ascii="Arial" w:hAnsi="Arial" w:cs="Arial"/>
        </w:rPr>
        <w:t xml:space="preserve"> służy do ewidencji stanu oraz zwiększeń i zmniejszeń wartości gruntów użytkowanych wieczyście przez gminę.</w:t>
      </w:r>
    </w:p>
    <w:p w14:paraId="0B481E36" w14:textId="77777777" w:rsidR="00D47952" w:rsidRDefault="00EC0595" w:rsidP="00D47952">
      <w:pPr>
        <w:pStyle w:val="Akapitzlist"/>
        <w:spacing w:after="0" w:line="240" w:lineRule="auto"/>
        <w:rPr>
          <w:rFonts w:ascii="Arial" w:hAnsi="Arial" w:cs="Arial"/>
        </w:rPr>
      </w:pPr>
      <w:r w:rsidRPr="00FD7345">
        <w:rPr>
          <w:rFonts w:ascii="Arial" w:hAnsi="Arial" w:cs="Arial"/>
        </w:rPr>
        <w:t>Na stronie Wn ujmuje się zwiększenia, a na stronie Ma - zmniejszenia stanu wartości początkowej gruntów</w:t>
      </w:r>
      <w:r w:rsidR="00FE1F4E">
        <w:rPr>
          <w:rFonts w:ascii="Arial" w:hAnsi="Arial" w:cs="Arial"/>
        </w:rPr>
        <w:t>.</w:t>
      </w:r>
      <w:r w:rsidR="00D47952">
        <w:rPr>
          <w:rFonts w:ascii="Arial" w:hAnsi="Arial" w:cs="Arial"/>
        </w:rPr>
        <w:t xml:space="preserve"> </w:t>
      </w:r>
    </w:p>
    <w:p w14:paraId="4CF5E76D" w14:textId="23AFFBEF" w:rsidR="00D47952" w:rsidRDefault="00D47952" w:rsidP="00D47952">
      <w:pPr>
        <w:pStyle w:val="Akapitzlist"/>
        <w:spacing w:after="0" w:line="240" w:lineRule="auto"/>
        <w:rPr>
          <w:rFonts w:ascii="Arial" w:hAnsi="Arial" w:cs="Arial"/>
        </w:rPr>
      </w:pPr>
      <w:r>
        <w:rPr>
          <w:rFonts w:ascii="Arial" w:hAnsi="Arial" w:cs="Arial"/>
        </w:rPr>
        <w:t>Ewidencji na koncie w programie FK dokonuje się nie później niż pod data 31.12. po uzyskaniu danych od pracownik</w:t>
      </w:r>
      <w:r w:rsidR="00B448A4">
        <w:rPr>
          <w:rFonts w:ascii="Arial" w:hAnsi="Arial" w:cs="Arial"/>
        </w:rPr>
        <w:t>a</w:t>
      </w:r>
      <w:r>
        <w:rPr>
          <w:rFonts w:ascii="Arial" w:hAnsi="Arial" w:cs="Arial"/>
        </w:rPr>
        <w:t xml:space="preserve"> dokonując</w:t>
      </w:r>
      <w:r w:rsidR="00B448A4">
        <w:rPr>
          <w:rFonts w:ascii="Arial" w:hAnsi="Arial" w:cs="Arial"/>
        </w:rPr>
        <w:t>ego</w:t>
      </w:r>
      <w:r>
        <w:rPr>
          <w:rFonts w:ascii="Arial" w:hAnsi="Arial" w:cs="Arial"/>
        </w:rPr>
        <w:t xml:space="preserve"> ewidencji szczegółowej.</w:t>
      </w:r>
    </w:p>
    <w:p w14:paraId="0E15CF43" w14:textId="77777777" w:rsidR="000B23EF" w:rsidRDefault="000B23EF" w:rsidP="00D47952">
      <w:pPr>
        <w:pStyle w:val="Akapitzlist"/>
        <w:spacing w:after="0" w:line="240" w:lineRule="auto"/>
        <w:rPr>
          <w:rFonts w:ascii="Arial" w:hAnsi="Arial" w:cs="Arial"/>
        </w:rPr>
      </w:pPr>
    </w:p>
    <w:p w14:paraId="2D27E252" w14:textId="77777777" w:rsidR="000B23EF" w:rsidRPr="00635048" w:rsidRDefault="000B23EF" w:rsidP="000B23EF">
      <w:pPr>
        <w:pStyle w:val="Akapitzlist"/>
        <w:spacing w:after="0" w:line="240" w:lineRule="auto"/>
        <w:rPr>
          <w:rFonts w:ascii="Arial" w:hAnsi="Arial" w:cs="Arial"/>
        </w:rPr>
      </w:pPr>
      <w:r w:rsidRPr="00635048">
        <w:rPr>
          <w:rFonts w:ascii="Arial" w:hAnsi="Arial" w:cs="Arial"/>
        </w:rPr>
        <w:t xml:space="preserve">Ewidencję na koncie prowadzi się systemem zapisu jednostronnego </w:t>
      </w:r>
    </w:p>
    <w:p w14:paraId="6D388A8B" w14:textId="77777777" w:rsidR="000B23EF" w:rsidRDefault="000B23EF" w:rsidP="00D47952">
      <w:pPr>
        <w:pStyle w:val="Akapitzlist"/>
        <w:spacing w:after="0" w:line="240" w:lineRule="auto"/>
        <w:rPr>
          <w:rFonts w:ascii="Arial" w:hAnsi="Arial" w:cs="Arial"/>
        </w:rPr>
      </w:pPr>
    </w:p>
    <w:p w14:paraId="4EC95D70" w14:textId="7A60B66F" w:rsidR="00EC0595" w:rsidRDefault="00EC0595" w:rsidP="00B448A4">
      <w:pPr>
        <w:spacing w:after="0" w:line="240" w:lineRule="auto"/>
        <w:ind w:left="708" w:firstLine="12"/>
        <w:jc w:val="both"/>
        <w:rPr>
          <w:rFonts w:ascii="Arial" w:hAnsi="Arial" w:cs="Arial"/>
        </w:rPr>
      </w:pPr>
      <w:r w:rsidRPr="00FD7345">
        <w:rPr>
          <w:rFonts w:ascii="Arial" w:hAnsi="Arial" w:cs="Arial"/>
        </w:rPr>
        <w:t>Ewidencja szczegółowa</w:t>
      </w:r>
      <w:r w:rsidR="00FE1F4E">
        <w:rPr>
          <w:rFonts w:ascii="Arial" w:hAnsi="Arial" w:cs="Arial"/>
        </w:rPr>
        <w:t xml:space="preserve"> </w:t>
      </w:r>
      <w:r w:rsidRPr="00FD7345">
        <w:rPr>
          <w:rFonts w:ascii="Arial" w:hAnsi="Arial" w:cs="Arial"/>
        </w:rPr>
        <w:t xml:space="preserve">do konta </w:t>
      </w:r>
      <w:r w:rsidR="00D47952">
        <w:rPr>
          <w:rFonts w:ascii="Arial" w:hAnsi="Arial" w:cs="Arial"/>
        </w:rPr>
        <w:t>012</w:t>
      </w:r>
      <w:r w:rsidRPr="00FD7345">
        <w:rPr>
          <w:rFonts w:ascii="Arial" w:hAnsi="Arial" w:cs="Arial"/>
        </w:rPr>
        <w:t xml:space="preserve"> jest prowadzona na stanowisku pracownika ds. </w:t>
      </w:r>
      <w:r w:rsidR="00D47952">
        <w:rPr>
          <w:rFonts w:ascii="Arial" w:hAnsi="Arial" w:cs="Arial"/>
        </w:rPr>
        <w:t xml:space="preserve">   </w:t>
      </w:r>
      <w:r w:rsidR="00B448A4">
        <w:rPr>
          <w:rFonts w:ascii="Arial" w:hAnsi="Arial" w:cs="Arial"/>
        </w:rPr>
        <w:t xml:space="preserve"> </w:t>
      </w:r>
      <w:r w:rsidRPr="00FD7345">
        <w:rPr>
          <w:rFonts w:ascii="Arial" w:hAnsi="Arial" w:cs="Arial"/>
        </w:rPr>
        <w:t>gospodarki gruntami.</w:t>
      </w:r>
      <w:r w:rsidR="00FE1F4E">
        <w:rPr>
          <w:rFonts w:ascii="Arial" w:hAnsi="Arial" w:cs="Arial"/>
        </w:rPr>
        <w:t xml:space="preserve"> Jest to ewidencja ilościowa i wartościowa.</w:t>
      </w:r>
    </w:p>
    <w:p w14:paraId="2F16C407" w14:textId="77777777" w:rsidR="000B23EF" w:rsidRPr="00FD7345" w:rsidRDefault="000B23EF" w:rsidP="00B448A4">
      <w:pPr>
        <w:spacing w:after="0" w:line="240" w:lineRule="auto"/>
        <w:ind w:left="708" w:firstLine="12"/>
        <w:jc w:val="both"/>
        <w:rPr>
          <w:rFonts w:ascii="Arial" w:hAnsi="Arial" w:cs="Arial"/>
        </w:rPr>
      </w:pPr>
    </w:p>
    <w:p w14:paraId="019794BF" w14:textId="4BDA46FE" w:rsidR="00EC0595" w:rsidRDefault="00EC0595" w:rsidP="00C4126E">
      <w:pPr>
        <w:pStyle w:val="Akapitzlist"/>
        <w:spacing w:after="0" w:line="240" w:lineRule="auto"/>
        <w:rPr>
          <w:rFonts w:ascii="Arial" w:hAnsi="Arial" w:cs="Arial"/>
        </w:rPr>
      </w:pPr>
      <w:r w:rsidRPr="00FD7345">
        <w:rPr>
          <w:rFonts w:ascii="Arial" w:hAnsi="Arial" w:cs="Arial"/>
        </w:rPr>
        <w:t xml:space="preserve">Konto </w:t>
      </w:r>
      <w:r w:rsidR="00B448A4">
        <w:rPr>
          <w:rFonts w:ascii="Arial" w:hAnsi="Arial" w:cs="Arial"/>
        </w:rPr>
        <w:t>012</w:t>
      </w:r>
      <w:r w:rsidRPr="00FD7345">
        <w:rPr>
          <w:rFonts w:ascii="Arial" w:hAnsi="Arial" w:cs="Arial"/>
        </w:rPr>
        <w:t xml:space="preserve"> może wykazywać saldo Wn, które oznacza stan gruntów użytkowanych przez gminę.</w:t>
      </w:r>
    </w:p>
    <w:p w14:paraId="22771E9F" w14:textId="77777777" w:rsidR="00B448A4" w:rsidRPr="00635048" w:rsidRDefault="00B448A4" w:rsidP="00B448A4">
      <w:pPr>
        <w:pStyle w:val="Akapitzlist"/>
        <w:spacing w:after="0" w:line="240" w:lineRule="auto"/>
        <w:rPr>
          <w:rFonts w:ascii="Arial" w:hAnsi="Arial" w:cs="Arial"/>
        </w:rPr>
      </w:pPr>
      <w:r w:rsidRPr="00635048">
        <w:rPr>
          <w:rFonts w:ascii="Arial" w:hAnsi="Arial" w:cs="Arial"/>
        </w:rPr>
        <w:t xml:space="preserve">Ewidencję na koncie prowadzi się systemem zapisu jednostronnego </w:t>
      </w:r>
    </w:p>
    <w:p w14:paraId="622F9891" w14:textId="77777777" w:rsidR="00635048" w:rsidRDefault="00635048" w:rsidP="00C4126E">
      <w:pPr>
        <w:pStyle w:val="Akapitzlist"/>
        <w:spacing w:after="0" w:line="240" w:lineRule="auto"/>
        <w:rPr>
          <w:rFonts w:ascii="Arial" w:hAnsi="Arial" w:cs="Arial"/>
        </w:rPr>
      </w:pPr>
    </w:p>
    <w:p w14:paraId="563B9179" w14:textId="77777777" w:rsidR="00635048" w:rsidRPr="00FD7345" w:rsidRDefault="00635048" w:rsidP="00635048">
      <w:pPr>
        <w:pStyle w:val="Akapitzlist"/>
        <w:numPr>
          <w:ilvl w:val="0"/>
          <w:numId w:val="2"/>
        </w:numPr>
        <w:rPr>
          <w:rFonts w:ascii="Arial" w:hAnsi="Arial" w:cs="Arial"/>
        </w:rPr>
      </w:pPr>
      <w:r w:rsidRPr="00FD7345">
        <w:rPr>
          <w:rFonts w:ascii="Arial" w:hAnsi="Arial" w:cs="Arial"/>
        </w:rPr>
        <w:t>W § 4, IV.  Opis kont, 1. Konta pozabilansowe</w:t>
      </w:r>
    </w:p>
    <w:p w14:paraId="4648B575" w14:textId="3D441E59" w:rsidR="00635048" w:rsidRPr="00FD7345" w:rsidRDefault="00635048" w:rsidP="00635048">
      <w:pPr>
        <w:pStyle w:val="Akapitzlist"/>
        <w:rPr>
          <w:rFonts w:ascii="Arial" w:hAnsi="Arial" w:cs="Arial"/>
          <w:b/>
          <w:bCs/>
          <w:u w:val="single"/>
        </w:rPr>
      </w:pPr>
      <w:r w:rsidRPr="00FD7345">
        <w:rPr>
          <w:rFonts w:ascii="Arial" w:hAnsi="Arial" w:cs="Arial"/>
          <w:b/>
          <w:bCs/>
          <w:u w:val="single"/>
        </w:rPr>
        <w:t xml:space="preserve">dodaje się </w:t>
      </w:r>
      <w:r>
        <w:rPr>
          <w:rFonts w:ascii="Arial" w:hAnsi="Arial" w:cs="Arial"/>
          <w:b/>
          <w:bCs/>
          <w:u w:val="single"/>
        </w:rPr>
        <w:t>7</w:t>
      </w:r>
      <w:r w:rsidRPr="00FD7345">
        <w:rPr>
          <w:rFonts w:ascii="Arial" w:hAnsi="Arial" w:cs="Arial"/>
          <w:b/>
          <w:bCs/>
          <w:u w:val="single"/>
        </w:rPr>
        <w:t>)</w:t>
      </w:r>
    </w:p>
    <w:p w14:paraId="269CF30F" w14:textId="61DE96A0" w:rsidR="00635048" w:rsidRPr="00635048" w:rsidRDefault="00635048" w:rsidP="00635048">
      <w:pPr>
        <w:pStyle w:val="Akapitzlist"/>
        <w:spacing w:after="0" w:line="240" w:lineRule="auto"/>
        <w:rPr>
          <w:rFonts w:ascii="Arial" w:hAnsi="Arial" w:cs="Arial"/>
          <w:b/>
          <w:bCs/>
          <w:i/>
          <w:iCs/>
        </w:rPr>
      </w:pPr>
      <w:r w:rsidRPr="00635048">
        <w:rPr>
          <w:rFonts w:ascii="Arial" w:hAnsi="Arial" w:cs="Arial"/>
          <w:b/>
          <w:bCs/>
          <w:i/>
          <w:iCs/>
        </w:rPr>
        <w:t>„7) 291 - Należności warunkow</w:t>
      </w:r>
      <w:r w:rsidR="004429E4">
        <w:rPr>
          <w:rFonts w:ascii="Arial" w:hAnsi="Arial" w:cs="Arial"/>
          <w:b/>
          <w:bCs/>
          <w:i/>
          <w:iCs/>
        </w:rPr>
        <w:t>e</w:t>
      </w:r>
      <w:r>
        <w:rPr>
          <w:rFonts w:ascii="Arial" w:hAnsi="Arial" w:cs="Arial"/>
          <w:b/>
          <w:bCs/>
          <w:i/>
          <w:iCs/>
        </w:rPr>
        <w:t>”</w:t>
      </w:r>
    </w:p>
    <w:p w14:paraId="11CC7927" w14:textId="4953AA62" w:rsidR="00635048" w:rsidRPr="00635048" w:rsidRDefault="00635048" w:rsidP="00635048">
      <w:pPr>
        <w:spacing w:after="0" w:line="240" w:lineRule="auto"/>
        <w:ind w:left="708"/>
        <w:rPr>
          <w:rFonts w:ascii="Arial" w:hAnsi="Arial" w:cs="Arial"/>
        </w:rPr>
      </w:pPr>
      <w:r w:rsidRPr="00635048">
        <w:rPr>
          <w:rFonts w:ascii="Arial" w:hAnsi="Arial" w:cs="Arial"/>
        </w:rPr>
        <w:t>Konto 291 służy do pozabilansowej ewidencji należności warunkowych</w:t>
      </w:r>
      <w:r w:rsidR="000B23EF">
        <w:rPr>
          <w:rFonts w:ascii="Arial" w:hAnsi="Arial" w:cs="Arial"/>
        </w:rPr>
        <w:t>, tj.</w:t>
      </w:r>
      <w:r w:rsidRPr="00635048">
        <w:rPr>
          <w:rFonts w:ascii="Arial" w:hAnsi="Arial" w:cs="Arial"/>
        </w:rPr>
        <w:t xml:space="preserve"> otrzymanych przez jednostkę </w:t>
      </w:r>
      <w:r>
        <w:rPr>
          <w:rFonts w:ascii="Arial" w:hAnsi="Arial" w:cs="Arial"/>
        </w:rPr>
        <w:t>poręczeń i gwarancji</w:t>
      </w:r>
      <w:r w:rsidR="000B23EF">
        <w:rPr>
          <w:rFonts w:ascii="Arial" w:hAnsi="Arial" w:cs="Arial"/>
        </w:rPr>
        <w:t xml:space="preserve"> oraz</w:t>
      </w:r>
      <w:r w:rsidR="004429E4">
        <w:rPr>
          <w:rFonts w:ascii="Arial" w:hAnsi="Arial" w:cs="Arial"/>
        </w:rPr>
        <w:t xml:space="preserve"> do ewidencji </w:t>
      </w:r>
      <w:r w:rsidR="004429E4" w:rsidRPr="004429E4">
        <w:rPr>
          <w:rFonts w:ascii="Arial" w:hAnsi="Arial" w:cs="Arial"/>
        </w:rPr>
        <w:t>z tytułu udzielonych bonifikat</w:t>
      </w:r>
    </w:p>
    <w:p w14:paraId="5738B088" w14:textId="285897E1" w:rsidR="00635048" w:rsidRPr="00635048" w:rsidRDefault="00635048" w:rsidP="00635048">
      <w:pPr>
        <w:pStyle w:val="Akapitzlist"/>
        <w:spacing w:after="0" w:line="240" w:lineRule="auto"/>
        <w:rPr>
          <w:rFonts w:ascii="Arial" w:hAnsi="Arial" w:cs="Arial"/>
        </w:rPr>
      </w:pPr>
      <w:r w:rsidRPr="00635048">
        <w:rPr>
          <w:rFonts w:ascii="Arial" w:hAnsi="Arial" w:cs="Arial"/>
        </w:rPr>
        <w:t xml:space="preserve">Ewidencję na koncie prowadzi się systemem zapisu jednostronnego </w:t>
      </w:r>
    </w:p>
    <w:p w14:paraId="629B4E75" w14:textId="77777777" w:rsidR="004429E4" w:rsidRPr="004429E4" w:rsidRDefault="004429E4" w:rsidP="004429E4">
      <w:pPr>
        <w:pStyle w:val="Akapitzlist"/>
        <w:spacing w:after="0" w:line="240" w:lineRule="auto"/>
        <w:rPr>
          <w:rFonts w:ascii="Arial" w:hAnsi="Arial" w:cs="Arial"/>
        </w:rPr>
      </w:pPr>
      <w:r w:rsidRPr="004429E4">
        <w:rPr>
          <w:rFonts w:ascii="Arial" w:hAnsi="Arial" w:cs="Arial"/>
        </w:rPr>
        <w:t>Po stronie Wn księguje się:</w:t>
      </w:r>
    </w:p>
    <w:p w14:paraId="432C607B" w14:textId="4843B61F" w:rsidR="004429E4" w:rsidRPr="004429E4" w:rsidRDefault="004429E4" w:rsidP="004429E4">
      <w:pPr>
        <w:pStyle w:val="Akapitzlist"/>
        <w:spacing w:after="0" w:line="240" w:lineRule="auto"/>
        <w:rPr>
          <w:rFonts w:ascii="Arial" w:hAnsi="Arial" w:cs="Arial"/>
        </w:rPr>
      </w:pPr>
      <w:r w:rsidRPr="004429E4">
        <w:rPr>
          <w:rFonts w:ascii="Arial" w:hAnsi="Arial" w:cs="Arial"/>
        </w:rPr>
        <w:t xml:space="preserve">   </w:t>
      </w:r>
      <w:r w:rsidR="00173F37">
        <w:rPr>
          <w:rFonts w:ascii="Arial" w:hAnsi="Arial" w:cs="Arial"/>
        </w:rPr>
        <w:t>-</w:t>
      </w:r>
      <w:r w:rsidRPr="004429E4">
        <w:rPr>
          <w:rFonts w:ascii="Arial" w:hAnsi="Arial" w:cs="Arial"/>
        </w:rPr>
        <w:t xml:space="preserve"> </w:t>
      </w:r>
      <w:r w:rsidR="00173F37">
        <w:rPr>
          <w:rFonts w:ascii="Arial" w:hAnsi="Arial" w:cs="Arial"/>
        </w:rPr>
        <w:t>w</w:t>
      </w:r>
      <w:r w:rsidRPr="004429E4">
        <w:rPr>
          <w:rFonts w:ascii="Arial" w:hAnsi="Arial" w:cs="Arial"/>
        </w:rPr>
        <w:t>artość otrzymanych gwarancji i poręczeń</w:t>
      </w:r>
      <w:r w:rsidR="00173F37">
        <w:rPr>
          <w:rFonts w:ascii="Arial" w:hAnsi="Arial" w:cs="Arial"/>
        </w:rPr>
        <w:t>,</w:t>
      </w:r>
    </w:p>
    <w:p w14:paraId="187E15A5" w14:textId="323CEB06" w:rsidR="004429E4" w:rsidRPr="004429E4" w:rsidRDefault="004429E4" w:rsidP="004429E4">
      <w:pPr>
        <w:pStyle w:val="Akapitzlist"/>
        <w:spacing w:after="0" w:line="240" w:lineRule="auto"/>
        <w:rPr>
          <w:rFonts w:ascii="Arial" w:hAnsi="Arial" w:cs="Arial"/>
        </w:rPr>
      </w:pPr>
      <w:r w:rsidRPr="004429E4">
        <w:rPr>
          <w:rFonts w:ascii="Arial" w:hAnsi="Arial" w:cs="Arial"/>
        </w:rPr>
        <w:lastRenderedPageBreak/>
        <w:t xml:space="preserve">   </w:t>
      </w:r>
      <w:r w:rsidR="00173F37">
        <w:rPr>
          <w:rFonts w:ascii="Arial" w:hAnsi="Arial" w:cs="Arial"/>
        </w:rPr>
        <w:t>- w</w:t>
      </w:r>
      <w:r w:rsidRPr="004429E4">
        <w:rPr>
          <w:rFonts w:ascii="Arial" w:hAnsi="Arial" w:cs="Arial"/>
        </w:rPr>
        <w:t>artość udzielonych bonifikat od ceny sprzedaży nieruchomości</w:t>
      </w:r>
      <w:r w:rsidR="00B448A4">
        <w:rPr>
          <w:rFonts w:ascii="Arial" w:hAnsi="Arial" w:cs="Arial"/>
        </w:rPr>
        <w:t>,</w:t>
      </w:r>
    </w:p>
    <w:p w14:paraId="6BB12BB6" w14:textId="77777777" w:rsidR="00A93DE9" w:rsidRDefault="004429E4" w:rsidP="004429E4">
      <w:pPr>
        <w:pStyle w:val="Akapitzlist"/>
        <w:spacing w:after="0" w:line="240" w:lineRule="auto"/>
        <w:rPr>
          <w:rFonts w:ascii="Arial" w:hAnsi="Arial" w:cs="Arial"/>
        </w:rPr>
      </w:pPr>
      <w:r w:rsidRPr="004429E4">
        <w:rPr>
          <w:rFonts w:ascii="Arial" w:hAnsi="Arial" w:cs="Arial"/>
        </w:rPr>
        <w:t xml:space="preserve">   </w:t>
      </w:r>
      <w:r w:rsidR="00A93DE9">
        <w:rPr>
          <w:rFonts w:ascii="Arial" w:hAnsi="Arial" w:cs="Arial"/>
        </w:rPr>
        <w:t>- z</w:t>
      </w:r>
      <w:r w:rsidRPr="004429E4">
        <w:rPr>
          <w:rFonts w:ascii="Arial" w:hAnsi="Arial" w:cs="Arial"/>
        </w:rPr>
        <w:t>większenia wartości zabezpieczeń (np. aneksy, waloryzacja).</w:t>
      </w:r>
    </w:p>
    <w:p w14:paraId="6136E829" w14:textId="2F649146" w:rsidR="00635048" w:rsidRPr="00635048" w:rsidRDefault="00635048" w:rsidP="004429E4">
      <w:pPr>
        <w:pStyle w:val="Akapitzlist"/>
        <w:spacing w:after="0" w:line="240" w:lineRule="auto"/>
        <w:rPr>
          <w:rFonts w:ascii="Arial" w:hAnsi="Arial" w:cs="Arial"/>
        </w:rPr>
      </w:pPr>
      <w:r w:rsidRPr="00635048">
        <w:rPr>
          <w:rFonts w:ascii="Arial" w:hAnsi="Arial" w:cs="Arial"/>
        </w:rPr>
        <w:t>Po stronie Ma księguje się:</w:t>
      </w:r>
    </w:p>
    <w:p w14:paraId="7A52C7F1" w14:textId="1B6078D9" w:rsidR="004429E4" w:rsidRPr="004429E4" w:rsidRDefault="004429E4" w:rsidP="004429E4">
      <w:pPr>
        <w:pStyle w:val="Akapitzlist"/>
        <w:spacing w:after="0" w:line="240" w:lineRule="auto"/>
        <w:rPr>
          <w:rFonts w:ascii="Arial" w:hAnsi="Arial" w:cs="Arial"/>
        </w:rPr>
      </w:pPr>
      <w:r w:rsidRPr="004429E4">
        <w:rPr>
          <w:rFonts w:ascii="Arial" w:hAnsi="Arial" w:cs="Arial"/>
        </w:rPr>
        <w:t xml:space="preserve">    </w:t>
      </w:r>
      <w:r w:rsidR="00A93DE9">
        <w:rPr>
          <w:rFonts w:ascii="Arial" w:hAnsi="Arial" w:cs="Arial"/>
        </w:rPr>
        <w:t>- w</w:t>
      </w:r>
      <w:r w:rsidRPr="004429E4">
        <w:rPr>
          <w:rFonts w:ascii="Arial" w:hAnsi="Arial" w:cs="Arial"/>
        </w:rPr>
        <w:t>artość gwarancji wygasłych (upływ terminu ważności) lub zwróconych kontrahentom</w:t>
      </w:r>
      <w:r w:rsidR="00A93DE9">
        <w:rPr>
          <w:rFonts w:ascii="Arial" w:hAnsi="Arial" w:cs="Arial"/>
        </w:rPr>
        <w:t>,</w:t>
      </w:r>
    </w:p>
    <w:p w14:paraId="54CD6AA0" w14:textId="38F426F3" w:rsidR="004429E4" w:rsidRPr="004429E4" w:rsidRDefault="004429E4" w:rsidP="004429E4">
      <w:pPr>
        <w:pStyle w:val="Akapitzlist"/>
        <w:spacing w:after="0" w:line="240" w:lineRule="auto"/>
        <w:rPr>
          <w:rFonts w:ascii="Arial" w:hAnsi="Arial" w:cs="Arial"/>
        </w:rPr>
      </w:pPr>
      <w:r w:rsidRPr="004429E4">
        <w:rPr>
          <w:rFonts w:ascii="Arial" w:hAnsi="Arial" w:cs="Arial"/>
        </w:rPr>
        <w:t xml:space="preserve">   </w:t>
      </w:r>
      <w:r w:rsidR="00A93DE9">
        <w:rPr>
          <w:rFonts w:ascii="Arial" w:hAnsi="Arial" w:cs="Arial"/>
        </w:rPr>
        <w:t xml:space="preserve"> - w</w:t>
      </w:r>
      <w:r w:rsidRPr="004429E4">
        <w:rPr>
          <w:rFonts w:ascii="Arial" w:hAnsi="Arial" w:cs="Arial"/>
        </w:rPr>
        <w:t>artość bonifikat, co do których wygasł obowiązek ich zwrotu (upływ okresu karencji).</w:t>
      </w:r>
    </w:p>
    <w:p w14:paraId="6780628D" w14:textId="4B26D586" w:rsidR="004429E4" w:rsidRPr="004429E4" w:rsidRDefault="004429E4" w:rsidP="004429E4">
      <w:pPr>
        <w:pStyle w:val="Akapitzlist"/>
        <w:spacing w:after="0" w:line="240" w:lineRule="auto"/>
        <w:rPr>
          <w:rFonts w:ascii="Arial" w:hAnsi="Arial" w:cs="Arial"/>
        </w:rPr>
      </w:pPr>
      <w:r w:rsidRPr="004429E4">
        <w:rPr>
          <w:rFonts w:ascii="Arial" w:hAnsi="Arial" w:cs="Arial"/>
        </w:rPr>
        <w:t xml:space="preserve">    </w:t>
      </w:r>
      <w:r w:rsidR="00A93DE9">
        <w:rPr>
          <w:rFonts w:ascii="Arial" w:hAnsi="Arial" w:cs="Arial"/>
        </w:rPr>
        <w:t>- p</w:t>
      </w:r>
      <w:r w:rsidRPr="004429E4">
        <w:rPr>
          <w:rFonts w:ascii="Arial" w:hAnsi="Arial" w:cs="Arial"/>
        </w:rPr>
        <w:t>rzeksięgowanie wartości gwarancji lub bonifikaty w momencie, gdy staje się ona realną, wymagalną należnością (wówczas wyksięgowuje się kwotę z konta 291 i ujmuje odpowiednią kwotę w ewidencji bilansowej na koncie rozrachunkowym, np. 221, w celu dochodzenia zapłaty).</w:t>
      </w:r>
    </w:p>
    <w:p w14:paraId="4351A0AD" w14:textId="77777777" w:rsidR="004429E4" w:rsidRPr="004429E4" w:rsidRDefault="004429E4" w:rsidP="004429E4">
      <w:pPr>
        <w:pStyle w:val="Akapitzlist"/>
        <w:spacing w:after="0" w:line="240" w:lineRule="auto"/>
        <w:rPr>
          <w:rFonts w:ascii="Arial" w:hAnsi="Arial" w:cs="Arial"/>
        </w:rPr>
      </w:pPr>
    </w:p>
    <w:p w14:paraId="7A3C13D0" w14:textId="6DE61E01" w:rsidR="00B448A4" w:rsidRDefault="00B448A4" w:rsidP="004429E4">
      <w:pPr>
        <w:pStyle w:val="Akapitzlist"/>
        <w:spacing w:after="0" w:line="240" w:lineRule="auto"/>
        <w:rPr>
          <w:rFonts w:ascii="Arial" w:hAnsi="Arial" w:cs="Arial"/>
        </w:rPr>
      </w:pPr>
      <w:r>
        <w:rPr>
          <w:rFonts w:ascii="Arial" w:hAnsi="Arial" w:cs="Arial"/>
        </w:rPr>
        <w:t>W</w:t>
      </w:r>
      <w:r w:rsidR="00A93DE9">
        <w:rPr>
          <w:rFonts w:ascii="Arial" w:hAnsi="Arial" w:cs="Arial"/>
        </w:rPr>
        <w:t xml:space="preserve"> programie FK</w:t>
      </w:r>
      <w:r w:rsidR="00720525">
        <w:rPr>
          <w:rFonts w:ascii="Arial" w:hAnsi="Arial" w:cs="Arial"/>
        </w:rPr>
        <w:t xml:space="preserve"> prowadzi się </w:t>
      </w:r>
      <w:r>
        <w:rPr>
          <w:rFonts w:ascii="Arial" w:hAnsi="Arial" w:cs="Arial"/>
        </w:rPr>
        <w:t>ewidencję w rozbiciu na:</w:t>
      </w:r>
    </w:p>
    <w:p w14:paraId="1180CA29" w14:textId="77777777" w:rsidR="00B448A4" w:rsidRDefault="00B448A4" w:rsidP="004429E4">
      <w:pPr>
        <w:pStyle w:val="Akapitzlist"/>
        <w:spacing w:after="0" w:line="240" w:lineRule="auto"/>
        <w:rPr>
          <w:rFonts w:ascii="Arial" w:hAnsi="Arial" w:cs="Arial"/>
        </w:rPr>
      </w:pPr>
      <w:r>
        <w:rPr>
          <w:rFonts w:ascii="Arial" w:hAnsi="Arial" w:cs="Arial"/>
        </w:rPr>
        <w:t xml:space="preserve">- 291-1 - </w:t>
      </w:r>
      <w:r w:rsidR="00A93DE9">
        <w:rPr>
          <w:rFonts w:ascii="Arial" w:hAnsi="Arial" w:cs="Arial"/>
        </w:rPr>
        <w:t>otrzyman</w:t>
      </w:r>
      <w:r>
        <w:rPr>
          <w:rFonts w:ascii="Arial" w:hAnsi="Arial" w:cs="Arial"/>
        </w:rPr>
        <w:t>e</w:t>
      </w:r>
      <w:r w:rsidR="00A93DE9">
        <w:rPr>
          <w:rFonts w:ascii="Arial" w:hAnsi="Arial" w:cs="Arial"/>
        </w:rPr>
        <w:t xml:space="preserve"> gwarancj</w:t>
      </w:r>
      <w:r>
        <w:rPr>
          <w:rFonts w:ascii="Arial" w:hAnsi="Arial" w:cs="Arial"/>
        </w:rPr>
        <w:t xml:space="preserve">e, </w:t>
      </w:r>
      <w:r w:rsidR="00A93DE9">
        <w:rPr>
          <w:rFonts w:ascii="Arial" w:hAnsi="Arial" w:cs="Arial"/>
        </w:rPr>
        <w:t>poręcze</w:t>
      </w:r>
      <w:r>
        <w:rPr>
          <w:rFonts w:ascii="Arial" w:hAnsi="Arial" w:cs="Arial"/>
        </w:rPr>
        <w:t>nia</w:t>
      </w:r>
    </w:p>
    <w:p w14:paraId="4AE5A279" w14:textId="6D44FF4F" w:rsidR="00A93DE9" w:rsidRDefault="00B448A4" w:rsidP="004429E4">
      <w:pPr>
        <w:pStyle w:val="Akapitzlist"/>
        <w:spacing w:after="0" w:line="240" w:lineRule="auto"/>
        <w:rPr>
          <w:rFonts w:ascii="Arial" w:hAnsi="Arial" w:cs="Arial"/>
        </w:rPr>
      </w:pPr>
      <w:r>
        <w:rPr>
          <w:rFonts w:ascii="Arial" w:hAnsi="Arial" w:cs="Arial"/>
        </w:rPr>
        <w:t xml:space="preserve">- 291-2 - </w:t>
      </w:r>
      <w:r w:rsidR="00A93DE9">
        <w:rPr>
          <w:rFonts w:ascii="Arial" w:hAnsi="Arial" w:cs="Arial"/>
        </w:rPr>
        <w:t>bonifikat</w:t>
      </w:r>
      <w:r>
        <w:rPr>
          <w:rFonts w:ascii="Arial" w:hAnsi="Arial" w:cs="Arial"/>
        </w:rPr>
        <w:t>y</w:t>
      </w:r>
      <w:r w:rsidR="00A93DE9">
        <w:rPr>
          <w:rFonts w:ascii="Arial" w:hAnsi="Arial" w:cs="Arial"/>
        </w:rPr>
        <w:t>.</w:t>
      </w:r>
    </w:p>
    <w:p w14:paraId="5DE35212" w14:textId="577F2E83" w:rsidR="00CE0D2C" w:rsidRDefault="00CE0D2C" w:rsidP="004429E4">
      <w:pPr>
        <w:pStyle w:val="Akapitzlist"/>
        <w:spacing w:after="0" w:line="240" w:lineRule="auto"/>
        <w:rPr>
          <w:rFonts w:ascii="Arial" w:hAnsi="Arial" w:cs="Arial"/>
        </w:rPr>
      </w:pPr>
      <w:r>
        <w:rPr>
          <w:rFonts w:ascii="Arial" w:hAnsi="Arial" w:cs="Arial"/>
        </w:rPr>
        <w:t>Ewidencji na koncie w programie FK dokonuje się nie później niż pod data 31.12.</w:t>
      </w:r>
      <w:r w:rsidR="00985BD3">
        <w:rPr>
          <w:rFonts w:ascii="Arial" w:hAnsi="Arial" w:cs="Arial"/>
        </w:rPr>
        <w:t xml:space="preserve"> po uzyskaniu danych od pracowników dokonujących ewidencji szczegółowej.</w:t>
      </w:r>
    </w:p>
    <w:p w14:paraId="2F5AD749" w14:textId="77777777" w:rsidR="00720525" w:rsidRDefault="00720525" w:rsidP="004429E4">
      <w:pPr>
        <w:pStyle w:val="Akapitzlist"/>
        <w:spacing w:after="0" w:line="240" w:lineRule="auto"/>
        <w:rPr>
          <w:rFonts w:ascii="Arial" w:hAnsi="Arial" w:cs="Arial"/>
        </w:rPr>
      </w:pPr>
    </w:p>
    <w:p w14:paraId="164AD6F5" w14:textId="1FEEBA95" w:rsidR="004429E4" w:rsidRDefault="00A93DE9" w:rsidP="006C7F1F">
      <w:pPr>
        <w:pStyle w:val="Akapitzlist"/>
        <w:spacing w:after="0" w:line="240" w:lineRule="auto"/>
        <w:jc w:val="both"/>
        <w:rPr>
          <w:rFonts w:ascii="Arial" w:hAnsi="Arial" w:cs="Arial"/>
        </w:rPr>
      </w:pPr>
      <w:r>
        <w:rPr>
          <w:rFonts w:ascii="Arial" w:hAnsi="Arial" w:cs="Arial"/>
        </w:rPr>
        <w:t>Ewidencj</w:t>
      </w:r>
      <w:r w:rsidR="00227C94">
        <w:rPr>
          <w:rFonts w:ascii="Arial" w:hAnsi="Arial" w:cs="Arial"/>
        </w:rPr>
        <w:t>a</w:t>
      </w:r>
      <w:r>
        <w:rPr>
          <w:rFonts w:ascii="Arial" w:hAnsi="Arial" w:cs="Arial"/>
        </w:rPr>
        <w:t xml:space="preserve"> szczegółow</w:t>
      </w:r>
      <w:r w:rsidR="00227C94">
        <w:rPr>
          <w:rFonts w:ascii="Arial" w:hAnsi="Arial" w:cs="Arial"/>
        </w:rPr>
        <w:t>a</w:t>
      </w:r>
      <w:r>
        <w:rPr>
          <w:rFonts w:ascii="Arial" w:hAnsi="Arial" w:cs="Arial"/>
        </w:rPr>
        <w:t xml:space="preserve"> w zakresi</w:t>
      </w:r>
      <w:r>
        <w:t xml:space="preserve">e </w:t>
      </w:r>
      <w:r w:rsidRPr="00A93DE9">
        <w:rPr>
          <w:rFonts w:ascii="Arial" w:hAnsi="Arial" w:cs="Arial"/>
        </w:rPr>
        <w:t xml:space="preserve">otrzymanych gwarancji i poręczeń </w:t>
      </w:r>
      <w:r w:rsidR="006C7F1F">
        <w:rPr>
          <w:rFonts w:ascii="Arial" w:hAnsi="Arial" w:cs="Arial"/>
        </w:rPr>
        <w:t>prowadz</w:t>
      </w:r>
      <w:r w:rsidR="00227C94">
        <w:rPr>
          <w:rFonts w:ascii="Arial" w:hAnsi="Arial" w:cs="Arial"/>
        </w:rPr>
        <w:t>ona jest na stanowisku</w:t>
      </w:r>
      <w:r w:rsidR="006C7F1F">
        <w:rPr>
          <w:rFonts w:ascii="Arial" w:hAnsi="Arial" w:cs="Arial"/>
        </w:rPr>
        <w:t xml:space="preserve"> pracown</w:t>
      </w:r>
      <w:r w:rsidR="000B23EF">
        <w:rPr>
          <w:rFonts w:ascii="Arial" w:hAnsi="Arial" w:cs="Arial"/>
        </w:rPr>
        <w:t>ik</w:t>
      </w:r>
      <w:r w:rsidR="00227C94">
        <w:rPr>
          <w:rFonts w:ascii="Arial" w:hAnsi="Arial" w:cs="Arial"/>
        </w:rPr>
        <w:t>a</w:t>
      </w:r>
      <w:r w:rsidR="000B23EF">
        <w:rPr>
          <w:rFonts w:ascii="Arial" w:hAnsi="Arial" w:cs="Arial"/>
        </w:rPr>
        <w:t xml:space="preserve"> </w:t>
      </w:r>
      <w:r w:rsidR="006C7F1F">
        <w:rPr>
          <w:rFonts w:ascii="Arial" w:hAnsi="Arial" w:cs="Arial"/>
        </w:rPr>
        <w:t>merytoryczn</w:t>
      </w:r>
      <w:r w:rsidR="00227C94">
        <w:rPr>
          <w:rFonts w:ascii="Arial" w:hAnsi="Arial" w:cs="Arial"/>
        </w:rPr>
        <w:t>ego</w:t>
      </w:r>
      <w:r w:rsidR="000B23EF">
        <w:rPr>
          <w:rFonts w:ascii="Arial" w:hAnsi="Arial" w:cs="Arial"/>
        </w:rPr>
        <w:t xml:space="preserve"> ds. zarzadzania projektami.</w:t>
      </w:r>
      <w:r w:rsidR="00720525">
        <w:rPr>
          <w:rFonts w:ascii="Arial" w:hAnsi="Arial" w:cs="Arial"/>
        </w:rPr>
        <w:t xml:space="preserve"> Ewidencja ta umożliwia m.in. ustalenie stanu tytułów należności, kontrahentów.</w:t>
      </w:r>
    </w:p>
    <w:p w14:paraId="2825DB4C" w14:textId="4D171EC9" w:rsidR="000B23EF" w:rsidRPr="000B23EF" w:rsidRDefault="000B23EF" w:rsidP="006C7F1F">
      <w:pPr>
        <w:pStyle w:val="Akapitzlist"/>
        <w:spacing w:after="0" w:line="240" w:lineRule="auto"/>
        <w:jc w:val="both"/>
        <w:rPr>
          <w:rFonts w:ascii="Arial" w:hAnsi="Arial" w:cs="Arial"/>
        </w:rPr>
      </w:pPr>
      <w:r w:rsidRPr="000B23EF">
        <w:rPr>
          <w:rFonts w:ascii="Arial" w:hAnsi="Arial" w:cs="Arial"/>
        </w:rPr>
        <w:t>Ewidencj</w:t>
      </w:r>
      <w:r w:rsidR="00A565AA">
        <w:rPr>
          <w:rFonts w:ascii="Arial" w:hAnsi="Arial" w:cs="Arial"/>
        </w:rPr>
        <w:t>a</w:t>
      </w:r>
      <w:r w:rsidRPr="000B23EF">
        <w:rPr>
          <w:rFonts w:ascii="Arial" w:hAnsi="Arial" w:cs="Arial"/>
        </w:rPr>
        <w:t xml:space="preserve"> szczegółow</w:t>
      </w:r>
      <w:r w:rsidR="00A565AA">
        <w:rPr>
          <w:rFonts w:ascii="Arial" w:hAnsi="Arial" w:cs="Arial"/>
        </w:rPr>
        <w:t>a</w:t>
      </w:r>
      <w:r w:rsidRPr="000B23EF">
        <w:rPr>
          <w:rFonts w:ascii="Arial" w:hAnsi="Arial" w:cs="Arial"/>
        </w:rPr>
        <w:t xml:space="preserve"> w zakresie bonifikat </w:t>
      </w:r>
      <w:r>
        <w:rPr>
          <w:rFonts w:ascii="Arial" w:hAnsi="Arial" w:cs="Arial"/>
        </w:rPr>
        <w:t xml:space="preserve">prowadzona jest zgodnie z § 13 </w:t>
      </w:r>
      <w:r w:rsidRPr="000B23EF">
        <w:rPr>
          <w:rFonts w:ascii="Arial" w:hAnsi="Arial" w:cs="Arial"/>
        </w:rPr>
        <w:t>Zarządzeni</w:t>
      </w:r>
      <w:r>
        <w:rPr>
          <w:rFonts w:ascii="Arial" w:hAnsi="Arial" w:cs="Arial"/>
        </w:rPr>
        <w:t>a</w:t>
      </w:r>
      <w:r w:rsidRPr="000B23EF">
        <w:rPr>
          <w:rFonts w:ascii="Arial" w:hAnsi="Arial" w:cs="Arial"/>
        </w:rPr>
        <w:t xml:space="preserve"> Nr OA 0050.173.2024 Burmistrza Miasta i Gminy Gołańcz z dnia 31 grudnia 2024 r. w sprawie ustalenia zakładowego planu kont dla budżetu Gminy - organu oraz planu kont dla Urzędu Miasta i Gminy Gołańcz</w:t>
      </w:r>
      <w:r w:rsidR="00A565AA">
        <w:rPr>
          <w:rFonts w:ascii="Arial" w:hAnsi="Arial" w:cs="Arial"/>
        </w:rPr>
        <w:t>.</w:t>
      </w:r>
    </w:p>
    <w:p w14:paraId="2386C68F" w14:textId="77777777" w:rsidR="004429E4" w:rsidRPr="004429E4" w:rsidRDefault="004429E4" w:rsidP="004429E4">
      <w:pPr>
        <w:pStyle w:val="Akapitzlist"/>
        <w:spacing w:after="0" w:line="240" w:lineRule="auto"/>
        <w:rPr>
          <w:rFonts w:ascii="Arial" w:hAnsi="Arial" w:cs="Arial"/>
        </w:rPr>
      </w:pPr>
    </w:p>
    <w:p w14:paraId="64750B26" w14:textId="66992304" w:rsidR="004429E4" w:rsidRPr="004429E4" w:rsidRDefault="004429E4" w:rsidP="004429E4">
      <w:pPr>
        <w:pStyle w:val="Akapitzlist"/>
        <w:spacing w:after="0" w:line="240" w:lineRule="auto"/>
        <w:rPr>
          <w:rFonts w:ascii="Arial" w:hAnsi="Arial" w:cs="Arial"/>
        </w:rPr>
      </w:pPr>
      <w:r w:rsidRPr="004429E4">
        <w:rPr>
          <w:rFonts w:ascii="Arial" w:hAnsi="Arial" w:cs="Arial"/>
        </w:rPr>
        <w:t>Konto może wykazywać saldo Wn, oznaczające stan należności warunkowych</w:t>
      </w:r>
      <w:r w:rsidR="006C7F1F">
        <w:rPr>
          <w:rFonts w:ascii="Arial" w:hAnsi="Arial" w:cs="Arial"/>
        </w:rPr>
        <w:t>.</w:t>
      </w:r>
    </w:p>
    <w:p w14:paraId="584D6415" w14:textId="4681F901" w:rsidR="00D45B2F" w:rsidRPr="00845751" w:rsidRDefault="00D45B2F" w:rsidP="00D45B2F">
      <w:pPr>
        <w:pStyle w:val="Akapitzlist"/>
        <w:spacing w:after="0" w:line="240" w:lineRule="auto"/>
        <w:rPr>
          <w:rFonts w:ascii="Arial" w:hAnsi="Arial" w:cs="Arial"/>
          <w:b/>
          <w:bCs/>
          <w:i/>
          <w:iCs/>
          <w:color w:val="FF0000"/>
        </w:rPr>
      </w:pPr>
    </w:p>
    <w:p w14:paraId="2F762ED7" w14:textId="77777777" w:rsidR="005754EC" w:rsidRPr="00845751" w:rsidRDefault="005754EC" w:rsidP="00C4126E">
      <w:pPr>
        <w:spacing w:after="0" w:line="240" w:lineRule="auto"/>
        <w:rPr>
          <w:rFonts w:ascii="Arial" w:hAnsi="Arial" w:cs="Arial"/>
          <w:color w:val="FF0000"/>
        </w:rPr>
      </w:pPr>
    </w:p>
    <w:p w14:paraId="4AA0EE1D" w14:textId="44115A64" w:rsidR="00D9206E" w:rsidRPr="00FD7345" w:rsidRDefault="004B2454" w:rsidP="00860C7D">
      <w:pPr>
        <w:pStyle w:val="Default"/>
        <w:rPr>
          <w:sz w:val="22"/>
          <w:szCs w:val="22"/>
        </w:rPr>
      </w:pPr>
      <w:r w:rsidRPr="00FD7345">
        <w:rPr>
          <w:b/>
          <w:bCs/>
          <w:sz w:val="22"/>
          <w:szCs w:val="22"/>
        </w:rPr>
        <w:t xml:space="preserve">§ </w:t>
      </w:r>
      <w:r w:rsidR="004F0E05" w:rsidRPr="00FD7345">
        <w:rPr>
          <w:b/>
          <w:bCs/>
          <w:sz w:val="22"/>
          <w:szCs w:val="22"/>
        </w:rPr>
        <w:t>2</w:t>
      </w:r>
      <w:r w:rsidR="00860C7D" w:rsidRPr="00FD7345">
        <w:rPr>
          <w:sz w:val="22"/>
          <w:szCs w:val="22"/>
        </w:rPr>
        <w:t>.</w:t>
      </w:r>
      <w:r w:rsidR="004F0E05" w:rsidRPr="00FD7345">
        <w:rPr>
          <w:sz w:val="22"/>
          <w:szCs w:val="22"/>
        </w:rPr>
        <w:t xml:space="preserve"> </w:t>
      </w:r>
      <w:r w:rsidR="00860C7D" w:rsidRPr="00FD7345">
        <w:rPr>
          <w:sz w:val="22"/>
          <w:szCs w:val="22"/>
        </w:rPr>
        <w:t>Zarz</w:t>
      </w:r>
      <w:r w:rsidR="00FD7345" w:rsidRPr="00FD7345">
        <w:rPr>
          <w:sz w:val="22"/>
          <w:szCs w:val="22"/>
        </w:rPr>
        <w:t>ą</w:t>
      </w:r>
      <w:r w:rsidR="00860C7D" w:rsidRPr="00FD7345">
        <w:rPr>
          <w:sz w:val="22"/>
          <w:szCs w:val="22"/>
        </w:rPr>
        <w:t>dzeni</w:t>
      </w:r>
      <w:r w:rsidR="009F59D0">
        <w:rPr>
          <w:sz w:val="22"/>
          <w:szCs w:val="22"/>
        </w:rPr>
        <w:t>e</w:t>
      </w:r>
      <w:r w:rsidR="00860C7D" w:rsidRPr="00FD7345">
        <w:rPr>
          <w:sz w:val="22"/>
          <w:szCs w:val="22"/>
        </w:rPr>
        <w:t xml:space="preserve"> wchodzi w życie z dniem </w:t>
      </w:r>
      <w:r w:rsidR="009F59D0">
        <w:rPr>
          <w:sz w:val="22"/>
          <w:szCs w:val="22"/>
        </w:rPr>
        <w:t>podjęcia</w:t>
      </w:r>
      <w:r w:rsidR="00FD7345" w:rsidRPr="00FD7345">
        <w:rPr>
          <w:sz w:val="22"/>
          <w:szCs w:val="22"/>
        </w:rPr>
        <w:t xml:space="preserve">, a § 1 ust.  </w:t>
      </w:r>
      <w:r w:rsidR="00CB3675">
        <w:rPr>
          <w:sz w:val="22"/>
          <w:szCs w:val="22"/>
        </w:rPr>
        <w:t>6</w:t>
      </w:r>
      <w:r w:rsidR="00FD7345" w:rsidRPr="00FD7345">
        <w:rPr>
          <w:sz w:val="22"/>
          <w:szCs w:val="22"/>
        </w:rPr>
        <w:t xml:space="preserve"> z dniem 01.01.2026 r.</w:t>
      </w:r>
    </w:p>
    <w:p w14:paraId="1F1CE521" w14:textId="77777777" w:rsidR="00D97D89" w:rsidRDefault="00D97D89" w:rsidP="00860C7D">
      <w:pPr>
        <w:pStyle w:val="Default"/>
        <w:rPr>
          <w:sz w:val="22"/>
          <w:szCs w:val="22"/>
        </w:rPr>
      </w:pPr>
    </w:p>
    <w:p w14:paraId="294148F0" w14:textId="77777777" w:rsidR="002539A5" w:rsidRDefault="002539A5" w:rsidP="00860C7D">
      <w:pPr>
        <w:pStyle w:val="Default"/>
        <w:rPr>
          <w:color w:val="FF0000"/>
          <w:sz w:val="22"/>
          <w:szCs w:val="22"/>
        </w:rPr>
      </w:pPr>
    </w:p>
    <w:p w14:paraId="0861BCEB" w14:textId="77777777" w:rsidR="002539A5" w:rsidRDefault="002539A5" w:rsidP="00860C7D">
      <w:pPr>
        <w:pStyle w:val="Default"/>
        <w:rPr>
          <w:color w:val="FF0000"/>
          <w:sz w:val="22"/>
          <w:szCs w:val="22"/>
        </w:rPr>
      </w:pPr>
    </w:p>
    <w:p w14:paraId="191C1188" w14:textId="77777777" w:rsidR="002539A5" w:rsidRDefault="002539A5" w:rsidP="00860C7D">
      <w:pPr>
        <w:pStyle w:val="Default"/>
        <w:rPr>
          <w:color w:val="FF0000"/>
          <w:sz w:val="22"/>
          <w:szCs w:val="22"/>
        </w:rPr>
      </w:pPr>
    </w:p>
    <w:p w14:paraId="00BB0A82" w14:textId="77777777" w:rsidR="002539A5" w:rsidRDefault="002539A5" w:rsidP="00860C7D">
      <w:pPr>
        <w:pStyle w:val="Default"/>
        <w:rPr>
          <w:color w:val="FF0000"/>
          <w:sz w:val="22"/>
          <w:szCs w:val="22"/>
        </w:rPr>
      </w:pPr>
    </w:p>
    <w:p w14:paraId="59291ABF" w14:textId="77777777" w:rsidR="002539A5" w:rsidRDefault="002539A5" w:rsidP="00860C7D">
      <w:pPr>
        <w:pStyle w:val="Default"/>
        <w:rPr>
          <w:color w:val="FF0000"/>
          <w:sz w:val="22"/>
          <w:szCs w:val="22"/>
        </w:rPr>
      </w:pPr>
    </w:p>
    <w:p w14:paraId="6379D8AE" w14:textId="77777777" w:rsidR="00BF6164" w:rsidRDefault="00BF6164" w:rsidP="00860C7D">
      <w:pPr>
        <w:pStyle w:val="Default"/>
        <w:rPr>
          <w:color w:val="FF0000"/>
          <w:sz w:val="22"/>
          <w:szCs w:val="22"/>
        </w:rPr>
      </w:pPr>
    </w:p>
    <w:p w14:paraId="7B0CC125" w14:textId="77777777" w:rsidR="00BF6164" w:rsidRDefault="00BF6164" w:rsidP="00860C7D">
      <w:pPr>
        <w:pStyle w:val="Default"/>
        <w:rPr>
          <w:color w:val="FF0000"/>
          <w:sz w:val="22"/>
          <w:szCs w:val="22"/>
        </w:rPr>
      </w:pPr>
    </w:p>
    <w:p w14:paraId="35A8EED9" w14:textId="77777777" w:rsidR="00BF6164" w:rsidRDefault="00BF6164" w:rsidP="00860C7D">
      <w:pPr>
        <w:pStyle w:val="Default"/>
        <w:rPr>
          <w:color w:val="FF0000"/>
          <w:sz w:val="22"/>
          <w:szCs w:val="22"/>
        </w:rPr>
      </w:pPr>
    </w:p>
    <w:p w14:paraId="205F0E23" w14:textId="77777777" w:rsidR="00BF6164" w:rsidRDefault="00BF6164" w:rsidP="00860C7D">
      <w:pPr>
        <w:pStyle w:val="Default"/>
        <w:rPr>
          <w:color w:val="FF0000"/>
          <w:sz w:val="22"/>
          <w:szCs w:val="22"/>
        </w:rPr>
      </w:pPr>
    </w:p>
    <w:p w14:paraId="240736C7" w14:textId="77777777" w:rsidR="00BF6164" w:rsidRDefault="00BF6164" w:rsidP="00860C7D">
      <w:pPr>
        <w:pStyle w:val="Default"/>
        <w:rPr>
          <w:color w:val="FF0000"/>
          <w:sz w:val="22"/>
          <w:szCs w:val="22"/>
        </w:rPr>
      </w:pPr>
    </w:p>
    <w:p w14:paraId="3226B41E" w14:textId="77777777" w:rsidR="00BF6164" w:rsidRDefault="00BF6164" w:rsidP="00860C7D">
      <w:pPr>
        <w:pStyle w:val="Default"/>
        <w:rPr>
          <w:color w:val="FF0000"/>
          <w:sz w:val="22"/>
          <w:szCs w:val="22"/>
        </w:rPr>
      </w:pPr>
    </w:p>
    <w:p w14:paraId="3EB71F68" w14:textId="77777777" w:rsidR="00BF6164" w:rsidRDefault="00BF6164" w:rsidP="00860C7D">
      <w:pPr>
        <w:pStyle w:val="Default"/>
        <w:rPr>
          <w:color w:val="FF0000"/>
          <w:sz w:val="22"/>
          <w:szCs w:val="22"/>
        </w:rPr>
      </w:pPr>
    </w:p>
    <w:p w14:paraId="248C1F21" w14:textId="77777777" w:rsidR="00BF6164" w:rsidRDefault="00BF6164" w:rsidP="00BF6164">
      <w:pPr>
        <w:shd w:val="clear" w:color="auto" w:fill="FFFFFF"/>
        <w:tabs>
          <w:tab w:val="left" w:pos="283"/>
        </w:tabs>
        <w:spacing w:line="274" w:lineRule="exact"/>
        <w:jc w:val="both"/>
        <w:rPr>
          <w:spacing w:val="1"/>
        </w:rPr>
      </w:pPr>
    </w:p>
    <w:sectPr w:rsidR="00BF6164" w:rsidSect="00CC4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EE"/>
    <w:multiLevelType w:val="hybridMultilevel"/>
    <w:tmpl w:val="BE541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C858AC"/>
    <w:multiLevelType w:val="multilevel"/>
    <w:tmpl w:val="123E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344F"/>
    <w:multiLevelType w:val="multilevel"/>
    <w:tmpl w:val="F66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F6995"/>
    <w:multiLevelType w:val="hybridMultilevel"/>
    <w:tmpl w:val="04940F8C"/>
    <w:lvl w:ilvl="0" w:tplc="981AC6C4">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33B018A3"/>
    <w:multiLevelType w:val="multilevel"/>
    <w:tmpl w:val="C96A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50049"/>
    <w:multiLevelType w:val="hybridMultilevel"/>
    <w:tmpl w:val="1EF4C39A"/>
    <w:lvl w:ilvl="0" w:tplc="04150005">
      <w:start w:val="1"/>
      <w:numFmt w:val="bullet"/>
      <w:lvlText w:val=""/>
      <w:lvlJc w:val="left"/>
      <w:pPr>
        <w:tabs>
          <w:tab w:val="num" w:pos="644"/>
        </w:tabs>
        <w:ind w:left="644" w:hanging="360"/>
      </w:pPr>
      <w:rPr>
        <w:rFonts w:ascii="Wingdings" w:hAnsi="Wingdings"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start w:val="1"/>
      <w:numFmt w:val="bullet"/>
      <w:lvlText w:val=""/>
      <w:lvlJc w:val="left"/>
      <w:pPr>
        <w:tabs>
          <w:tab w:val="num" w:pos="2084"/>
        </w:tabs>
        <w:ind w:left="2084" w:hanging="360"/>
      </w:pPr>
      <w:rPr>
        <w:rFonts w:ascii="Wingdings" w:hAnsi="Wingdings" w:hint="default"/>
      </w:rPr>
    </w:lvl>
    <w:lvl w:ilvl="3" w:tplc="04150001">
      <w:start w:val="1"/>
      <w:numFmt w:val="bullet"/>
      <w:lvlText w:val=""/>
      <w:lvlJc w:val="left"/>
      <w:pPr>
        <w:tabs>
          <w:tab w:val="num" w:pos="2804"/>
        </w:tabs>
        <w:ind w:left="2804" w:hanging="360"/>
      </w:pPr>
      <w:rPr>
        <w:rFonts w:ascii="Symbol" w:hAnsi="Symbol" w:hint="default"/>
      </w:rPr>
    </w:lvl>
    <w:lvl w:ilvl="4" w:tplc="04150003">
      <w:start w:val="1"/>
      <w:numFmt w:val="bullet"/>
      <w:lvlText w:val="o"/>
      <w:lvlJc w:val="left"/>
      <w:pPr>
        <w:tabs>
          <w:tab w:val="num" w:pos="3524"/>
        </w:tabs>
        <w:ind w:left="3524" w:hanging="360"/>
      </w:pPr>
      <w:rPr>
        <w:rFonts w:ascii="Courier New" w:hAnsi="Courier New" w:cs="Courier New" w:hint="default"/>
      </w:rPr>
    </w:lvl>
    <w:lvl w:ilvl="5" w:tplc="04150005">
      <w:start w:val="1"/>
      <w:numFmt w:val="bullet"/>
      <w:lvlText w:val=""/>
      <w:lvlJc w:val="left"/>
      <w:pPr>
        <w:tabs>
          <w:tab w:val="num" w:pos="4244"/>
        </w:tabs>
        <w:ind w:left="4244" w:hanging="360"/>
      </w:pPr>
      <w:rPr>
        <w:rFonts w:ascii="Wingdings" w:hAnsi="Wingdings" w:hint="default"/>
      </w:rPr>
    </w:lvl>
    <w:lvl w:ilvl="6" w:tplc="04150001">
      <w:start w:val="1"/>
      <w:numFmt w:val="bullet"/>
      <w:lvlText w:val=""/>
      <w:lvlJc w:val="left"/>
      <w:pPr>
        <w:tabs>
          <w:tab w:val="num" w:pos="4964"/>
        </w:tabs>
        <w:ind w:left="4964" w:hanging="360"/>
      </w:pPr>
      <w:rPr>
        <w:rFonts w:ascii="Symbol" w:hAnsi="Symbol" w:hint="default"/>
      </w:rPr>
    </w:lvl>
    <w:lvl w:ilvl="7" w:tplc="04150003">
      <w:start w:val="1"/>
      <w:numFmt w:val="bullet"/>
      <w:lvlText w:val="o"/>
      <w:lvlJc w:val="left"/>
      <w:pPr>
        <w:tabs>
          <w:tab w:val="num" w:pos="5684"/>
        </w:tabs>
        <w:ind w:left="5684" w:hanging="360"/>
      </w:pPr>
      <w:rPr>
        <w:rFonts w:ascii="Courier New" w:hAnsi="Courier New" w:cs="Courier New" w:hint="default"/>
      </w:rPr>
    </w:lvl>
    <w:lvl w:ilvl="8" w:tplc="04150005">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50866640"/>
    <w:multiLevelType w:val="hybridMultilevel"/>
    <w:tmpl w:val="D19021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AE3F3F"/>
    <w:multiLevelType w:val="multilevel"/>
    <w:tmpl w:val="0F360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F4EC5"/>
    <w:multiLevelType w:val="singleLevel"/>
    <w:tmpl w:val="B22A63AE"/>
    <w:lvl w:ilvl="0">
      <w:start w:val="1"/>
      <w:numFmt w:val="bullet"/>
      <w:pStyle w:val="kreska2"/>
      <w:lvlText w:val="–"/>
      <w:lvlJc w:val="left"/>
      <w:pPr>
        <w:tabs>
          <w:tab w:val="num" w:pos="360"/>
        </w:tabs>
        <w:ind w:left="284" w:hanging="284"/>
      </w:pPr>
      <w:rPr>
        <w:rFonts w:ascii="Times New Roman" w:hAnsi="Times New Roman" w:cs="Times New Roman" w:hint="default"/>
      </w:rPr>
    </w:lvl>
  </w:abstractNum>
  <w:abstractNum w:abstractNumId="9" w15:restartNumberingAfterBreak="0">
    <w:nsid w:val="628A1AF9"/>
    <w:multiLevelType w:val="multilevel"/>
    <w:tmpl w:val="1154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1E601E"/>
    <w:multiLevelType w:val="hybridMultilevel"/>
    <w:tmpl w:val="2F2AB2C4"/>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637779"/>
    <w:multiLevelType w:val="hybridMultilevel"/>
    <w:tmpl w:val="2F2AB2C4"/>
    <w:lvl w:ilvl="0" w:tplc="A078AFEC">
      <w:start w:val="1"/>
      <w:numFmt w:val="decimal"/>
      <w:lvlText w:val="%1."/>
      <w:lvlJc w:val="lef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50314">
    <w:abstractNumId w:val="6"/>
  </w:num>
  <w:num w:numId="2" w16cid:durableId="1595285496">
    <w:abstractNumId w:val="11"/>
  </w:num>
  <w:num w:numId="3" w16cid:durableId="37097569">
    <w:abstractNumId w:val="0"/>
  </w:num>
  <w:num w:numId="4" w16cid:durableId="1855534435">
    <w:abstractNumId w:val="8"/>
  </w:num>
  <w:num w:numId="5" w16cid:durableId="81802819">
    <w:abstractNumId w:val="5"/>
  </w:num>
  <w:num w:numId="6" w16cid:durableId="948857020">
    <w:abstractNumId w:val="10"/>
  </w:num>
  <w:num w:numId="7" w16cid:durableId="1639726175">
    <w:abstractNumId w:val="2"/>
  </w:num>
  <w:num w:numId="8" w16cid:durableId="1300182041">
    <w:abstractNumId w:val="7"/>
  </w:num>
  <w:num w:numId="9" w16cid:durableId="2059939281">
    <w:abstractNumId w:val="4"/>
  </w:num>
  <w:num w:numId="10" w16cid:durableId="705102781">
    <w:abstractNumId w:val="9"/>
  </w:num>
  <w:num w:numId="11" w16cid:durableId="1949658982">
    <w:abstractNumId w:val="1"/>
  </w:num>
  <w:num w:numId="12" w16cid:durableId="622460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3A27"/>
    <w:rsid w:val="000079FF"/>
    <w:rsid w:val="00012E65"/>
    <w:rsid w:val="0002243B"/>
    <w:rsid w:val="000257AE"/>
    <w:rsid w:val="00037E98"/>
    <w:rsid w:val="000B23EF"/>
    <w:rsid w:val="000D0B16"/>
    <w:rsid w:val="000D77AD"/>
    <w:rsid w:val="000F4C90"/>
    <w:rsid w:val="00110CC1"/>
    <w:rsid w:val="00112872"/>
    <w:rsid w:val="00121042"/>
    <w:rsid w:val="00156455"/>
    <w:rsid w:val="00173F37"/>
    <w:rsid w:val="0018185D"/>
    <w:rsid w:val="00192568"/>
    <w:rsid w:val="001A0C24"/>
    <w:rsid w:val="001B64D7"/>
    <w:rsid w:val="001B73A5"/>
    <w:rsid w:val="001C749C"/>
    <w:rsid w:val="001D1E67"/>
    <w:rsid w:val="002126A2"/>
    <w:rsid w:val="002218C4"/>
    <w:rsid w:val="00225EC3"/>
    <w:rsid w:val="00227C94"/>
    <w:rsid w:val="002539A5"/>
    <w:rsid w:val="00267190"/>
    <w:rsid w:val="002676EB"/>
    <w:rsid w:val="00277A87"/>
    <w:rsid w:val="00280842"/>
    <w:rsid w:val="002868AD"/>
    <w:rsid w:val="00287FB8"/>
    <w:rsid w:val="002D5849"/>
    <w:rsid w:val="002D7FA6"/>
    <w:rsid w:val="002E07D4"/>
    <w:rsid w:val="00313B8C"/>
    <w:rsid w:val="00346F3F"/>
    <w:rsid w:val="003569DA"/>
    <w:rsid w:val="0037262F"/>
    <w:rsid w:val="003B0D84"/>
    <w:rsid w:val="003F72CC"/>
    <w:rsid w:val="00403A23"/>
    <w:rsid w:val="00405C23"/>
    <w:rsid w:val="00407342"/>
    <w:rsid w:val="00420204"/>
    <w:rsid w:val="004222E4"/>
    <w:rsid w:val="0042414F"/>
    <w:rsid w:val="004263D5"/>
    <w:rsid w:val="00430216"/>
    <w:rsid w:val="004429E4"/>
    <w:rsid w:val="00442C9D"/>
    <w:rsid w:val="004B2454"/>
    <w:rsid w:val="004B5E5F"/>
    <w:rsid w:val="004C72CD"/>
    <w:rsid w:val="004E4D15"/>
    <w:rsid w:val="004F0E05"/>
    <w:rsid w:val="00543A06"/>
    <w:rsid w:val="00547E92"/>
    <w:rsid w:val="00564AA1"/>
    <w:rsid w:val="005754EC"/>
    <w:rsid w:val="005A0242"/>
    <w:rsid w:val="005C6ED2"/>
    <w:rsid w:val="005E3FFF"/>
    <w:rsid w:val="00616168"/>
    <w:rsid w:val="00635048"/>
    <w:rsid w:val="00665C07"/>
    <w:rsid w:val="00693A27"/>
    <w:rsid w:val="006C7F1F"/>
    <w:rsid w:val="006D2CE5"/>
    <w:rsid w:val="006D4D01"/>
    <w:rsid w:val="006E0041"/>
    <w:rsid w:val="006F7904"/>
    <w:rsid w:val="00710735"/>
    <w:rsid w:val="00720525"/>
    <w:rsid w:val="00740993"/>
    <w:rsid w:val="007610FC"/>
    <w:rsid w:val="00785F4A"/>
    <w:rsid w:val="00796921"/>
    <w:rsid w:val="007A7FC9"/>
    <w:rsid w:val="008177E4"/>
    <w:rsid w:val="0082138E"/>
    <w:rsid w:val="00845751"/>
    <w:rsid w:val="00860C7D"/>
    <w:rsid w:val="0088507E"/>
    <w:rsid w:val="008A3E60"/>
    <w:rsid w:val="008B06A6"/>
    <w:rsid w:val="008B6C20"/>
    <w:rsid w:val="008E353F"/>
    <w:rsid w:val="008F5EB9"/>
    <w:rsid w:val="008F7460"/>
    <w:rsid w:val="00930413"/>
    <w:rsid w:val="0094304A"/>
    <w:rsid w:val="00946743"/>
    <w:rsid w:val="00963160"/>
    <w:rsid w:val="00985BD3"/>
    <w:rsid w:val="009B237A"/>
    <w:rsid w:val="009C1716"/>
    <w:rsid w:val="009D78E1"/>
    <w:rsid w:val="009F59D0"/>
    <w:rsid w:val="00A3141E"/>
    <w:rsid w:val="00A344D3"/>
    <w:rsid w:val="00A55650"/>
    <w:rsid w:val="00A565AA"/>
    <w:rsid w:val="00A854A8"/>
    <w:rsid w:val="00A93DE9"/>
    <w:rsid w:val="00AA1A87"/>
    <w:rsid w:val="00AD5D9E"/>
    <w:rsid w:val="00AF2643"/>
    <w:rsid w:val="00B377D4"/>
    <w:rsid w:val="00B448A4"/>
    <w:rsid w:val="00B657A1"/>
    <w:rsid w:val="00B724B4"/>
    <w:rsid w:val="00B73EFF"/>
    <w:rsid w:val="00B75123"/>
    <w:rsid w:val="00BA3748"/>
    <w:rsid w:val="00BD38EE"/>
    <w:rsid w:val="00BD46F6"/>
    <w:rsid w:val="00BD5341"/>
    <w:rsid w:val="00BD6F66"/>
    <w:rsid w:val="00BF6164"/>
    <w:rsid w:val="00C4126E"/>
    <w:rsid w:val="00C506A8"/>
    <w:rsid w:val="00C76B8D"/>
    <w:rsid w:val="00C91A22"/>
    <w:rsid w:val="00CB3675"/>
    <w:rsid w:val="00CC4EF3"/>
    <w:rsid w:val="00CE0499"/>
    <w:rsid w:val="00CE0D2C"/>
    <w:rsid w:val="00CE0EA0"/>
    <w:rsid w:val="00CF63D6"/>
    <w:rsid w:val="00CF7A46"/>
    <w:rsid w:val="00D00A14"/>
    <w:rsid w:val="00D07D8C"/>
    <w:rsid w:val="00D45B2F"/>
    <w:rsid w:val="00D47952"/>
    <w:rsid w:val="00D7408B"/>
    <w:rsid w:val="00D80BF9"/>
    <w:rsid w:val="00D825F0"/>
    <w:rsid w:val="00D9206E"/>
    <w:rsid w:val="00D97691"/>
    <w:rsid w:val="00D97D89"/>
    <w:rsid w:val="00DB229E"/>
    <w:rsid w:val="00DE4A04"/>
    <w:rsid w:val="00E14B82"/>
    <w:rsid w:val="00E26BD3"/>
    <w:rsid w:val="00E304EA"/>
    <w:rsid w:val="00E616A9"/>
    <w:rsid w:val="00E76FBC"/>
    <w:rsid w:val="00EC0595"/>
    <w:rsid w:val="00EE47B5"/>
    <w:rsid w:val="00F011C5"/>
    <w:rsid w:val="00F4041A"/>
    <w:rsid w:val="00F53D85"/>
    <w:rsid w:val="00F70D93"/>
    <w:rsid w:val="00FD1AAE"/>
    <w:rsid w:val="00FD5C84"/>
    <w:rsid w:val="00FD7345"/>
    <w:rsid w:val="00FE1F4E"/>
    <w:rsid w:val="00FF0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FA33"/>
  <w15:docId w15:val="{83E5AF64-30F8-4B27-8569-FF8FDB62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4E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93A27"/>
    <w:pPr>
      <w:spacing w:after="0" w:line="240" w:lineRule="auto"/>
    </w:pPr>
  </w:style>
  <w:style w:type="paragraph" w:customStyle="1" w:styleId="Default">
    <w:name w:val="Default"/>
    <w:rsid w:val="004B2454"/>
    <w:pPr>
      <w:autoSpaceDE w:val="0"/>
      <w:autoSpaceDN w:val="0"/>
      <w:adjustRightInd w:val="0"/>
      <w:spacing w:after="0" w:line="240" w:lineRule="auto"/>
    </w:pPr>
    <w:rPr>
      <w:rFonts w:ascii="Arial" w:hAnsi="Arial" w:cs="Arial"/>
      <w:color w:val="000000"/>
      <w:sz w:val="24"/>
      <w:szCs w:val="24"/>
    </w:rPr>
  </w:style>
  <w:style w:type="character" w:customStyle="1" w:styleId="tabulatory">
    <w:name w:val="tabulatory"/>
    <w:basedOn w:val="Domylnaczcionkaakapitu"/>
    <w:rsid w:val="00012E65"/>
  </w:style>
  <w:style w:type="paragraph" w:styleId="Akapitzlist">
    <w:name w:val="List Paragraph"/>
    <w:basedOn w:val="Normalny"/>
    <w:uiPriority w:val="34"/>
    <w:qFormat/>
    <w:rsid w:val="002E07D4"/>
    <w:pPr>
      <w:ind w:left="720"/>
      <w:contextualSpacing/>
    </w:pPr>
  </w:style>
  <w:style w:type="paragraph" w:customStyle="1" w:styleId="kreska2">
    <w:name w:val="kreska2"/>
    <w:basedOn w:val="Normalny"/>
    <w:rsid w:val="00E616A9"/>
    <w:pPr>
      <w:numPr>
        <w:numId w:val="4"/>
      </w:numPr>
      <w:tabs>
        <w:tab w:val="clear" w:pos="360"/>
        <w:tab w:val="num" w:pos="567"/>
        <w:tab w:val="right" w:leader="dot" w:pos="9072"/>
      </w:tabs>
      <w:spacing w:before="60" w:after="0"/>
      <w:ind w:left="567"/>
      <w:jc w:val="both"/>
    </w:pPr>
    <w:rPr>
      <w:rFonts w:ascii="Times New Roman" w:eastAsia="Times New Roman" w:hAnsi="Times New Roman" w:cs="Times New Roman"/>
      <w:szCs w:val="20"/>
      <w:lang w:eastAsia="pl-PL"/>
    </w:rPr>
  </w:style>
  <w:style w:type="paragraph" w:styleId="Tekstpodstawowy">
    <w:name w:val="Body Text"/>
    <w:basedOn w:val="Normalny"/>
    <w:link w:val="TekstpodstawowyZnak"/>
    <w:rsid w:val="00EC059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C0595"/>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EC059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semiHidden/>
    <w:rsid w:val="00EC0595"/>
    <w:rPr>
      <w:rFonts w:ascii="Segoe UI" w:eastAsia="Times New Roman" w:hAnsi="Segoe UI" w:cs="Segoe UI"/>
      <w:sz w:val="18"/>
      <w:szCs w:val="18"/>
      <w:lang w:eastAsia="pl-PL"/>
    </w:rPr>
  </w:style>
  <w:style w:type="paragraph" w:customStyle="1" w:styleId="pkt1">
    <w:name w:val="pkt1"/>
    <w:basedOn w:val="Normalny"/>
    <w:rsid w:val="00BF6164"/>
    <w:pPr>
      <w:tabs>
        <w:tab w:val="right" w:leader="dot" w:pos="9072"/>
      </w:tabs>
      <w:spacing w:before="60" w:after="0"/>
      <w:ind w:left="284" w:hanging="284"/>
      <w:jc w:val="both"/>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3D1D-FD7B-474D-A418-1AFEE45E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4</Pages>
  <Words>1335</Words>
  <Characters>8013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Kalina</dc:creator>
  <cp:lastModifiedBy>Edyta Konieczna</cp:lastModifiedBy>
  <cp:revision>95</cp:revision>
  <cp:lastPrinted>2026-01-21T12:59:00Z</cp:lastPrinted>
  <dcterms:created xsi:type="dcterms:W3CDTF">2025-12-31T11:34:00Z</dcterms:created>
  <dcterms:modified xsi:type="dcterms:W3CDTF">2026-01-21T13:01:00Z</dcterms:modified>
</cp:coreProperties>
</file>