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XX/149/25</w:t>
      </w:r>
      <w:r>
        <w:rPr>
          <w:rFonts w:ascii="Times New Roman" w:eastAsia="Times New Roman" w:hAnsi="Times New Roman" w:cs="Times New Roman"/>
          <w:b/>
          <w:caps/>
          <w:sz w:val="22"/>
        </w:rPr>
        <w:br/>
      </w:r>
      <w:r>
        <w:rPr>
          <w:rFonts w:ascii="Times New Roman" w:eastAsia="Times New Roman" w:hAnsi="Times New Roman" w:cs="Times New Roman"/>
          <w:b/>
          <w:caps/>
          <w:sz w:val="22"/>
        </w:rPr>
        <w:t>Rady Miasta i Gminy Gołańcz</w:t>
      </w:r>
    </w:p>
    <w:p w:rsidR="00A77B3E">
      <w:pPr>
        <w:spacing w:before="280" w:after="280"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30 września 2025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rozpatrzenia petycji</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Na podstawie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18b 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marca 1990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samorządzie gminnym (t.j.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2025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1153) oraz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 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11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lipca 2014</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petycjach (t.j. Dz.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2018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poz.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870)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caps w:val="0"/>
          <w:strike w:val="0"/>
          <w:color w:val="auto"/>
          <w:sz w:val="22"/>
          <w:u w:val="none"/>
        </w:rPr>
        <w:t>Nie uwzględnia się petycji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22</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maja 2025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sprawie:</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sz w:val="22"/>
        </w:rPr>
        <w:t>1) </w:t>
      </w:r>
      <w:r>
        <w:rPr>
          <w:rFonts w:ascii="Times New Roman" w:eastAsia="Times New Roman" w:hAnsi="Times New Roman" w:cs="Times New Roman"/>
          <w:b w:val="0"/>
          <w:caps w:val="0"/>
          <w:strike w:val="0"/>
          <w:color w:val="auto"/>
          <w:sz w:val="22"/>
          <w:u w:val="none"/>
        </w:rPr>
        <w:t>odmowy ustalenia środowiskowych uwarunkowań dla budowy budynku inwentarskiego do chowu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hodowli trzody chlewnej dla 1990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sztuk świń oraz dwóch silosów paszowych na działce nr 76/4 we wsi Konary, gmina Gołańcz;</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sz w:val="22"/>
        </w:rPr>
        <w:t>2) </w:t>
      </w:r>
      <w:r>
        <w:rPr>
          <w:rFonts w:ascii="Times New Roman" w:eastAsia="Times New Roman" w:hAnsi="Times New Roman" w:cs="Times New Roman"/>
          <w:b w:val="0"/>
          <w:caps w:val="0"/>
          <w:strike w:val="0"/>
          <w:color w:val="auto"/>
          <w:sz w:val="22"/>
          <w:u w:val="none"/>
        </w:rPr>
        <w:t>sporządzenia planu ogólnego Miasta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Gminy zakazującego budowy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sąsiedztwach domów mieszkalnych budynków inwentarskich do chowu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hodowli zwierząt,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szczególności świń,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ilości powyżej 300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sztuk;</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sz w:val="22"/>
        </w:rPr>
        <w:t>3) </w:t>
      </w:r>
      <w:r>
        <w:rPr>
          <w:rFonts w:ascii="Times New Roman" w:eastAsia="Times New Roman" w:hAnsi="Times New Roman" w:cs="Times New Roman"/>
          <w:b w:val="0"/>
          <w:caps w:val="0"/>
          <w:strike w:val="0"/>
          <w:color w:val="auto"/>
          <w:sz w:val="22"/>
          <w:u w:val="none"/>
        </w:rPr>
        <w:t>sporządzenia programu ochrony Miasta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Gminy Gołańcz na lata 2025–2029</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ograniczeniem budowy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sąsiedztwach domów mieszkalnych budynków inwentarskich do chowu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hodowli zwierząt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szczególności świń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ilości powyżej 300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sztuk.</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caps w:val="0"/>
          <w:strike w:val="0"/>
          <w:color w:val="auto"/>
          <w:sz w:val="22"/>
          <w:u w:val="none"/>
        </w:rPr>
        <w:t>Wyjaśnienie rozpatrzenia petycji zawiera uzasadnienie 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caps w:val="0"/>
          <w:strike w:val="0"/>
          <w:color w:val="auto"/>
          <w:sz w:val="22"/>
          <w:u w:val="none"/>
        </w:rPr>
        <w:t>Wykonanie uchwały,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tym zawiadomienie składającego petycję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sposobie jej rozpatrzenia, powierza się Przewodniczącemu Rady Miasta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Gminy Gołańcz.</w:t>
      </w:r>
    </w:p>
    <w:p w:rsidR="00A77B3E">
      <w:pPr>
        <w:keepNext/>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4. </w:t>
      </w:r>
      <w:r>
        <w:rPr>
          <w:rFonts w:ascii="Times New Roman" w:eastAsia="Times New Roman" w:hAnsi="Times New Roman" w:cs="Times New Roman"/>
          <w:b w:val="0"/>
          <w:caps w:val="0"/>
          <w:strike w:val="0"/>
          <w:color w:val="auto"/>
          <w:sz w:val="22"/>
          <w:u w:val="none"/>
        </w:rPr>
        <w:t>Uchwała wchodzi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życie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dniem podjęcia.</w:t>
      </w:r>
    </w:p>
    <w:p w:rsidR="00A77B3E">
      <w:pPr>
        <w:keepNext/>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p>
    <w:p w:rsidR="00A77B3E">
      <w:pPr>
        <w:keepNext/>
        <w:spacing w:before="0" w:after="0"/>
        <w:rPr>
          <w:rFonts w:ascii="Times New Roman" w:eastAsia="Times New Roman" w:hAnsi="Times New Roman" w:cs="Times New Roman"/>
          <w:b w:val="0"/>
          <w:i w:val="0"/>
          <w:caps w:val="0"/>
          <w:strike w:val="0"/>
          <w:color w:val="auto"/>
          <w:sz w:val="22"/>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Miasta i Gminy Gołańcz</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Karol Brzeziński</w:t>
            </w:r>
          </w:p>
        </w:tc>
      </w:tr>
    </w:tbl>
    <w:p w:rsidR="00A77B3E">
      <w:pPr>
        <w:keepNext/>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4"/>
          <w:endnotePr>
            <w:numFmt w:val="decimal"/>
          </w:endnotePr>
          <w:pgSz w:w="11906" w:h="16838"/>
          <w:pgMar w:top="850" w:right="850" w:bottom="1417" w:left="85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Stosownie do brzmienia art. 18b ust. 1 ustawy z dnia 8 marca 1990 r.</w:t>
      </w:r>
      <w:r>
        <w:rPr>
          <w:szCs w:val="20"/>
        </w:rPr>
        <w:t xml:space="preserve"> </w:t>
      </w:r>
      <w:r>
        <w:rPr>
          <w:szCs w:val="20"/>
        </w:rPr>
        <w:t>o samorządzie gminnym rada gminy rozpatruje wnioski oraz petycje składane przez obywateli. W tym celu powołuje komisję skarg, wniosków i petycji.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Dnia 22 maja 2025 r. do Rady Miasta i Gminy Gołańcz oraz Burmistrza Miasta i Gminy Gołańcz wpłynęła petycja z dnia 8 maja 2025 r. z podpisami 253 mieszkańców. Przedmiotem petycji było:</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1) odmowa ustalenia środowiskowych uwarunkowań dla budowy budynku inwentarskiego do chowu i hodowli trzody chlewnej dla 1990 sztuk świń oraz dwóch silosów paszowych na działce nr 76/4 we wsi Konary, gmina Gołańcz;</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2) sporządzenie planu ogólnego Miasta i Gminy zakazującego budowy w sąsiedztwach domów mieszkalnych budynków inwentarskich do chowu i hodowli zwierząt, w szczególności świń, w ilości powyżej 300 sztuk;</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3) sporządzenie programu ochrony Miasta i Gminy Gołańcz na lata 2025–2029 z ograniczeniem budowy w sąsiedztwach domów mieszkalnych budynków inwentarskich do chowu i hodowli zwierząt w szczególności świń w ilości powyżej 300 sztuk,</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ze względu na negatywny wpływ na ludzi i środowisko.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Dnia 25 maja 2025 r. wystosowano do reprezentanta podmiotów wnoszących petycję pismo o uzupełnienie braków formalnych petycji. Dnia 3 czerwca 2025 r. złożono w urzędzie gminy (wpływ do Rady Miasta i Gminy Gołańcz 12 czerwca 2025 r.) pismo uzupełniające petycję.</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 xml:space="preserve">Komisja </w:t>
      </w:r>
      <w:r>
        <w:rPr>
          <w:szCs w:val="20"/>
        </w:rPr>
        <w:t>S</w:t>
      </w:r>
      <w:r>
        <w:rPr>
          <w:szCs w:val="20"/>
        </w:rPr>
        <w:t>karg, Wniosków i Petycji Rady Miasta i Gminy Gołańcz zajmowała się rozpatrzeniem petycji na posiedzeniu w dniu 24 czerwca 2025 r. Po dokonaniu analizy dokumentów komisja ustaliła, co następuje.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Zgodnie z aktualnym stanem prawnym, organem właściwym do wydawania decyzji o środowiskowych uwarunkowaniach jest Burmistrz Miasta i Gminy Gołańcz. W konsekwencji, uwzględnienie żądania sformułowanego w punkcie 1</w:t>
      </w:r>
      <w:r>
        <w:rPr>
          <w:szCs w:val="20"/>
        </w:rPr>
        <w:t xml:space="preserve">. </w:t>
      </w:r>
      <w:r>
        <w:rPr>
          <w:szCs w:val="20"/>
        </w:rPr>
        <w:t>petycji wykracza poza zakres kompetencji Rady Miasta i Gminy</w:t>
      </w:r>
      <w:r>
        <w:rPr>
          <w:szCs w:val="20"/>
        </w:rPr>
        <w:t xml:space="preserve"> Gołańcz</w:t>
      </w:r>
      <w:r>
        <w:rPr>
          <w:szCs w:val="20"/>
        </w:rPr>
        <w:t>, co uniemożliwia jego uwzględnienie.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Obecnie plan ogólny znajduje się w fazie opracowywania, a jego projekt nie został jeszcze upubliczniony. Niemniej jednak, przewidziane są konsultacje społeczne, które umożliwią mieszkańcom samodzielne zgłaszanie uwag i propozycji. W związku z powyższym, żądanie zawarte w punkcie 2</w:t>
      </w:r>
      <w:r>
        <w:rPr>
          <w:szCs w:val="20"/>
        </w:rPr>
        <w:t>.</w:t>
      </w:r>
      <w:r>
        <w:rPr>
          <w:szCs w:val="20"/>
        </w:rPr>
        <w:t> petycji nie znajduje uzasadnienia w aktualnym stanie faktycznym i prawnym.</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 xml:space="preserve">Na przełomie roku 2025–2026 planuje się sporządzić </w:t>
      </w:r>
      <w:r>
        <w:rPr>
          <w:szCs w:val="20"/>
        </w:rPr>
        <w:t>p</w:t>
      </w:r>
      <w:r>
        <w:rPr>
          <w:szCs w:val="20"/>
        </w:rPr>
        <w:t xml:space="preserve">rogram </w:t>
      </w:r>
      <w:r>
        <w:rPr>
          <w:szCs w:val="20"/>
        </w:rPr>
        <w:t>o</w:t>
      </w:r>
      <w:r>
        <w:rPr>
          <w:szCs w:val="20"/>
        </w:rPr>
        <w:t xml:space="preserve">chrony </w:t>
      </w:r>
      <w:r>
        <w:rPr>
          <w:szCs w:val="20"/>
        </w:rPr>
        <w:t>ś</w:t>
      </w:r>
      <w:r>
        <w:rPr>
          <w:szCs w:val="20"/>
        </w:rPr>
        <w:t>rodowiska dla Miasta i Gminy Gołańcz na kolejne lata. Mieszkańcy będą mieli możliwość wniesienia uwag do programu. Podkreślenia wymaga fakt, że program ochrony środowiska nie obejmuje regulacji dotyczących minimalnych odległości budynków inwentarskich od zabudowy mieszkaniowej ani maksymalnej liczby inwentarza. Ograniczenia w tym zakresie wynikają z odrębnych aktów prawnych. Tym samym, żądanie przedstawione w punkcie 3</w:t>
      </w:r>
      <w:r>
        <w:rPr>
          <w:szCs w:val="20"/>
        </w:rPr>
        <w:t xml:space="preserve">. </w:t>
      </w:r>
      <w:r>
        <w:rPr>
          <w:szCs w:val="20"/>
        </w:rPr>
        <w:t>petycji również nie znajduje uzasadnienia w obowiązującym stanie faktycznym i prawnym.</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Komisja nie posiada umocowania prawnego do wprowadzania jakichkolwiek ograniczeń, które mogłyby utrudniać rozwój gospodarczy pozostałym mieszkańcom gminy lub uniemożliwiać realizację ich osobistych planów.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Komisja Skarg, Wniosków i Petycji jednogłośnie podjęła uchwałę nr 5/25, w której zarekomendowała Radzie Miasta i Gminy Gołańcz nieuwzględnienie przedmiotowej petycji.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Po analizie sprawy i zapoznaniu się z obowiązującym przepisami prawa, Rada przychyla się do opinii Komisji Skarg, Wniosków i Petycji i uznaje, iż petycja nie zasługuje na uwzględnienie.</w:t>
      </w:r>
    </w:p>
    <w:tbl>
      <w:tblPr>
        <w:tblStyle w:val="TableSimple1"/>
        <w:tblW w:w="5000" w:type="pct"/>
        <w:tblInd w:w="283" w:type="dxa"/>
        <w:tblBorders>
          <w:top w:val="nil"/>
          <w:left w:val="nil"/>
          <w:bottom w:val="nil"/>
          <w:right w:val="nil"/>
        </w:tblBorders>
        <w:tblLook w:val="04A0"/>
      </w:tblPr>
      <w:tblGrid>
        <w:gridCol w:w="4962"/>
        <w:gridCol w:w="4962"/>
      </w:tblGrid>
      <w:tr>
        <w:tblPrEx>
          <w:tblW w:w="5000" w:type="pct"/>
          <w:tblInd w:w="283" w:type="dxa"/>
          <w:tblLook w:val="04A0"/>
        </w:tblPrEx>
        <w:tc>
          <w:tcPr>
            <w:tcW w:w="2500" w:type="pct"/>
            <w:tcBorders>
              <w:righ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rPr>
                <w:szCs w:val="20"/>
              </w:rPr>
            </w:pPr>
          </w:p>
        </w:tc>
        <w:tc>
          <w:tcPr>
            <w:tcW w:w="2500" w:type="pct"/>
            <w:tcBorders>
              <w:lef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szCs w:val="20"/>
              </w:rPr>
            </w:pPr>
            <w:r>
              <w:rPr>
                <w:szCs w:val="20"/>
              </w:rPr>
              <w:fldChar w:fldCharType="begin"/>
            </w:r>
            <w:r>
              <w:rPr>
                <w:szCs w:val="20"/>
              </w:rPr>
              <w:instrText>SIGNATURE_0_1_FUNCTION</w:instrText>
            </w:r>
            <w:r>
              <w:rPr>
                <w:szCs w:val="20"/>
              </w:rPr>
              <w:fldChar w:fldCharType="separate"/>
            </w:r>
            <w:r>
              <w:rPr>
                <w:szCs w:val="20"/>
              </w:rPr>
              <w:t>Przewodniczący Rady Miasta i Gminy Gołańcz</w:t>
            </w:r>
            <w:r>
              <w:rPr>
                <w:szCs w:val="20"/>
              </w:rPr>
              <w:fldChar w:fldCharType="end"/>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szCs w:val="20"/>
              </w:rPr>
            </w:pPr>
            <w:r>
              <w:rPr>
                <w:szCs w:val="20"/>
              </w:rPr>
              <w:t xml:space="preserve"> </w:t>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Karol </w:t>
            </w:r>
            <w:r>
              <w:rPr>
                <w:szCs w:val="20"/>
              </w:rPr>
              <w:fldChar w:fldCharType="end"/>
            </w:r>
            <w:r>
              <w:rPr>
                <w:szCs w:val="20"/>
              </w:rPr>
              <w:fldChar w:fldCharType="begin"/>
            </w:r>
            <w:r>
              <w:rPr>
                <w:szCs w:val="20"/>
              </w:rPr>
              <w:instrText>SIGNATURE_0_1_LASTNAME</w:instrText>
            </w:r>
            <w:r>
              <w:rPr>
                <w:szCs w:val="20"/>
              </w:rPr>
              <w:fldChar w:fldCharType="separate"/>
            </w:r>
            <w:r>
              <w:rPr>
                <w:b/>
                <w:szCs w:val="20"/>
              </w:rPr>
              <w:t>Brzeziński</w:t>
            </w:r>
            <w:r>
              <w:rPr>
                <w:szCs w:val="20"/>
              </w:rPr>
              <w:fldChar w:fldCharType="end"/>
            </w:r>
          </w:p>
        </w:tc>
      </w:tr>
    </w:tbl>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rPr>
          <w:szCs w:val="20"/>
        </w:rPr>
      </w:pPr>
    </w:p>
    <w:sectPr>
      <w:footerReference w:type="default" r:id="rId5"/>
      <w:endnotePr>
        <w:numFmt w:val="decimal"/>
      </w:endnotePr>
      <w:type w:val="nextPage"/>
      <w:pgSz w:w="11906" w:h="16838" w:code="0"/>
      <w:pgMar w:top="850" w:right="850" w:bottom="1417" w:left="85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4863FA38-8230-42AE-B1A6-68399B191BDA.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4863FA38-8230-42AE-B1A6-68399B191BDA.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Miasta i Gminy Gołańcz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XX/149/25 z dnia 30 września 2025 r.</dc:title>
  <dc:subject>w sprawie rozpatrzenia petycji</dc:subject>
  <dc:creator>Alina Wachowiak</dc:creator>
  <cp:lastModifiedBy>Alina Wachowiak</cp:lastModifiedBy>
  <cp:revision>1</cp:revision>
  <dcterms:created xsi:type="dcterms:W3CDTF">2025-10-01T10:10:31Z</dcterms:created>
  <dcterms:modified xsi:type="dcterms:W3CDTF">2025-10-01T10:10:31Z</dcterms:modified>
  <cp:category>Akt prawny</cp:category>
</cp:coreProperties>
</file>