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866" w:type="dxa"/>
            <w:tcBorders>
              <w:top w:val="nil"/>
              <w:left w:val="nil"/>
              <w:bottom w:val="nil"/>
              <w:right w:val="nil"/>
            </w:tcBorders>
            <w:tcMar>
              <w:top w:w="100" w:type="dxa"/>
            </w:tcMar>
          </w:tcPr>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29 września 2022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tc>
      </w:tr>
    </w:tbl>
    <w:p w:rsidR="00A77B3E"/>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XLIV/374/22</w:t>
      </w:r>
      <w:r>
        <w:rPr>
          <w:rFonts w:ascii="Times New Roman" w:eastAsia="Times New Roman" w:hAnsi="Times New Roman" w:cs="Times New Roman"/>
          <w:b/>
          <w:caps/>
          <w:sz w:val="22"/>
        </w:rPr>
        <w:br/>
      </w:r>
      <w:r>
        <w:rPr>
          <w:rFonts w:ascii="Times New Roman" w:eastAsia="Times New Roman" w:hAnsi="Times New Roman" w:cs="Times New Roman"/>
          <w:b/>
          <w:caps/>
          <w:sz w:val="22"/>
        </w:rPr>
        <w:t>Rady Miasta i Gminy Gołańcz</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27 września 2022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miejscowego planu zagospodarowania przestrzennego dla terenów położonych w obrębach ewidencyjnych Bogdanowo, Czeszewo, Jeziorki, Chojna, Laskownica, Morakowo</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marca 1990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gminnym (t.j.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559</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późn. zm.) oraz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marca 2003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planowaniu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zagospodarowaniu przestrzennym (t.j.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503) </w:t>
      </w:r>
      <w:r>
        <w:rPr>
          <w:rFonts w:ascii="Times New Roman" w:eastAsia="Times New Roman" w:hAnsi="Times New Roman" w:cs="Times New Roman"/>
          <w:b/>
          <w:i w:val="0"/>
          <w:caps w:val="0"/>
          <w:strike w:val="0"/>
          <w:color w:val="000000"/>
          <w:sz w:val="22"/>
          <w:u w:val="none" w:color="000000"/>
          <w:vertAlign w:val="baseline"/>
        </w:rPr>
        <w:t>Rada Miasta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Gminy Gołańcz uchwala, co następuje: </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Przepisy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Uchwala się miejscowy plan zagospodarowania przestrzennego dla terenów położonych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obrębach ewidencyjnych Bogdanowo, Czeszewo, Jeziorki, Chojna, Laskownica, Morakowo, zwany dalej „planem” po stwierdzeniu, że poniższe ustalenia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naruszają ustaleń studium uwarunkowań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kierunków zagospodarowania przestrzennego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przyjętego uchwałą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VIII/38/95 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Gołańcz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1995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oraz zmienionego uchwałami: nr XL/346/10 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nr XLIV/407/10 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2010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nr XXX/288/13 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2013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XXIX/296/17 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maja 2017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oraz nr XIX/191/20 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2020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r.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Integralnymi częściami uchwały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rysunki planu zatytułowane „Miejscowy plan zagospodarowania przestrzennego dla terenów położonych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obrębach ewidencyjnych Bogdanowo, Czeszewo, Jeziorki, Chojna, Laskownica, Morakowo” opracowane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skali 1:1000 stanowiące załączniki od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do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 do uchwały;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rozstrzygnięcie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sposobie rozpatrzenia uwag wniesionych do projektu planu, stanowiące załącznik nr 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rozstrzygnięcie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sposobie realizacji zapisanych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planie inwestycji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infrastruktury technicznej, należących do zadań własnych gminy oraz zasadach ich finansowania,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 stanowiące załącznik nr 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dokument elektroniczny zawierający dane przestrzenne, stanowiący załącznik nr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Teren objęty planem położony jest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obrębach ewidencyjnych Bogdanowo, Czeszewo, Jeziorki, Chojna, Laskownica, Morakowo,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granice określone zostały na rysunkach planu wymienionych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i w:val="0"/>
          <w:caps w:val="0"/>
          <w:strike w:val="0"/>
          <w:color w:val="000000"/>
          <w:sz w:val="22"/>
          <w:u w:val="none" w:color="000000"/>
          <w:vertAlign w:val="baseline"/>
        </w:rPr>
        <w:t>Ilekroć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uchwale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linii rozgraniczającej</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należy przez to rozumieć linię rozgraniczającą tereny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różnym przeznaczeniu lub różnych zasadach zagospodarowania;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powierzchni zabudowy</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należy przez to rozumieć sumę powierzchni wyznaczonych przez rzuty pionowe zewnętrznych krawędzi budynków na działce, na powierzchnię tej działki;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powierzchni całkowitej zabudowy</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sumę powierzchni całkowitych wszystkich kondygnacji,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piwnic, poddaszy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tarasów, mierzonych po obrysie zewnętrznym ścian wszystkich budynków zlokalizowanych na działce budowlanej,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tynków, okładzin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balustrad;</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 xml:space="preserve">szerokości działki budowlanej – </w:t>
      </w:r>
      <w:r>
        <w:rPr>
          <w:rFonts w:ascii="Times New Roman" w:eastAsia="Times New Roman" w:hAnsi="Times New Roman" w:cs="Times New Roman"/>
          <w:b w:val="0"/>
          <w:i w:val="0"/>
          <w:caps w:val="0"/>
          <w:strike w:val="0"/>
          <w:color w:val="000000"/>
          <w:sz w:val="22"/>
          <w:u w:val="none" w:color="000000"/>
          <w:vertAlign w:val="baseline"/>
        </w:rPr>
        <w:t>należy przez to rozumieć szerokość frontową działki budowlanej mierzoną od strony drogi,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odbywać się będzie obsługa komunikacyjna tej działki;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nieprzekraczalnej linii zabudowy</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linię,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może być umieszczona ściana frontowa projektowanego budynku bez prawa jej przekraczania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kierunku linii rozgraniczającej, za wyjątkiem takich elementów architektonicznych, jak: schody, taras, balkon, gzyms, okap dachu, rynna, wiatrołap oraz innych detali wystroju architektonicznego wysuniętych poza tę linię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więcej niż 1,5 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i w:val="0"/>
          <w:caps w:val="0"/>
          <w:strike w:val="0"/>
          <w:color w:val="000000"/>
          <w:sz w:val="22"/>
          <w:u w:val="none" w:color="000000"/>
          <w:vertAlign w:val="baseline"/>
        </w:rPr>
        <w:t>dachu płaskim</w:t>
      </w:r>
      <w:r>
        <w:rPr>
          <w:rFonts w:ascii="Times New Roman" w:eastAsia="Times New Roman" w:hAnsi="Times New Roman" w:cs="Times New Roman"/>
          <w:b w:val="0"/>
          <w:i w:val="0"/>
          <w:caps w:val="0"/>
          <w:strike w:val="0"/>
          <w:color w:val="000000"/>
          <w:sz w:val="22"/>
          <w:u w:val="none" w:color="000000"/>
          <w:vertAlign w:val="baseline"/>
        </w:rPr>
        <w:t xml:space="preserve"> – należy przez to rozumieć, dach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kącie nachylenia połaci dachowych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większym niż 12º;</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i w:val="0"/>
          <w:caps w:val="0"/>
          <w:strike w:val="0"/>
          <w:color w:val="000000"/>
          <w:sz w:val="22"/>
          <w:u w:val="none" w:color="000000"/>
          <w:vertAlign w:val="baseline"/>
        </w:rPr>
        <w:t>usługach publicznych</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należy przez to rozumieć usługi służące zaspokajaniu potrzeb ludności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bezpieczeństwa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 obsługi administracyjnej, oświaty, kultury,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rekreacji oraz opieki zdrowotnej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społecznej.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i w:val="0"/>
          <w:caps w:val="0"/>
          <w:strike w:val="0"/>
          <w:color w:val="000000"/>
          <w:sz w:val="22"/>
          <w:u w:val="none" w:color="000000"/>
          <w:vertAlign w:val="baseline"/>
        </w:rPr>
        <w:t>Ustaleniami planu na rysunku planu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granica obszaru objętego planem;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linie rozgraniczające tereny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różnym przeznaczeniu lub różnych zasadach zagospodarowania;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nieprzekraczalne linie zabudowy;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przeznaczenie terenu oznaczone symbolami określonymi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wymiary charakterystycznych odległości.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i w:val="0"/>
          <w:caps w:val="0"/>
          <w:strike w:val="0"/>
          <w:color w:val="000000"/>
          <w:sz w:val="22"/>
          <w:u w:val="none" w:color="000000"/>
          <w:vertAlign w:val="baseline"/>
        </w:rPr>
        <w:t>Przeznaczenie terenów,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których mowa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§3 oznaczono na rysunku planu symbolami: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Up</w:t>
      </w:r>
      <w:r>
        <w:rPr>
          <w:rFonts w:ascii="Times New Roman" w:eastAsia="Times New Roman" w:hAnsi="Times New Roman" w:cs="Times New Roman"/>
          <w:b w:val="0"/>
          <w:i w:val="0"/>
          <w:caps w:val="0"/>
          <w:strike w:val="0"/>
          <w:color w:val="000000"/>
          <w:sz w:val="22"/>
          <w:u w:val="none" w:color="000000"/>
          <w:vertAlign w:val="baseline"/>
        </w:rPr>
        <w:t xml:space="preserve"> – tereny zabudowy usługowej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usług publicznych;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 xml:space="preserve">US </w:t>
      </w:r>
      <w:r>
        <w:rPr>
          <w:rFonts w:ascii="Times New Roman" w:eastAsia="Times New Roman" w:hAnsi="Times New Roman" w:cs="Times New Roman"/>
          <w:b w:val="0"/>
          <w:i w:val="0"/>
          <w:caps w:val="0"/>
          <w:strike w:val="0"/>
          <w:color w:val="000000"/>
          <w:sz w:val="22"/>
          <w:u w:val="none" w:color="000000"/>
          <w:vertAlign w:val="baseline"/>
        </w:rPr>
        <w:t>– tereny usług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 xml:space="preserve">ZP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tereny zieleni urządzonej;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 xml:space="preserve">KDW </w:t>
      </w:r>
      <w:r>
        <w:rPr>
          <w:rFonts w:ascii="Times New Roman" w:eastAsia="Times New Roman" w:hAnsi="Times New Roman" w:cs="Times New Roman"/>
          <w:b w:val="0"/>
          <w:i w:val="0"/>
          <w:caps w:val="0"/>
          <w:strike w:val="0"/>
          <w:color w:val="000000"/>
          <w:sz w:val="22"/>
          <w:u w:val="none" w:color="000000"/>
          <w:vertAlign w:val="baseline"/>
        </w:rPr>
        <w:t>– teren dróg wewnętrznych.</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Ustalenia dotyczące całego obszaru planu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i w:val="0"/>
          <w:caps w:val="0"/>
          <w:strike w:val="0"/>
          <w:color w:val="000000"/>
          <w:sz w:val="22"/>
          <w:u w:val="none" w:color="000000"/>
          <w:vertAlign w:val="baseline"/>
        </w:rPr>
        <w:t>W zakresie zasad ochrony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kształtowania ładu przestrzennego ustala się: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zabudowę należy lokalizować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nieprzekraczalnymi liniami zabudowy określonymi na rysunku planu;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dopuszcza się lokalizację nowych obiektów infrastruktury technicznej,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wyższej niż 5,0 m, poza nieprzekraczalnymi liniami zabudowy;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dla istniejących budynków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dachach posiadających geometrię inną niż wskazana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ustaleniach planu – dopuszcza się jej zachowanie przy rozbudowie głównej bryły budynku;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wysokości ustalone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Rozdziale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dotyczą kondygnacji nadziemnych.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i w:val="0"/>
          <w:caps w:val="0"/>
          <w:strike w:val="0"/>
          <w:color w:val="000000"/>
          <w:sz w:val="22"/>
          <w:u w:val="none" w:color="000000"/>
          <w:vertAlign w:val="baseline"/>
        </w:rPr>
        <w:t>W zakresie zasad ochrony środowiska, przyrody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krajobrazu ustala się: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zakaz lokalizacji przedsięwzięć mogących zawsze znacząco oddziaływać na środowisko, za wyjątkiem lokalizacji inwestycji celu publicznego;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dopuszczalne poziomy hałasu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środowisku, stosownie do przepisów odrębnych: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dla terenów zabudowy usługowej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usług publicznych (Up)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realizacji na tych terenach usług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sportu, rekreacji, obiektów edukacyjnych, odpowiednio jak dla terenów zabudowy związanej ze stałym lub czasowym pobytem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dla terenów usług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rekreacji (US) jak dla terenów rekreacyjno-wypoczynkowych,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 przypadku wystąpienia przekroczenia akustycznych standardów jakości środowiska na terenach wymagających ochrony akustycznej (Up, US) należy zastosować środki techniczne, technologiczne lub organizacyjne zmniejszające poziom hałasu, co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najmniej do poziomów dopuszczalnych;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nakaz prowadzenia gospodarki odpadami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obowiązującym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Gołańcz systemem planowej gospodarki odpadami,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segregacji odpadów oraz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obowiązującymi przepisami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odpadach;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nakaz zagospodarowania zbędnych mas ziemnych powstających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czasie realizacji inwestycji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odrębnymi;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zakresie zaopatrzenia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energię cieplną:</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energię cieplną należy pozyskiwać przy zastosowaniu paliw stałych, płynnych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gazowych charakteryzujących się najniższymi wskaźnikami emisyjnymi, spalanych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urządzeniach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wysokim stopniu sprawności,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dopuszcza się wykorzystywanie instalacji odnawialnych źródeł energii,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odrębnymi.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b/>
          <w:i w:val="0"/>
          <w:caps w:val="0"/>
          <w:strike w:val="0"/>
          <w:color w:val="000000"/>
          <w:sz w:val="22"/>
          <w:u w:val="none" w:color="000000"/>
          <w:vertAlign w:val="baseline"/>
        </w:rPr>
        <w:t>W zakresie zasad kształtowania krajobrazu ustala się: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zakaz lokalizacji miejsc postojowych, dojść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dojazdów na terenach przewidzianych pod powierzchnię biologicznie czynną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obrębie poszczególnych działek budowlanych;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nakaz zachowania istniejących wartościowych zadrzewień;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zagospodarowanie zielenią wszystkich wolnych od utwardzenia fragmentów terenów.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i w:val="0"/>
          <w:caps w:val="0"/>
          <w:strike w:val="0"/>
          <w:color w:val="000000"/>
          <w:sz w:val="22"/>
          <w:u w:val="none" w:color="000000"/>
          <w:vertAlign w:val="baseline"/>
        </w:rPr>
        <w:t>W zakresie zasad ochrony dziedzictwa kulturowego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zabytków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tym krajobrazów kulturowych, oraz dóbr kultury współczesnej ustala się: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 rysunku planu stanowiącym załącznik nr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oznaczono obiekt budowlany, wpisany do gminnej ewidencji zabytków, objęty ochroną konserwatorską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zlokalizowany na działce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nr ewid. 11/2 obręb Jeziorki, dla którego ustala się zachowanie charakterystycznej bryły budynku, historycznego wystroju elewacji oraz rozwiązań architektonicznych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materiałowych,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przepisów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rysunku planu stanowiącym załącznik nr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oznaczono obiekt budowlany, wpisany do gminnej ewidencji zabytków, objęty ochroną konserwatorską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zlokalizowany na działce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nr ewid. 169/2 obręb Laskownica, dla którego ustala się zachowanie charakterystycznej bryły budynku, historycznego wystroju elewacji oraz rozwiązań architektonicznych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materiałowych,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przepisów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dla obiektów budowlanych wpisanych do gminnej ewidencji zabytków dopuszcza się zagospodarowanie na nowe funkcje przy utrzymaniu ich walorów zabytkowych;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nowa zabudowa realizowana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bezpośrednim sąsiedztwie tych obiektów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powinna naruszać ich zabytkowych walorów.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b/>
          <w:i w:val="0"/>
          <w:caps w:val="0"/>
          <w:strike w:val="0"/>
          <w:color w:val="000000"/>
          <w:sz w:val="22"/>
          <w:u w:val="none" w:color="000000"/>
          <w:vertAlign w:val="baseline"/>
        </w:rPr>
        <w:t>W zakresie wymagań wynikających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potrzeb kształtowania przestrzeni publicznych ustala się: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przestrzeniami publicznymi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granicach obszaru planu są tereny zieleni urządzonej (ZP), tereny zabudowy usługowej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usług publicznych (Up) oraz tereny usług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rekreacji (US);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realizację przestrzeni publicznych jako przestrzeni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reprezentacyjnym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niezbędnymi urządzeniami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wyposażeniem,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małej architektury.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i w:val="0"/>
          <w:caps w:val="0"/>
          <w:strike w:val="0"/>
          <w:color w:val="000000"/>
          <w:sz w:val="22"/>
          <w:u w:val="none" w:color="000000"/>
          <w:vertAlign w:val="baseline"/>
        </w:rPr>
        <w:t xml:space="preserve">W zakresie zasad kształtowania zabudowy oraz wskaźników zagospodarowania terenu ustala się: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szczegółowe parametry zabudowy,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linie zabudowy, gabaryty obiektów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wskaźniki intensywności zabudowy określa się odpowiednio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Rozdziale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oraz na rysunkach planu;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niniejszej uchwale minimalne wielkości działek budowlanych oraz ich szerokości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dotyczą działek gruntu wydzielanych na cele: lokalizowania obiektów budowlanych infrastruktury technicznej, dojść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dojazdów oraz działek wydzielanych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regulacji granic pomiędzy sąsiednimi nieruchomościami;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dopuszczenie łączenia działek gruntu,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gdy istniejąca lub projektowana działka budowlana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kilku działek gruntu, pod warunkiem spełnienia parametrów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Rozdziale 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dopuszczenie wydzielenia działek pod lokalizację urządzeń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obiektów infrastruktury technicznej.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b/>
          <w:i w:val="0"/>
          <w:caps w:val="0"/>
          <w:strike w:val="0"/>
          <w:color w:val="000000"/>
          <w:sz w:val="22"/>
          <w:u w:val="none" w:color="000000"/>
          <w:vertAlign w:val="baseline"/>
        </w:rPr>
        <w:t>W zakresie ustaleń dotyczących granic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sposobów zagospodarowania terenów lub obiektów podlegających ochronie, ustalonych na podstawie odrębnych przepisów,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tym terenów górniczych, a</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także obszarów szczególnego zagrożenia powodzią, obszarów osuwania się mas ziemnych, krajobrazów priorytetowych określonych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audycie krajobrazowym oraz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planach zagospodarowania przestrzennego: </w:t>
      </w:r>
      <w:r>
        <w:rPr>
          <w:rFonts w:ascii="Times New Roman" w:eastAsia="Times New Roman" w:hAnsi="Times New Roman" w:cs="Times New Roman"/>
          <w:b w:val="0"/>
          <w:i w:val="0"/>
          <w:caps w:val="0"/>
          <w:strike w:val="0"/>
          <w:color w:val="000000"/>
          <w:sz w:val="22"/>
          <w:u w:val="none" w:color="000000"/>
          <w:vertAlign w:val="baseline"/>
        </w:rPr>
        <w:t>ze względu na położenie części terenu objętego planem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granicach „Obszaru Chronionego Krajobrazu Dolina Wełny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Rynny Gołaniecko - Wągrowieckiej” obowiązują następujące ustalenia: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zakaz wznoszenia obiektów, instalowania urządzeń powodujących negatywne oddziaływanie na środowisko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krajobraz,</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zakaz prowadzenia czynności powodujących wzmożenie procesów erozyjnych,</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nakaz ochrony wód powierzchniowych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podziemnych przed zanieczyszczeniami.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b/>
          <w:i w:val="0"/>
          <w:caps w:val="0"/>
          <w:strike w:val="0"/>
          <w:color w:val="000000"/>
          <w:sz w:val="22"/>
          <w:u w:val="none" w:color="000000"/>
          <w:vertAlign w:val="baseline"/>
        </w:rPr>
        <w:t>W zakresie szczegółowych zasad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warunków scalania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podziału nieruchomości objętych planem miejscowym ustala się</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minimalne szerokości nowo wydzielanych działek: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dla terenów zabudowy usługowej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usług publicznych (Up): 20,0 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dla terenów usług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rekreacji (US): 20,0 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dla terenów dla których plan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ustala szerokości frontów dopuszcza się dowolną szerokość frontów działek,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ustala się kąt położenia granic działek budowlanych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stosunku do granicy pasa drogowego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przedziale 70° - 110°.</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b/>
          <w:i w:val="0"/>
          <w:caps w:val="0"/>
          <w:strike w:val="0"/>
          <w:color w:val="000000"/>
          <w:sz w:val="22"/>
          <w:u w:val="none" w:color="000000"/>
          <w:vertAlign w:val="baseline"/>
        </w:rPr>
        <w:t>W zakresie szczególnych warunków zagospodarowania terenów oraz ograniczenia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ich użytkowaniu,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tym zakazu zabudowy ustala się: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nakaz ochrony wód podziemnych ze względu na położenie części terenu objętego planem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granicach Głównego Zbiornika Wód Podziemnych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139 Dolina kopalna Smogulec – Margonin oraz Głównego Zbiornika Wód Podziemnych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„Subzbiornik Inowrocław – Gniezno”; przy realizacji nowych inwestycji należy stosować rozwiązania techniczne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technologiczne uwzględniające wymogi ochrony wód podziemnych;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nakaz zapewnienia właściwych warunków ochrony przeciwpożarowej, zwłaszcza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zaopatrzenia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wodę, dojazdu pożarowego, lokalizacji obiektów względem siebie oraz możliwości prowadzenia działań ratowniczych,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odrębnymi.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b/>
          <w:i w:val="0"/>
          <w:caps w:val="0"/>
          <w:strike w:val="0"/>
          <w:color w:val="000000"/>
          <w:sz w:val="22"/>
          <w:u w:val="none" w:color="000000"/>
          <w:vertAlign w:val="baseline"/>
        </w:rPr>
        <w:t>W zakresie zasad modernizacji, rozbudowy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budowy systemów komunikacji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infrastruktury technicznej ustala się: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obsługę komunikacyjną wszystkich terenów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granicach planu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przyległych dróg publicznych, dróg wewnętrznych zlokalizowanych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granicach oraz poza obszarem opracowania planu oraz dojść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dojazdów stosownie do przepisów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dla nieruchomości mających dostęp do dróg różnych kategorii, obsługa komunikacyjna powinna odbywać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drogi posiadającej niższą kategorię;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obrębie poszczególnych terenów należy zapewnić, odpowiednią liczbę miejsc postojowych oraz garażowych, zaspokajającą potrzeby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parkowania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postoju samochodów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warunków technicznych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przepisach odrębnych, jednak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mniej niż:</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dla obiektów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lokali usługowych – min.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stanowiska na każde rozpoczęte 100,0 m</w:t>
      </w:r>
      <w:r>
        <w:rPr>
          <w:rFonts w:ascii="Times New Roman" w:eastAsia="Times New Roman" w:hAnsi="Times New Roman" w:cs="Times New Roman"/>
          <w:b w:val="0"/>
          <w:i w:val="0"/>
          <w:caps w:val="0"/>
          <w:strike w:val="0"/>
          <w:color w:val="000000"/>
          <w:sz w:val="22"/>
          <w:u w:val="none" w:color="000000"/>
          <w:vertAlign w:val="superscript"/>
        </w:rPr>
        <w:t>2</w:t>
      </w:r>
      <w:r>
        <w:rPr>
          <w:rFonts w:ascii="Times New Roman" w:eastAsia="Times New Roman" w:hAnsi="Times New Roman" w:cs="Times New Roman"/>
          <w:b w:val="0"/>
          <w:i w:val="0"/>
          <w:caps w:val="0"/>
          <w:strike w:val="0"/>
          <w:color w:val="000000"/>
          <w:sz w:val="22"/>
          <w:u w:val="none" w:color="000000"/>
          <w:vertAlign w:val="baseline"/>
        </w:rPr>
        <w:t xml:space="preserve"> powierzchni użytkowej,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należy zapewnić miejsca przeznaczone na parkowanie pojazdów zaopatrzonych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kartę parkingową stosownie do przepisów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dopuszczenie lokalizacji na obszarze planu urządzeń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obiektów budowlanych infrastruktury technicznej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obsługą terenu objętego planem;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dopuszczenie przebudowy sieci uzbrojenia technicznego, kolidujących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projektowanym zainwestowaniem, na warunkach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przepisach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zakresie zaopatrzenia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wodę: powiązanie terenu objętego planem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istniejącym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projektowanym układem sieci wodociągowej,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przebudowę, rozbudowę, wymianę, sieci wodociągowej;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 zakresie odprowadzania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unieszkodliwiania ścieków komunalnych: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odprowadzanie ścieków komunalnych do istniejącej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projektowanej sieci kanalizacji sanitarnej, na warunkach określonych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zarządcą sieci,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odrębnymi,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 czasu realizacji sieci kanalizacyjnej powiązanej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gminnym systemem kanalizacji 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braku możliwości technicznych podłączenia do sieci zezwala się na lokalizację zbiorników bezodpływowych lub indywidualnych oczyszczalni ścieków;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 zakresie odprowadzania wód opadowych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roztopowych: odprowadzanie wód opadowych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roztopowych do sieci kanalizacji deszczowej lub na własny teren nieutwardzony, do dołów chłonnych lub zbiorników retencyjnych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możliwościami funkcji odparowującej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rozsączającej,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przepisów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w zakresie zaopatrzenia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energię elektryczną:</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obsługę poprzez istniejące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projektowane linie kablowe podziemne nn przyłączone do sieci SN poprzez istniejące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projektowane elektroenergetyczne stacje transformatorowe,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dopuszczenie wykorzystania odnawialnych źródeł energii pozyskanej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urządzeń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obiektów do produkcji energii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odnawialnych źródeł energii,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obowiązujących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 przepisów;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 zakresie sieci telekomunikacyjnej – obsługę poprzez istniejące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projektowane sieci telekomunikacyjne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przepisów odrębnych;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dla zaopatrzenia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energię cieplną dopuszcza się wykorzystanie źródeł grzewczych na paliwo gazowe, płynne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stałe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zastrzeżeniem §6 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w zakresie sieci systemu melioracji wodnej: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zachowanie istniejącego systemu melioracji wodnej,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przypadku konieczności jego naruszenia lub powstania kolizji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planowanymi inwestycjami, należy zastosować rozwiązania zastępcze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uwzględnieniem przepisów odrębnych,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dopuszczenie realizacji nowych elementów systemów melioracji wodnej,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odrębnymi.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b/>
          <w:i w:val="0"/>
          <w:caps w:val="0"/>
          <w:strike w:val="0"/>
          <w:color w:val="000000"/>
          <w:sz w:val="22"/>
          <w:u w:val="none" w:color="000000"/>
          <w:vertAlign w:val="baseline"/>
        </w:rPr>
        <w:t>W zakresie ustaleń dotyczących sposobów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terminów tymczasowego zagospodarowania, urządzania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użytkowania terenów: </w:t>
      </w:r>
      <w:r>
        <w:rPr>
          <w:rFonts w:ascii="Times New Roman" w:eastAsia="Times New Roman" w:hAnsi="Times New Roman" w:cs="Times New Roman"/>
          <w:b w:val="0"/>
          <w:i w:val="0"/>
          <w:caps w:val="0"/>
          <w:strike w:val="0"/>
          <w:color w:val="000000"/>
          <w:sz w:val="22"/>
          <w:u w:val="none" w:color="000000"/>
          <w:vertAlign w:val="baseline"/>
        </w:rPr>
        <w:t>w granicach planu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występują obszary tymczasowego zagospodarowania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użytkowania,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ustala się sposobów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terminów ich zagospodarowania.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Ustalenia szczegółowe dotyczące poszczególnych terenów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b w:val="0"/>
          <w:i w:val="0"/>
          <w:caps w:val="0"/>
          <w:strike w:val="0"/>
          <w:color w:val="000000"/>
          <w:sz w:val="22"/>
          <w:u w:val="none" w:color="000000"/>
          <w:vertAlign w:val="baseline"/>
        </w:rPr>
        <w:t>Ustalenia dla terenów oznaczonych na rysunku planu symbolami:</w:t>
      </w:r>
      <w:r>
        <w:rPr>
          <w:rFonts w:ascii="Times New Roman" w:eastAsia="Times New Roman" w:hAnsi="Times New Roman" w:cs="Times New Roman"/>
          <w:b/>
          <w:i w:val="0"/>
          <w:caps w:val="0"/>
          <w:strike w:val="0"/>
          <w:color w:val="000000"/>
          <w:sz w:val="22"/>
          <w:u w:val="none" w:color="000000"/>
          <w:vertAlign w:val="baseline"/>
        </w:rPr>
        <w:t xml:space="preserve"> 1Up, 2Up, 3Up, 4Up, 5Up, 6Up: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przeznaczenie terenu – tereny zabudowy usługowej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usług publicznych;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minimalna powierzchnia nowo wydzielanych działek – 600,0 m</w:t>
      </w:r>
      <w:r>
        <w:rPr>
          <w:rFonts w:ascii="Times New Roman" w:eastAsia="Times New Roman" w:hAnsi="Times New Roman" w:cs="Times New Roman"/>
          <w:b w:val="0"/>
          <w:i w:val="0"/>
          <w:caps w:val="0"/>
          <w:strike w:val="0"/>
          <w:color w:val="000000"/>
          <w:sz w:val="22"/>
          <w:u w:val="none" w:color="000000"/>
          <w:vertAlign w:val="superscript"/>
        </w:rPr>
        <w:t>2</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warunki zabudowy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zagospodarowania terenu: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dopuszczalne obiekty towarzyszące – urządzenia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obiekty budowlane infrastruktury technicznej, obiekty małej architektury oraz dojścia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dojazdy,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powierzchnia zabudowy – maksymalnie 40% powierzchni działki budowlanej,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intensywność zabudowy jako wskaźnik powierzchni całkowitej zabudowy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odniesieniu do powierzchni działki budowlanej od 0,01 do 1,2,</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minimalna powierzchnia biologicznie czynna – 25% powierzchni działki budowlanej,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wysokość zabudowy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większa niż 10,0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geometria dachów: dachy dwuspadowe lub wielospadowe,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nachyleniu głównych połaci dachowych do 45º lub dachy płaskie;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zasady obsługi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komunikacji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infrastruktury technicznej –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Ustalenia dla terenów oznaczonych na rysunku planu symbolami:</w:t>
      </w:r>
      <w:r>
        <w:rPr>
          <w:rFonts w:ascii="Times New Roman" w:eastAsia="Times New Roman" w:hAnsi="Times New Roman" w:cs="Times New Roman"/>
          <w:b/>
          <w:i w:val="0"/>
          <w:caps w:val="0"/>
          <w:strike w:val="0"/>
          <w:color w:val="000000"/>
          <w:sz w:val="22"/>
          <w:u w:val="none" w:color="000000"/>
          <w:vertAlign w:val="baseline"/>
        </w:rPr>
        <w:t xml:space="preserve"> 1US, 2US, 3US: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przeznaczenie terenu – tereny usług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minimalna powierzchnia nowo wydzielanych działek – 1000,0 m</w:t>
      </w:r>
      <w:r>
        <w:rPr>
          <w:rFonts w:ascii="Times New Roman" w:eastAsia="Times New Roman" w:hAnsi="Times New Roman" w:cs="Times New Roman"/>
          <w:b w:val="0"/>
          <w:i w:val="0"/>
          <w:caps w:val="0"/>
          <w:strike w:val="0"/>
          <w:color w:val="000000"/>
          <w:sz w:val="22"/>
          <w:u w:val="none" w:color="000000"/>
          <w:vertAlign w:val="superscript"/>
        </w:rPr>
        <w:t>2</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warunki zabudowy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zagospodarowania terenu: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dopuszczalne obiekty towarzyszące: urządzenia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obiekty budowlane infrastruktury technicznej, obiekty małej architektury, dojścia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dojazdy,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powierzchnia zabudowy – maksymalnie 15% powierzchni działki budowlanej,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intensywność zabudowy jako wskaźnik powierzchni całkowitej zabudowy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odniesieniu do powierzchni działki budowlanej od 0,01 do 0,4,</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minimalna powierzchnia biologicznie czynna – 40% powierzchni działki budowlanej,</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wysokość zabudowy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większa niż 10,0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geometria dachów: dachy dwuspadowe lub wielospadowe,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nachyleniu głównych połaci dachowych do 45º lub dachy płaskie;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Zasady obsługi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komunikacji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infrastruktury technicznej –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b w:val="0"/>
          <w:i w:val="0"/>
          <w:caps w:val="0"/>
          <w:strike w:val="0"/>
          <w:color w:val="000000"/>
          <w:sz w:val="22"/>
          <w:u w:val="none" w:color="000000"/>
          <w:vertAlign w:val="baseline"/>
        </w:rPr>
        <w:t>Ustalenia dla terenów oznaczonego na rysunku planu symbolem</w:t>
      </w:r>
      <w:r>
        <w:rPr>
          <w:rFonts w:ascii="Times New Roman" w:eastAsia="Times New Roman" w:hAnsi="Times New Roman" w:cs="Times New Roman"/>
          <w:b/>
          <w:i w:val="0"/>
          <w:caps w:val="0"/>
          <w:strike w:val="0"/>
          <w:color w:val="000000"/>
          <w:sz w:val="22"/>
          <w:u w:val="none" w:color="000000"/>
          <w:vertAlign w:val="baseline"/>
        </w:rPr>
        <w:t xml:space="preserve"> 1ZP, 2ZP, 3ZP, 4ZP, 5ZP: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przeznaczenie terenu – tereny zieleni urządzonej;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warunki zabudowy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zagospodarowania terenu: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ustala się zakaz lokalizacji budynków,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dopuszczalne obiekty towarzyszące – urządzenia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obiekty budowlane infrastruktury technicznej, budowle sportowe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rekreacyjne, dojścia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dojazdy,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minimalna powierzchnia biologicznie czynna – 60% powierzchni działki gruntu;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zasady obsługi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komunikacji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infrastruktury technicznej –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 xml:space="preserve">Ustalenia dla terenu oznaczonego na rysunku planu symbolami </w:t>
      </w:r>
      <w:r>
        <w:rPr>
          <w:rFonts w:ascii="Times New Roman" w:eastAsia="Times New Roman" w:hAnsi="Times New Roman" w:cs="Times New Roman"/>
          <w:b/>
          <w:i w:val="0"/>
          <w:caps w:val="0"/>
          <w:strike w:val="0"/>
          <w:color w:val="000000"/>
          <w:sz w:val="22"/>
          <w:u w:val="none" w:color="000000"/>
          <w:vertAlign w:val="baseline"/>
        </w:rPr>
        <w:t>KDW</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przeznaczenie terenu </w:t>
      </w:r>
      <w:r>
        <w:rPr>
          <w:rFonts w:ascii="Times New Roman" w:eastAsia="Times New Roman" w:hAnsi="Times New Roman" w:cs="Times New Roman"/>
          <w:b/>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xml:space="preserve"> teren dróg wewnętrznych;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szerokość dróg wewnętrznych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liniach rozgraniczających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rysunkiem planu;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liniach rozgraniczających dróg wewnętrznych dopuszcza się lokalizację sieci uzbrojenia technicznego, obiektów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urządzeń infrastruktury technicznej oraz urządzenie zieleni,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odrębnymi</w:t>
      </w:r>
      <w:r>
        <w:rPr>
          <w:rFonts w:ascii="Times New Roman" w:eastAsia="Times New Roman" w:hAnsi="Times New Roman" w:cs="Times New Roman"/>
          <w:b/>
          <w:i w:val="0"/>
          <w:caps w:val="0"/>
          <w:strike w:val="0"/>
          <w:color w:val="000000"/>
          <w:sz w:val="22"/>
          <w:u w:val="none" w:color="000000"/>
          <w:vertAlign w:val="baseline"/>
        </w:rPr>
        <w:t>.</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Ustalenia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b w:val="0"/>
          <w:i w:val="0"/>
          <w:caps w:val="0"/>
          <w:strike w:val="0"/>
          <w:color w:val="000000"/>
          <w:sz w:val="22"/>
          <w:u w:val="none" w:color="000000"/>
          <w:vertAlign w:val="baseline"/>
        </w:rPr>
        <w:t>Stawka procentowa dla ustalenia opłat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tytułu wzrostu wartości nieruchomości,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zagospodarowaniu przestrzennym wynosi: 0,1%.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b w:val="0"/>
          <w:i w:val="0"/>
          <w:caps w:val="0"/>
          <w:strike w:val="0"/>
          <w:color w:val="000000"/>
          <w:sz w:val="22"/>
          <w:u w:val="none" w:color="000000"/>
          <w:vertAlign w:val="baseline"/>
        </w:rPr>
        <w:t>Wykonanie uchwały powierza się Burmistrzowi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w:t>
      </w:r>
    </w:p>
    <w:p w:rsidR="00A77B3E">
      <w:pPr>
        <w:keepNext w:val="0"/>
        <w:keepLines/>
        <w:spacing w:before="120" w:after="120" w:line="240" w:lineRule="auto"/>
        <w:ind w:left="0" w:right="0" w:firstLine="340"/>
        <w:jc w:val="both"/>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po upływie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jej ogłoszenia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Wielkopolskiego.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992" w:right="1020" w:bottom="992" w:left="1020" w:header="708" w:footer="708" w:gutter="0"/>
          <w:cols w:space="708"/>
          <w:docGrid w:linePitch="360"/>
        </w:sectPr>
      </w:pPr>
      <w:r>
        <w:rPr>
          <w:rFonts w:ascii="Times New Roman" w:eastAsia="Times New Roman" w:hAnsi="Times New Roman" w:cs="Times New Roman"/>
          <w:b/>
          <w:i w:val="0"/>
          <w:caps w:val="0"/>
          <w:strike w:val="0"/>
          <w:color w:val="000000"/>
          <w:sz w:val="22"/>
          <w:u w:val="none" w:color="000000"/>
          <w:vertAlign w:val="baseline"/>
        </w:rPr>
        <w:br w:type="page"/>
      </w:r>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1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6" w:history="1">
        <w:r>
          <w:rPr>
            <w:rStyle w:val="Hyperlink"/>
            <w:rFonts w:ascii="Times New Roman" w:eastAsia="Times New Roman" w:hAnsi="Times New Roman" w:cs="Times New Roman"/>
            <w:b w:val="0"/>
            <w:i w:val="0"/>
            <w:caps w:val="0"/>
            <w:strike w:val="0"/>
            <w:color w:val="000000"/>
            <w:sz w:val="22"/>
            <w:u w:val="none" w:color="000000"/>
            <w:vertAlign w:val="baseline"/>
          </w:rPr>
          <w:t>Zalacznik1.pdf</w:t>
        </w:r>
      </w:hyperlink>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7"/>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2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8" w:history="1">
        <w:r>
          <w:rPr>
            <w:rStyle w:val="Hyperlink"/>
            <w:rFonts w:ascii="Times New Roman" w:eastAsia="Times New Roman" w:hAnsi="Times New Roman" w:cs="Times New Roman"/>
            <w:b w:val="0"/>
            <w:i w:val="0"/>
            <w:caps w:val="0"/>
            <w:strike w:val="0"/>
            <w:color w:val="000000"/>
            <w:sz w:val="22"/>
            <w:u w:val="none" w:color="000000"/>
            <w:vertAlign w:val="baseline"/>
          </w:rPr>
          <w:t>Zalacznik2.pdf</w:t>
        </w:r>
      </w:hyperlink>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9"/>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3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10" w:history="1">
        <w:r>
          <w:rPr>
            <w:rStyle w:val="Hyperlink"/>
            <w:rFonts w:ascii="Times New Roman" w:eastAsia="Times New Roman" w:hAnsi="Times New Roman" w:cs="Times New Roman"/>
            <w:b w:val="0"/>
            <w:i w:val="0"/>
            <w:caps w:val="0"/>
            <w:strike w:val="0"/>
            <w:color w:val="000000"/>
            <w:sz w:val="22"/>
            <w:u w:val="none" w:color="000000"/>
            <w:vertAlign w:val="baseline"/>
          </w:rPr>
          <w:t>Zalacznik3.pdf</w:t>
        </w:r>
      </w:hyperlink>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11"/>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4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12" w:history="1">
        <w:r>
          <w:rPr>
            <w:rStyle w:val="Hyperlink"/>
            <w:rFonts w:ascii="Times New Roman" w:eastAsia="Times New Roman" w:hAnsi="Times New Roman" w:cs="Times New Roman"/>
            <w:b w:val="0"/>
            <w:i w:val="0"/>
            <w:caps w:val="0"/>
            <w:strike w:val="0"/>
            <w:color w:val="000000"/>
            <w:sz w:val="22"/>
            <w:u w:val="none" w:color="000000"/>
            <w:vertAlign w:val="baseline"/>
          </w:rPr>
          <w:t>Zalacznik4.pdf</w:t>
        </w:r>
      </w:hyperlink>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13"/>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5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14" w:history="1">
        <w:r>
          <w:rPr>
            <w:rStyle w:val="Hyperlink"/>
            <w:rFonts w:ascii="Times New Roman" w:eastAsia="Times New Roman" w:hAnsi="Times New Roman" w:cs="Times New Roman"/>
            <w:b w:val="0"/>
            <w:i w:val="0"/>
            <w:caps w:val="0"/>
            <w:strike w:val="0"/>
            <w:color w:val="000000"/>
            <w:sz w:val="22"/>
            <w:u w:val="none" w:color="000000"/>
            <w:vertAlign w:val="baseline"/>
          </w:rPr>
          <w:t>Zalacznik5.pdf</w:t>
        </w:r>
      </w:hyperlink>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15"/>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6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16" w:history="1">
        <w:r>
          <w:rPr>
            <w:rStyle w:val="Hyperlink"/>
            <w:rFonts w:ascii="Times New Roman" w:eastAsia="Times New Roman" w:hAnsi="Times New Roman" w:cs="Times New Roman"/>
            <w:b w:val="0"/>
            <w:i w:val="0"/>
            <w:caps w:val="0"/>
            <w:strike w:val="0"/>
            <w:color w:val="000000"/>
            <w:sz w:val="22"/>
            <w:u w:val="none" w:color="000000"/>
            <w:vertAlign w:val="baseline"/>
          </w:rPr>
          <w:t>Zalacznik6.pdf</w:t>
        </w:r>
      </w:hyperlink>
    </w:p>
    <w:p w:rsidR="00A77B3E">
      <w:pPr>
        <w:keepNext w:val="0"/>
        <w:keepLines/>
        <w:spacing w:before="280" w:after="280" w:line="360" w:lineRule="auto"/>
        <w:ind w:left="4535" w:right="0" w:firstLine="0"/>
        <w:jc w:val="left"/>
        <w:rPr>
          <w:rFonts w:ascii="Times New Roman" w:eastAsia="Times New Roman" w:hAnsi="Times New Roman" w:cs="Times New Roman"/>
          <w:b w:val="0"/>
          <w:i w:val="0"/>
          <w:caps w:val="0"/>
          <w:strike w:val="0"/>
          <w:color w:val="000000"/>
          <w:sz w:val="22"/>
          <w:u w:val="none" w:color="000000"/>
          <w:vertAlign w:val="baseline"/>
        </w:rPr>
        <w:sectPr>
          <w:footerReference w:type="default" r:id="rId17"/>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t>Załącznik Nr 7 do uchwały</w:t>
      </w:r>
      <w:r>
        <w:rPr>
          <w:rFonts w:ascii="Times New Roman" w:eastAsia="Times New Roman" w:hAnsi="Times New Roman" w:cs="Times New Roman"/>
          <w:b w:val="0"/>
          <w:i w:val="0"/>
          <w:caps w:val="0"/>
          <w:strike w:val="0"/>
          <w:color w:val="000000"/>
          <w:sz w:val="22"/>
          <w:u w:val="none" w:color="000000"/>
          <w:vertAlign w:val="baseline"/>
        </w:rPr>
        <w:t xml:space="preserve"> Nr XLIV/374/22</w:t>
      </w:r>
      <w:r>
        <w:rPr>
          <w:rFonts w:ascii="Times New Roman" w:eastAsia="Times New Roman" w:hAnsi="Times New Roman" w:cs="Times New Roman"/>
          <w:b w:val="0"/>
          <w:i w:val="0"/>
          <w:caps w:val="0"/>
          <w:strike w:val="0"/>
          <w:color w:val="000000"/>
          <w:sz w:val="22"/>
          <w:u w:val="none" w:color="000000"/>
          <w:vertAlign w:val="baseline"/>
        </w:rPr>
        <w:br/>
      </w:r>
      <w:r>
        <w:t>Rady Miasta i 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sz w:val="22"/>
        </w:rPr>
        <w:t>z dnia 27 września 2022 r.</w:t>
      </w:r>
      <w:r>
        <w:rPr>
          <w:rFonts w:ascii="Times New Roman" w:eastAsia="Times New Roman" w:hAnsi="Times New Roman" w:cs="Times New Roman"/>
          <w:b w:val="0"/>
          <w:i w:val="0"/>
          <w:caps w:val="0"/>
          <w:strike w:val="0"/>
          <w:color w:val="000000"/>
          <w:sz w:val="22"/>
          <w:u w:val="none" w:color="000000"/>
          <w:vertAlign w:val="baseline"/>
        </w:rPr>
        <w:br/>
      </w:r>
      <w:hyperlink r:id="rId18" w:history="1">
        <w:r>
          <w:rPr>
            <w:rStyle w:val="Hyperlink"/>
            <w:rFonts w:ascii="Times New Roman" w:eastAsia="Times New Roman" w:hAnsi="Times New Roman" w:cs="Times New Roman"/>
            <w:b w:val="0"/>
            <w:i w:val="0"/>
            <w:caps w:val="0"/>
            <w:strike w:val="0"/>
            <w:color w:val="000000"/>
            <w:sz w:val="22"/>
            <w:u w:val="none" w:color="000000"/>
            <w:vertAlign w:val="baseline"/>
          </w:rPr>
          <w:t>Zalacznik7.pdf</w:t>
        </w:r>
      </w:hyperlink>
    </w:p>
    <w:p w:rsidR="00A77B3E">
      <w:pPr>
        <w:spacing w:before="120" w:after="120" w:line="360" w:lineRule="auto"/>
        <w:ind w:left="513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XLIV/374/22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ab/>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Rozstrzygnięcie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sposobie rozpatrzenia uwag do projektu planu</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podstawie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2003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zagospodarowaniu przestrzennym (t.j.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503) Rada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rozstrzyga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sposobie rozpatrzenia uwag do projektu planu.</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Projekt miejscowego planu zagospodarowania przestrzennego dla terenów położonych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obrębach ewidencyjnych Bogdanowo, Czeszewo, Jeziorki, Chojna, Laskownica, Morakowo wyłożono do publicznego wglądu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dniach od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dniach od 01.07.2022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do dnia 22.07.2022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Dnia 21.07.2022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odbyła się dyskusja publiczna nad rozwiązaniami przyjętymi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projekcie. Uwagi do projektu planu przyjmowano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08.08.2022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ustawowym terminie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zagospodarowaniu przestrzennym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2003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(t.j.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503) do projektu miejscowego planu zagospodarowania przestrzennego dla terenów położonych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obrębach ewidencyjnych Bogdanowo, Czeszewo, Jeziorki, Chojna, Laskownica, Morakowo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wniesiono uwag.</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powyższym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rozstrzyga się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sposobie ich rozpatrzenia.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9"/>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ab/>
      </w:r>
    </w:p>
    <w:p w:rsidR="00A77B3E">
      <w:pPr>
        <w:spacing w:before="120" w:after="120" w:line="360" w:lineRule="auto"/>
        <w:ind w:left="513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XLIV/374/22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Rozstrzygnięcie o sposobie realizacji, zapisanych w planie, inwestycji z zakresu infrastruktury technicznej, które należą do zadań własnych gminy oraz zasadach ich finansowania, zgodnie z przepisami o finansach publicznych</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podstawie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ustawy z dnia 27 marca 2003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 planowaniu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zagospodarowaniu przestrzennym (t.j. Dz. U. z 2022 r. poz. 503), Rada Miasta i Gminy Gołańcz rozstrzyga o sposobie realizacji inwestycji z zakresu infrastruktury technicznej, które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należą do zadań własnych gminy oraz zasadach ich finansowania, zgodnie z przepisami o finansach publicznych.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Inwestycje z zakresu infrastruktury technicznej, służące zaspokajaniu zbiorowych potrzeb mieszkańców, stanowią zgodnie z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ustawy z dnia 8 marca 1990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samorządzie gminnym (t.j. Dz. U. z 2022 r. poz. 559 z późn. zm.) zadania własne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Wykaz terenów funkcjonalnych, w których zapisane zostały inwestycje z zakresu infrastruktury technicznej należące do zadań własnych gminy: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06"/>
        <w:gridCol w:w="2420"/>
        <w:gridCol w:w="68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L.p.</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Symbole terenów funkcjonalnych</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rPr>
              <w:t>Zapisane w planie przeznaczenie terenu (opis inwestycji)</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- 1 -</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- 2 -</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rPr>
              <w:t>- 3 -</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1Up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zabudowy usługowej w zakresie usług publicznych</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2Up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zabudowy usługowej w zakresie usług publicznych</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3Up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zabudowy usługowej w zakresie usług publicznych</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4Up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zabudowy usługowej w zakresie usług publicznych</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5.</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5Up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zabudowy usługowej w zakresie usług publicznych</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6.</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6UP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zabudowy usługowej w zakresie usług publicznych</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7.</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1US</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usług sportu i rekreacji</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2US</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usług sportu i rekreacji</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9.</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3US</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usług sportu i rekreacji</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10.</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1ZP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zieleni urządzonej</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11.</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2ZP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zieleni urządzonej</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12.</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3ZP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zieleni urządzonej</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13.</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4ZP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zieleni urządzonej</w:t>
            </w:r>
          </w:p>
        </w:tc>
      </w:tr>
      <w:tr>
        <w:tblPrEx>
          <w:tblW w:w="5000" w:type="pct"/>
          <w:tblLayout w:type="fixed"/>
          <w:tblCellMar>
            <w:left w:w="108" w:type="dxa"/>
            <w:right w:w="108" w:type="dxa"/>
          </w:tblCellMar>
        </w:tblPrEx>
        <w:trPr>
          <w:trHeight w:val="262"/>
        </w:trPr>
        <w:tc>
          <w:tcPr>
            <w:tcW w:w="7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14.</w:t>
            </w:r>
          </w:p>
        </w:tc>
        <w:tc>
          <w:tcPr>
            <w:tcW w:w="2250"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5ZP</w:t>
            </w:r>
          </w:p>
        </w:tc>
        <w:tc>
          <w:tcPr>
            <w:tcW w:w="6375" w:type="dxa"/>
            <w:tcBorders>
              <w:top w:val="single" w:sz="2" w:space="0" w:color="auto"/>
              <w:left w:val="single" w:sz="2" w:space="0" w:color="auto"/>
              <w:bottom w:val="single" w:sz="2" w:space="0" w:color="auto"/>
              <w:right w:val="single" w:sz="2" w:space="0" w:color="auto"/>
            </w:tcBorders>
            <w:noWrap w:val="0"/>
            <w:tcMar>
              <w:top w:w="10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t>tereny zieleni urządzonej</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Opis sposobu realizacji inwestycji wskazanych w § 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Realizacja inwestycji przebiegać będzie zgodnie z obowiązującymi przepisami,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między innymi ustawą Prawo budowlane, ustawą Prawo zamówień publicznych, ustawą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samorządzie gminnym, ustawą o gospodarce komunalnej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ochrony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Sposób realizacji inwestycji określonych w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może ulegać modyfikacji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dokonującym się postępem techniczno-technologicznym, zgodnie z zasadą stosowania najlepszej dostępnej techniki, o ile nie nastąpi naruszenie ustaleń planu.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Realizacja i finansowanie w zakresie infrastruktury technicznej inwestycji nie wyszczególnionych w § 1, jest przedmiotem umowy zainteresowanych stron.</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Finansowanie inwestycji w zakresie infrastruktury technicznej, ujętych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planie, które należą do zadań własnych gminy, podlega przepisom ustawy z dnia 27 sierpnia 2009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 (t.j. Dz. U. z 2022 r. poz. 1634 z późn. zm.), przy czym środki finansowe pochodzić będą z budżetu miasta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gminy Gołańcz oraz środków zewnętrznych,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 Unii Europejskiej.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0"/>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Inwestycje w zakresie przesyłania i dystrybucji paliw gazowych, energii elektrycznej lub ciepła realizowane będą w sposób określony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 7 ustawy z dnia 10 kwietnia 1997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Prawo energetyczne (t.j. Dz. U. z 2022 r. poz. 1385 z późn. zm.).</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jc w:val="center"/>
        <w:rPr>
          <w:szCs w:val="20"/>
        </w:rPr>
      </w:pPr>
      <w:r>
        <w:rPr>
          <w:szCs w:val="20"/>
        </w:rPr>
        <w:t>do uchwały nr XLIV/374/22</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jc w:val="center"/>
        <w:rPr>
          <w:szCs w:val="20"/>
        </w:rPr>
      </w:pPr>
      <w:r>
        <w:rPr>
          <w:szCs w:val="20"/>
        </w:rPr>
        <w:t>Rady Miasta i Gminy Gołańcz</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jc w:val="center"/>
        <w:rPr>
          <w:szCs w:val="20"/>
        </w:rPr>
      </w:pPr>
      <w:r>
        <w:rPr>
          <w:szCs w:val="20"/>
        </w:rPr>
        <w:t>z dnia 27 września 2022 r.</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Uchwałą Nr XXXV/313/21 Rady Miasta i Gminy Gołańcz z dnia 23 listopada 2021 r. w sprawie przystąpienia do sporządzenia miejscowego planu zagospodarowania przestrzennego dla terenów położonych w obrębach ewidencyjnych Bogdanowo, Czeszewo, Jeziorki, Chojna, Laskownica, Morakowo przystąpiono do opracowania niniejszego planu. </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Celem opracowania w/w miejscowego planu zagospodarowania przestrzennego jest realizacja terenów usług publicznych, sportu i rekreacji oraz terenów zieleni zgodnie z bieżącymi potrzebami wynikającymi z wniosków składanych przez mieszkańców gminy. Opracowanie miejscowego planu zagospodarowania przestrzennego pozwala realizować planowane inwestycje w sposób zapewniający optymalne wykorzystanie terenów, przy jednoczesnym zabezpieczeniu ładu przestrzennego w granicach miasta i gminy.</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Procedura sporządzania planu miejscowego przeprowadzona została w trybie ustawy z dnia 27 marca 2003 r. o planowaniu i zagospodarowaniu przestrzennym (t.j. Dz. U. z 2022 r. poz. 503). W trakcie w/w procedury Burmistrz Miasta i Gminy Gołańcz wystąpił na podstawie art. 53 oraz art. 54 ustawy z dnia 3 października 2008 r. o udostępnianiu informacji o środowisku i jego ochronie, udziale społeczeństwa w ochronie środowiska oraz o ocenach oddziaływania na środowisko (t.j. Dz. U. z 2022 r. poz. 1029) do Regionalnego Dyrektora Ochrona Środowiska w Poznaniu oraz Państwowego Powiatowego Inspektora Sanitarnego w Wągrowcu o uzgodnienie zakresu i stopnia szczegółowości informacji zawartych w prognozie oddziaływania projektu planu na środowisko. Następnie wystąpił do w/w organów oraz pozostałych organów wymienionych w art. 17 pkt 6 ustawy o planowaniu i zagospodarowaniu przestrzennym o zaopiniowanie i uzgodnienie sporządzanego projektu planu wraz z prognozą oddziaływania na środowisko. </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Zgodnie z art. 15 ust. 1 ustawy z dnia 27 marca 2003 r. o planowaniu i zagospodarowaniu przestrzennym uzasadnienie winno zawierać:</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1.sposób realizacji wymogów wynikających z art. 1 ust. 2-4 w/w ustawy;</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2.zgodność z wynikami analizy, o której mowa w art. 32 ust. 1 w/w ustawy, wraz z datą uchwały rady gminy, o której mowa w art. 32 ust. 2 oraz sposób uwzględnienia uniwersalnego projektowania;</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3.wpływ na finanse publiczne, w tym budżet gminy.</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Stąd też odnosząc się do w/w aspektów należy stwierdzić co następuje.</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Obszar opracowania planu obejmuje wybrane tereny w obrębach ewidencyjnych Bogdanowo, Czeszewo, Jeziorki, Chojna, Laskownica, Morakowo, które stanowią tereny gminne mające służyć społeczności lokalnej. Głównym przeznaczeniem obszarów objętych planem są tereny zieleni urządzonej, które przeznaczone będą pod realizacji parków wiejskich. Funkcją uzupełniającą są tereny zabudowy usługowej w zakresie usług publicznych oraz tereny usług sportu i rekreacji, przeznaczone pod lokalizację m.in. świetlic wiejskich oraz publicznych obiektów sportowych (m.in. boiska sportowe, siłownie zewnętrzne, place zabaw) wraz z niezbędną infrastrukturą. Dla obszaru objętego planem ustalono także przeznaczenie terenów mające funkcje porządkujące istniejące zagospodarowanie terenu, a są to tereny dróg wewnętrznych (KDW).</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Przeznaczenie to nie narusza ustaleń studium uwarunkowań i kierunków zagospodarowania przestrzennego Miasta i Gminy Gołańcz.</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Wymagania ładu przestrzennego, w tym urbanistyki i architektury oraz walory architektoniczne i krajobrazowe zostały uwzględnione poprzez określenie powierzchni zabudowy, intensywności zabudowy, udziału powierzchni biologicznie czynnej. Ustalono również wysokości dla projektowanej zabudowy, rodzaj i geometrię dachów i ich pokrycie. Parametry dla nowej zabudowy zostały określone w nawiązaniu do istniejącej zabudowy usługowej w zakresie usług publicznych zlokalizowanej w najbliższym sąsiedztwie. W ten sposób projekt zapewnia efektywne wykorzystanie przestrzeni oraz jej walorów ekonomicznych. </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Wymagania ochrony środowiska zachowano poprzez ustalenia dotyczące zaopatrzenia w energię cieplną, w tym dopuszczenie stosowania systemów wykorzystujących źródła odnawialne. Zapisy odnoszące się do zachowania dopuszczalnych poziomów hałasu również stanowią wypełnienie wymogów środowiskowych. Ponadto, w planie zawarto ustalenia zapewniające ochronę gleby i powierzchni ziemi poprzez odpowiednie ustalenia dotyczące gospodarki odpadami.</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W granicach obszaru objętego planem zlokalizowane są obiekty ujęte w gminnej ewidencji zabytków, objęte ochroną konserwatorską i zlokalizowane na działce o nr ewid. 11/2 obręb Jeziorki oraz działce o nr ewid. 169/2 obręb Laskownica, dla których plan ustala zachowanie charakterystycznej bryły budynku, historycznego wystroju elewacji oraz rozwiązań architektonicznych i materiałowych, z uwzględnieniem przepisów odrębnych.</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Potrzeby obronności i bezpieczeństwa państwa uwzględniono poprzez uwzględnienie wniosków oraz dokonanie uzgodnienia projektu planu z właściwymi instytucjami zajmującymi się obronnością i bezpieczeństwa państwa.</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Potrzeby w zakresie rozwoju infrastruktury technicznej zostały zrealizowane poprzez uwzględnienie przebiegu istniejących sieci uzbrojenia terenu oraz określenie zasad ich modernizacji, a także rozbudowy i budowy nowych sieci infrastruktury technicznej.</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Potrzeby w zakresie uwzględnienie wymagań ładu przestrzennego, efektywnego gospodarowania przestrzenią oraz walorów ekonomicznych przestrzeni realizowane są poprzez kształtowanie struktur przestrzennych przy uwzględnieniu dążenia do minimalizowania transportochłonności układu przestrzennego, lokalizowanie nowej zabudowy mieszkaniowej w sposób umożliwiający mieszkańcom maksymalne wykorzystanie publicznego transportu zbiorowego jako podstawowego środka transportu, zapewnianie rozwiązań przestrzennych, ułatwiających przemieszczanie się pieszych i rowerzystów oraz dążenie do planowania i lokalizowania nowej zabudowy. Plan zapewnia powyższe poprzez fakt, że poszczególne tereny zlokalizowane są w obrębach zwartej zabudowy wsi Bogdanowo, Brdowo, Potulin, Chojna, Jeziorki, Laskownica Wielka, Morakowo i posiadają dostęp do dróg publicznych i wewnętrznych oraz zapewniają właściwą komunikację dla ruchu samochodowego oraz pieszo - rowerowego.</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Poprzez ogłoszenie w miejscowej prasie oraz poprzez zamieszczenie obwieszczenia na urzędowej tablicy ogłoszeń oraz stronie internetowej urzędu zrealizowano wymóg zapewnienia udziału społeczeństwa w pracach nad miejscowym planem zagospodarowania przestrzennego, w tym przy użyciu środków komunikacji elektronicznej. Działania te zapewniły jasność i przejrzystość procedur planistycznych.</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Przy sporządzaniu projektu planu uwzględniono interes publiczny. Opracowanie miejscowego planu zagospodarowania przestrzennego dla przedmiotowego terenu umożliwi określenie dla niego funkcji zgodnej z zamierzeniami inwestycyjnymi właścicieli terenu, w tym gminy Gołańcz.</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Na skutek uchwalenia miejscowego planu zagospodarowania przestrzennego dla części obszaru objętego planem, zakłada się, że nie zmieni się wartość terenu. Plan wyznacza tereny przeznaczone pod inwestycje celu publicznego, które należą do zadań własnych gminy takie jak: realizacja przestrzeni publicznych takich jak tereny zieleni urządzonej (ZP), tereny usług sportu i rekreacji (US), tereny zabudowy usługowej w zakresie usług publicznych (Up). W związku z powyższym nie przewiduje się możliwości pobrania opłaty planistycznej z tytułu wzrostu wartości nieruchomości.</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Analiza zmian w zagospodarowaniu przestrzennym miasta i gminy Gołańcz przyjęta uchwałą Nr XVII/205/16 Rady Miasta i Gminy Gołańcz z dnia 28 kwietnia 2016 r. w sprawie stwierdzenia aktualności studium uwarunkowań i kierunków zagospodarowania przestrzennego gminy Gołańcz oraz miejscowych planów zagospodarowania przestrzennego wskazała, że wybrane tereny w obrębach ewidencyjnych Czeszewo, Chojna i Morakowo częściowo objęte są ustaleniami miejscowego plan zagospodarowania przestrzennego gminy Gołańcz uchwalonego uchwałą nr XXXIX/278/06 Rady Miasta i Gminy Gołańcz z dnia 30 marca 2006 r. dla których wykazano częściową nieaktualność, gdyż zawierają zbyt ogólne ustalenia dotyczące przeznaczenia terenu. W/w analiza wskazuje na konieczność sukcesywnego opracowywania nowych planów dla terenów przewidzianych pod zabudowę, które będą zawierały aktualne i odpowiednio szczegółowe zapisy. Sporządzenie przedmiotowego planu jest więc zasadne i zgodnie z ustaleniami analizy w zagospodarowaniu przestrzennym miasta i gminy Gołańcz.</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Projekt planu przedstawiony został odpowiednim instytucjom w celu zaopiniowania i uzgodnienia stosownie do art. 17 pkt 6 ustawy z dnia 27 marca 2003 r. o planowaniu i zagospodarowaniu przestrzennym (t.j. Dz. U. z 2022 r. poz. 503) oraz ustawy o udostępnianiu informacji o środowisku i jego ochronie, udziale społeczeństwa w ochronie środowiska oraz o ocenach oddziaływania na środowisko (t.j. Dz. U. z 2022 r. poz. 1029 z późn. zm.). Wniesione w opiniach i uzgodnieniach uwagi zostały rozpatrzone i uwzględnione w projekcie planu.</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Projekt planu, wraz z prognozą oddziaływania na środowisko, został wyłożony do publicznego wglądu w terminie: od 01.07.2022 r. do dnia 22.07.2022 r. W trakcie wyłożenia w dniu 21.07.2021 r., przeprowadzona została publiczna dyskusja nad przyjętymi w projekcie rozwiązaniami. W terminie przewidzianym na zbieranie uwag, wynikającym z art. 17 pkt 11 ustawy o planowaniu i zagospodarowaniu przestrzennym, tj. do dnia 08.08.2022 r. nie wniesiono uwag do projektu przedmiotowego planu.</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Zarówno na etapie redagowania planu, jak i rozstrzygania uwag rozpatrywano różne warianty rozwiązań planistycznych. Przyjęto rozwiązania optymalne, będące kompromisem pomiędzy interesem publicznym, a postulatami zainteresowanych.</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Na wszystkich etapach prowadzenia procedury sporządzenia miejscowego planu zagospodarowania przestrzennego dla terenów położonych w obrębach ewidencyjnych Bogdanowo, Czeszewo, Jeziorki, Chojna, Laskownica, Morakowo, w tym na etapie przyjmowania wniosków i uwag do projektu planu uwzględniono konieczność ochrony i przetwarzania danych osobowych, zgodnie z przepisami odrębnymi.</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W procedurze sporządzania w/w miejscowego planu, zapewniono udział społeczeństwa zgodnie z przepisami ustawy o udostępnianiu informacji o środowisku i jego ochronie, udziale społeczeństwa w ochronie środowiska oraz o ocenach oddziaływania na środowisko (t.j. Dz. U. z 2022 r. poz. 1029 z późn. zm.). Na etapie wyłożenia projektu planu do publicznego wglądu nie zostały wniesione uwagi i wnioski w zakresie odpowiadającym art. 40 w/w ustawy dotyczących merytorycznej treści projektu planu, w tym zagadnień dotyczących ochrony środowiska.</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Wobec dopełnienia przewidzianej ustawą z dnia 27 marca 2003 r. o planowaniu i zagospodarowaniu przestrzennym procedury, przedłożono Radzie Miasta i Gminy Gołańcz projekt miejscowego planu zagospodarowania przestrzennego dla terenów położonych w obrębach ewidencyjnych Bogdanowo, Czeszewo, Jeziorki, Chojna, Laskownica, Morakowo.</w:t>
      </w:r>
    </w:p>
    <w:p>
      <w:pPr>
        <w:keepNext w:val="0"/>
        <w:keepLines w:val="0"/>
        <w:widowControl/>
        <w:suppressLineNumbers w:val="0"/>
        <w:shd w:val="clear" w:color="auto" w:fill="auto"/>
        <w:suppressAutoHyphens w:val="0"/>
        <w:spacing w:before="120" w:beforeAutospacing="0" w:after="120" w:afterAutospacing="0" w:line="240" w:lineRule="auto"/>
        <w:ind w:left="283" w:right="0" w:firstLine="227"/>
        <w:contextualSpacing w:val="0"/>
        <w:rPr>
          <w:szCs w:val="20"/>
        </w:rPr>
      </w:pPr>
      <w:r>
        <w:rPr>
          <w:szCs w:val="20"/>
        </w:rPr>
        <w:t>W związku z powyższym podjęcie niniejszej uchwały staje się zasadne.</w:t>
      </w:r>
    </w:p>
    <w:sectPr>
      <w:footerReference w:type="default" r:id="rId21"/>
      <w:endnotePr>
        <w:numFmt w:val="decimal"/>
      </w:endnotePr>
      <w:type w:val="nextPage"/>
      <w:pgSz w:w="11906" w:h="16838" w:code="0"/>
      <w:pgMar w:top="992"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AF7FB99B-575B-4F34-9773-1FA0DBC9E3FA. Projekt</w:t>
          </w:r>
        </w:p>
      </w:tc>
      <w:tc>
        <w:tcPr>
          <w:tcW w:w="3289" w:type="dxa"/>
          <w:tcBorders>
            <w:top w:val="single" w:sz="2" w:space="0" w:color="auto"/>
            <w:left w:val="nil"/>
            <w:bottom w:val="nil"/>
            <w:right w:val="nil"/>
          </w:tcBorders>
          <w:noWrap w:val="0"/>
          <w:tcMar>
            <w:top w:w="10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Zalacznik3.pdf" TargetMode="External" /><Relationship Id="rId11" Type="http://schemas.openxmlformats.org/officeDocument/2006/relationships/footer" Target="footer5.xml" /><Relationship Id="rId12" Type="http://schemas.openxmlformats.org/officeDocument/2006/relationships/hyperlink" Target="Zalacznik4.pdf" TargetMode="External" /><Relationship Id="rId13" Type="http://schemas.openxmlformats.org/officeDocument/2006/relationships/footer" Target="footer6.xml" /><Relationship Id="rId14" Type="http://schemas.openxmlformats.org/officeDocument/2006/relationships/hyperlink" Target="Zalacznik5.pdf" TargetMode="External" /><Relationship Id="rId15" Type="http://schemas.openxmlformats.org/officeDocument/2006/relationships/footer" Target="footer7.xml" /><Relationship Id="rId16" Type="http://schemas.openxmlformats.org/officeDocument/2006/relationships/hyperlink" Target="Zalacznik6.pdf" TargetMode="External" /><Relationship Id="rId17" Type="http://schemas.openxmlformats.org/officeDocument/2006/relationships/footer" Target="footer8.xml" /><Relationship Id="rId18" Type="http://schemas.openxmlformats.org/officeDocument/2006/relationships/hyperlink" Target="Zalacznik7.pdf" TargetMode="Externa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footer" Target="footer10.xml" /><Relationship Id="rId21" Type="http://schemas.openxmlformats.org/officeDocument/2006/relationships/footer" Target="footer1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Zalacznik1.pdf" TargetMode="External" /><Relationship Id="rId7" Type="http://schemas.openxmlformats.org/officeDocument/2006/relationships/footer" Target="footer3.xml" /><Relationship Id="rId8" Type="http://schemas.openxmlformats.org/officeDocument/2006/relationships/hyperlink" Target="Zalacznik2.pdf" TargetMode="Externa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Miasta i Gminy Gołańcz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XLIV/374/22 z dnia 27 września 2022 r.</dc:title>
  <dc:subject>w sprawie miejscowego planu zagospodarowania przestrzennego dla terenów położonych w^obrębach ewidencyjnych Bogdanowo, Czeszewo, Jeziorki, Chojna, Laskownica, Morakowo</dc:subject>
  <dc:creator>Eugeniusz Majchrzak</dc:creator>
  <cp:lastModifiedBy>Eugeniusz Majchrzak</cp:lastModifiedBy>
  <cp:revision>1</cp:revision>
  <dcterms:created xsi:type="dcterms:W3CDTF">2022-09-29T09:52:49Z</dcterms:created>
  <dcterms:modified xsi:type="dcterms:W3CDTF">2022-09-29T09:52:49Z</dcterms:modified>
  <cp:category>Akt prawny</cp:category>
</cp:coreProperties>
</file>