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4618E879" w:rsidR="00987141" w:rsidRPr="00D14DF8" w:rsidRDefault="00987141" w:rsidP="001F189D">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sidR="001F189D">
        <w:rPr>
          <w:rFonts w:ascii="Calibri" w:hAnsi="Calibri" w:cs="Arial"/>
        </w:rPr>
        <w:t>3</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43AA7B27" w:rsidR="00987141" w:rsidRPr="00D14DF8" w:rsidRDefault="00987141" w:rsidP="001F189D">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r w:rsidR="007F0158">
        <w:rPr>
          <w:rFonts w:ascii="Calibri" w:hAnsi="Calibri" w:cs="Arial"/>
          <w:b/>
          <w:sz w:val="28"/>
        </w:rPr>
        <w:t>.........................</w:t>
      </w:r>
      <w:bookmarkStart w:id="0" w:name="_GoBack"/>
      <w:bookmarkEnd w:id="0"/>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Protokołu odbioru końcowego. </w:t>
      </w:r>
      <w:r w:rsidRPr="000C06D3">
        <w:rPr>
          <w:rFonts w:ascii="Calibri" w:hAnsi="Calibri" w:cs="Arial"/>
          <w:color w:val="auto"/>
          <w:sz w:val="22"/>
        </w:rPr>
        <w:t xml:space="preserve">Odbiorowi końcowemu towarzyszy skompletowanie dokumentacji </w:t>
      </w:r>
      <w:r w:rsidRPr="000C06D3">
        <w:rPr>
          <w:rFonts w:ascii="Calibri" w:hAnsi="Calibri" w:cs="Arial"/>
          <w:color w:val="auto"/>
          <w:sz w:val="22"/>
        </w:rPr>
        <w:lastRenderedPageBreak/>
        <w:t>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1CAE2D40" w:rsidR="00987141" w:rsidRPr="000C06D3" w:rsidRDefault="00987141" w:rsidP="00CF030F">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w:t>
      </w:r>
      <w:r w:rsidR="001F189D">
        <w:rPr>
          <w:rFonts w:ascii="Calibri" w:hAnsi="Calibri" w:cs="Arial"/>
          <w:sz w:val="22"/>
        </w:rPr>
        <w:t>udzielenie zamówieni</w:t>
      </w:r>
      <w:r w:rsidR="00CF030F">
        <w:rPr>
          <w:rFonts w:ascii="Calibri" w:hAnsi="Calibri" w:cs="Arial"/>
          <w:sz w:val="22"/>
        </w:rPr>
        <w:t>a</w:t>
      </w:r>
      <w:r w:rsidR="001F189D">
        <w:rPr>
          <w:rFonts w:ascii="Calibri" w:hAnsi="Calibri" w:cs="Arial"/>
          <w:sz w:val="22"/>
        </w:rPr>
        <w:t xml:space="preserve"> w trybie zapytania ofertowego. Na podstawie art. 2 ust.1 pkt. 1 nie mają zastosowania przepisy ustawy z dnia 11 września 2019 roku Prawo zamówień publicznych.</w:t>
      </w:r>
    </w:p>
    <w:p w14:paraId="61F9108D" w14:textId="07E25AA4" w:rsidR="00987141" w:rsidRPr="000C06D3" w:rsidRDefault="00987141" w:rsidP="00CF030F">
      <w:pPr>
        <w:pStyle w:val="Default"/>
        <w:jc w:val="both"/>
        <w:rPr>
          <w:rFonts w:ascii="Calibri" w:hAnsi="Calibri" w:cs="Arial"/>
          <w:sz w:val="22"/>
        </w:rPr>
      </w:pPr>
      <w:r w:rsidRPr="000C06D3">
        <w:rPr>
          <w:rFonts w:ascii="Calibri" w:hAnsi="Calibri" w:cs="Arial"/>
          <w:sz w:val="22"/>
        </w:rPr>
        <w:t>2. Podstawą zawarcia Umowy jest decyzja</w:t>
      </w:r>
      <w:r w:rsidR="00CF030F">
        <w:rPr>
          <w:rFonts w:ascii="Calibri" w:hAnsi="Calibri" w:cs="Arial"/>
          <w:sz w:val="22"/>
        </w:rPr>
        <w:t xml:space="preserve"> Zamawiającego o wyborze oferty.</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5BBC024F" w:rsidR="00987141" w:rsidRPr="00F517EF" w:rsidRDefault="00987141" w:rsidP="001F189D">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1F189D" w:rsidRPr="001F189D">
        <w:rPr>
          <w:rFonts w:ascii="Calibri" w:hAnsi="Calibri" w:cs="Calibri"/>
          <w:b/>
          <w:bCs/>
          <w:sz w:val="22"/>
        </w:rPr>
        <w:t>Przebudowa drogi Morakowo-Ostrowo V etap</w:t>
      </w:r>
    </w:p>
    <w:p w14:paraId="715C12D2" w14:textId="0DF14D1A" w:rsidR="00987141" w:rsidRDefault="00987141" w:rsidP="001F189D">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i </w:t>
      </w:r>
      <w:r w:rsidRPr="000C06D3">
        <w:rPr>
          <w:rFonts w:ascii="Calibri" w:hAnsi="Calibri" w:cs="Arial"/>
          <w:color w:val="000000"/>
          <w:sz w:val="22"/>
        </w:rPr>
        <w:t xml:space="preserve">wytycznymi określonymi w </w:t>
      </w:r>
      <w:r w:rsidR="001F189D">
        <w:rPr>
          <w:rFonts w:ascii="Calibri" w:hAnsi="Calibri" w:cs="Arial"/>
          <w:color w:val="000000"/>
          <w:sz w:val="22"/>
        </w:rPr>
        <w:t>zapytaniu ofertowym</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77D94C19" w14:textId="77777777" w:rsidR="00987141" w:rsidRPr="000C06D3" w:rsidRDefault="00987141" w:rsidP="00987141">
      <w:pPr>
        <w:tabs>
          <w:tab w:val="center" w:pos="8436"/>
          <w:tab w:val="right" w:pos="12972"/>
        </w:tabs>
        <w:ind w:left="3540" w:hanging="3540"/>
        <w:jc w:val="both"/>
        <w:rPr>
          <w:rFonts w:ascii="Calibri" w:hAnsi="Calibri" w:cs="Arial"/>
          <w:sz w:val="22"/>
        </w:rPr>
      </w:pP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1D561D17" w:rsidR="00987141" w:rsidRPr="000C06D3" w:rsidRDefault="00987141" w:rsidP="00DF5929">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w:t>
      </w:r>
      <w:r w:rsidR="00DF5929">
        <w:rPr>
          <w:rFonts w:ascii="Calibri" w:hAnsi="Calibri" w:cs="Arial"/>
          <w:b/>
          <w:sz w:val="22"/>
        </w:rPr>
        <w:t>1</w:t>
      </w:r>
      <w:r w:rsidR="00F517EF" w:rsidRPr="00F517EF">
        <w:rPr>
          <w:rFonts w:ascii="Calibri" w:hAnsi="Calibri" w:cs="Arial"/>
          <w:b/>
          <w:sz w:val="22"/>
        </w:rPr>
        <w:t xml:space="preserve"> roku</w:t>
      </w:r>
      <w:r w:rsidRPr="000C06D3">
        <w:rPr>
          <w:rFonts w:ascii="Calibri" w:hAnsi="Calibri" w:cs="Arial"/>
          <w:b/>
          <w:sz w:val="22"/>
        </w:rPr>
        <w:t>.</w:t>
      </w:r>
    </w:p>
    <w:p w14:paraId="04CCD509" w14:textId="77777777" w:rsidR="001F189D" w:rsidRDefault="001F189D" w:rsidP="00987141">
      <w:pPr>
        <w:overflowPunct w:val="0"/>
        <w:autoSpaceDE w:val="0"/>
        <w:jc w:val="center"/>
        <w:textAlignment w:val="baseline"/>
        <w:rPr>
          <w:rFonts w:ascii="Calibri" w:hAnsi="Calibri" w:cs="Arial"/>
          <w:b/>
          <w:sz w:val="22"/>
        </w:rPr>
      </w:pP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2101CAA" w:rsidR="00987141" w:rsidRPr="00D96B46" w:rsidRDefault="00987141" w:rsidP="001F189D">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w:t>
      </w:r>
      <w:r w:rsidR="001F189D">
        <w:rPr>
          <w:rFonts w:ascii="Calibri" w:hAnsi="Calibri" w:cs="Arial"/>
          <w:sz w:val="22"/>
        </w:rPr>
        <w:t>zapytaniu ofertowym</w:t>
      </w:r>
      <w:r w:rsidRPr="00D96B46">
        <w:rPr>
          <w:rFonts w:ascii="Calibri" w:hAnsi="Calibri" w:cs="Arial"/>
          <w:sz w:val="22"/>
        </w:rPr>
        <w:t xml:space="preserve">,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17BABE1A" w:rsidR="00987141" w:rsidRPr="00D96B46" w:rsidRDefault="00987141" w:rsidP="006A3356">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006A3356"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9F89D6B"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r w:rsidR="006A3356" w:rsidRPr="00D96B46">
        <w:rPr>
          <w:rFonts w:ascii="Calibri" w:hAnsi="Calibri" w:cs="Arial"/>
          <w:sz w:val="22"/>
        </w:rPr>
        <w:t>jego zagospodarowania</w:t>
      </w:r>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p.poż.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32BCA156" w14:textId="00DED4E2"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t xml:space="preserve">§ </w:t>
      </w:r>
      <w:r w:rsidR="001F189D">
        <w:rPr>
          <w:rFonts w:ascii="Calibri" w:hAnsi="Calibri" w:cs="Arial"/>
          <w:b/>
          <w:sz w:val="22"/>
        </w:rPr>
        <w:t>6</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420C2070"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t xml:space="preserve">§ </w:t>
      </w:r>
      <w:r w:rsidR="001F189D">
        <w:rPr>
          <w:rFonts w:ascii="Calibri" w:hAnsi="Calibri" w:cs="Arial"/>
          <w:b/>
          <w:sz w:val="22"/>
        </w:rPr>
        <w:t>7</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0BBF7394" w:rsidR="00987141" w:rsidRDefault="00987141" w:rsidP="001F189D">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Zapłata wynagrodzenia umownego, o którym mowa w ust. 1 w sytuacji zawarcia umów o podwykonawstwo lub dalsze podwykonawstwo zgodnie z § </w:t>
      </w:r>
      <w:r w:rsidR="001F189D">
        <w:rPr>
          <w:rFonts w:ascii="Calibri" w:hAnsi="Calibri" w:cs="Arial"/>
          <w:sz w:val="22"/>
        </w:rPr>
        <w:t>9</w:t>
      </w:r>
      <w:r w:rsidRPr="00D96B46">
        <w:rPr>
          <w:rFonts w:ascii="Calibri" w:hAnsi="Calibri" w:cs="Arial"/>
          <w:sz w:val="22"/>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Default="00987141" w:rsidP="00987141">
      <w:pPr>
        <w:overflowPunct w:val="0"/>
        <w:autoSpaceDE w:val="0"/>
        <w:textAlignment w:val="baseline"/>
        <w:rPr>
          <w:rFonts w:ascii="Calibri" w:hAnsi="Calibri" w:cs="Arial"/>
          <w:b/>
          <w:sz w:val="22"/>
        </w:rPr>
      </w:pPr>
    </w:p>
    <w:p w14:paraId="0E007287" w14:textId="77777777" w:rsidR="001F189D" w:rsidRDefault="001F189D" w:rsidP="00987141">
      <w:pPr>
        <w:overflowPunct w:val="0"/>
        <w:autoSpaceDE w:val="0"/>
        <w:textAlignment w:val="baseline"/>
        <w:rPr>
          <w:rFonts w:ascii="Calibri" w:hAnsi="Calibri" w:cs="Arial"/>
          <w:b/>
          <w:sz w:val="22"/>
        </w:rPr>
      </w:pPr>
    </w:p>
    <w:p w14:paraId="42365E24" w14:textId="77777777" w:rsidR="001F189D" w:rsidRDefault="001F189D" w:rsidP="00987141">
      <w:pPr>
        <w:overflowPunct w:val="0"/>
        <w:autoSpaceDE w:val="0"/>
        <w:textAlignment w:val="baseline"/>
        <w:rPr>
          <w:rFonts w:ascii="Calibri" w:hAnsi="Calibri" w:cs="Arial"/>
          <w:b/>
          <w:sz w:val="22"/>
        </w:rPr>
      </w:pPr>
    </w:p>
    <w:p w14:paraId="3AC6654B" w14:textId="77777777" w:rsidR="001F189D" w:rsidRPr="00D96B46" w:rsidRDefault="001F189D" w:rsidP="00987141">
      <w:pPr>
        <w:overflowPunct w:val="0"/>
        <w:autoSpaceDE w:val="0"/>
        <w:textAlignment w:val="baseline"/>
        <w:rPr>
          <w:rFonts w:ascii="Calibri" w:hAnsi="Calibri" w:cs="Arial"/>
          <w:b/>
          <w:sz w:val="22"/>
        </w:rPr>
      </w:pPr>
    </w:p>
    <w:p w14:paraId="635DFF91" w14:textId="02E45E40"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lastRenderedPageBreak/>
        <w:t xml:space="preserve">§ </w:t>
      </w:r>
      <w:r w:rsidR="001F189D">
        <w:rPr>
          <w:rFonts w:ascii="Calibri" w:hAnsi="Calibri" w:cs="Arial"/>
          <w:b/>
          <w:sz w:val="22"/>
        </w:rPr>
        <w:t>8</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2949DEBE" w:rsidR="00987141" w:rsidRPr="00426D1D" w:rsidRDefault="00987141" w:rsidP="00DF5929">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DF5929">
        <w:rPr>
          <w:rFonts w:ascii="Calibri" w:hAnsi="Calibri" w:cs="Calibri"/>
          <w:color w:val="000000"/>
          <w:sz w:val="22"/>
          <w:szCs w:val="22"/>
        </w:rPr>
        <w:t>1</w:t>
      </w:r>
      <w:r w:rsidR="00F517EF">
        <w:rPr>
          <w:rFonts w:ascii="Calibri" w:hAnsi="Calibri" w:cs="Calibri"/>
          <w:color w:val="000000"/>
          <w:sz w:val="22"/>
          <w:szCs w:val="22"/>
        </w:rPr>
        <w:t xml:space="preserve">00 </w:t>
      </w:r>
      <w:r w:rsidRPr="00426D1D">
        <w:rPr>
          <w:rFonts w:ascii="Calibri" w:hAnsi="Calibri" w:cs="Calibri"/>
          <w:color w:val="000000"/>
          <w:sz w:val="22"/>
          <w:szCs w:val="22"/>
        </w:rPr>
        <w:t xml:space="preserve">000,00 (słownie: </w:t>
      </w:r>
      <w:r w:rsidR="00DF5929">
        <w:rPr>
          <w:rFonts w:ascii="Calibri" w:hAnsi="Calibri" w:cs="Calibri"/>
          <w:color w:val="000000"/>
          <w:sz w:val="22"/>
          <w:szCs w:val="22"/>
        </w:rPr>
        <w:t>sto</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DD059D6"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t xml:space="preserve">§ </w:t>
      </w:r>
      <w:r w:rsidR="001F189D">
        <w:rPr>
          <w:rFonts w:ascii="Calibri" w:hAnsi="Calibri" w:cs="Arial"/>
          <w:b/>
          <w:sz w:val="22"/>
        </w:rPr>
        <w:t>9</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11BC0D5D" w:rsidR="00987141" w:rsidRPr="00D96B46" w:rsidRDefault="00987141" w:rsidP="00CF030F">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w:t>
      </w:r>
      <w:r w:rsidRPr="00D96B46">
        <w:rPr>
          <w:rFonts w:ascii="Calibri" w:hAnsi="Calibri" w:cs="Arial"/>
          <w:sz w:val="22"/>
        </w:rPr>
        <w:lastRenderedPageBreak/>
        <w:t>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60B8A38E" w:rsidR="00987141" w:rsidRPr="00D96B46" w:rsidRDefault="00987141" w:rsidP="00CF030F">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w:t>
      </w:r>
      <w:r w:rsidR="00CF030F">
        <w:rPr>
          <w:rFonts w:ascii="Calibri" w:hAnsi="Calibri" w:cs="Arial"/>
          <w:sz w:val="22"/>
        </w:rPr>
        <w:t>zapytaniu ofertowym</w:t>
      </w:r>
      <w:r w:rsidRPr="00D96B46">
        <w:rPr>
          <w:rFonts w:ascii="Calibri" w:hAnsi="Calibri" w:cs="Arial"/>
          <w:sz w:val="22"/>
        </w:rPr>
        <w:t xml:space="preserve">, jako niepodlegający niniejszemu obowiązkowi. </w:t>
      </w:r>
      <w:r w:rsidR="00DF5929" w:rsidRPr="00D96B46">
        <w:rPr>
          <w:rFonts w:ascii="Calibri" w:hAnsi="Calibri" w:cs="Arial"/>
          <w:sz w:val="22"/>
        </w:rPr>
        <w:t>Wyłączenie, o którym</w:t>
      </w:r>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2AEB747A"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t>§ 1</w:t>
      </w:r>
      <w:r w:rsidR="001F189D">
        <w:rPr>
          <w:rFonts w:ascii="Calibri" w:hAnsi="Calibri" w:cs="Arial"/>
          <w:b/>
          <w:sz w:val="22"/>
        </w:rPr>
        <w:t>0</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6AE82385" w:rsidR="00987141" w:rsidRPr="008628DB" w:rsidRDefault="00987141" w:rsidP="00CF030F">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sidR="00CF030F">
        <w:rPr>
          <w:rFonts w:ascii="Calibri" w:hAnsi="Calibri" w:cs="Calibri"/>
          <w:bCs/>
          <w:color w:val="000000"/>
          <w:sz w:val="22"/>
          <w:szCs w:val="22"/>
        </w:rPr>
        <w:t>7</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22F6FDDC" w:rsidR="00987141" w:rsidRPr="00665AEE" w:rsidRDefault="00987141" w:rsidP="001F189D">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w:t>
      </w:r>
      <w:r w:rsidR="001F189D">
        <w:rPr>
          <w:rFonts w:ascii="Calibri" w:hAnsi="Calibri" w:cs="Arial"/>
          <w:sz w:val="22"/>
        </w:rPr>
        <w:t>7</w:t>
      </w:r>
      <w:r w:rsidRPr="00665AEE">
        <w:rPr>
          <w:rFonts w:ascii="Calibri" w:hAnsi="Calibri" w:cs="Arial"/>
          <w:sz w:val="22"/>
        </w:rPr>
        <w:t xml:space="preserve"> ust. 1 Umowy,</w:t>
      </w:r>
    </w:p>
    <w:p w14:paraId="44A8B172" w14:textId="551AD893" w:rsidR="00987141" w:rsidRPr="00665AEE" w:rsidRDefault="00987141" w:rsidP="001F189D">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w:t>
      </w:r>
      <w:r w:rsidR="001F189D">
        <w:rPr>
          <w:rFonts w:ascii="Calibri" w:hAnsi="Calibri" w:cs="Arial"/>
          <w:sz w:val="22"/>
        </w:rPr>
        <w:t>7</w:t>
      </w:r>
      <w:r w:rsidRPr="00665AEE">
        <w:rPr>
          <w:rFonts w:ascii="Calibri" w:hAnsi="Calibri" w:cs="Arial"/>
          <w:sz w:val="22"/>
        </w:rPr>
        <w:t xml:space="preserve">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16E1D47" w:rsidR="00987141" w:rsidRPr="00665AEE" w:rsidRDefault="00987141" w:rsidP="001F189D">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w:t>
      </w:r>
      <w:r w:rsidR="001F189D">
        <w:rPr>
          <w:rFonts w:ascii="Calibri" w:hAnsi="Calibri" w:cs="Arial"/>
          <w:sz w:val="22"/>
        </w:rPr>
        <w:t>7</w:t>
      </w:r>
      <w:r w:rsidRPr="00665AEE">
        <w:rPr>
          <w:rFonts w:ascii="Calibri" w:hAnsi="Calibri" w:cs="Arial"/>
          <w:sz w:val="22"/>
        </w:rPr>
        <w:t xml:space="preserve"> ust. 1 Umowy,</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01FF8457" w14:textId="77777777" w:rsidR="001F189D" w:rsidRDefault="00987141" w:rsidP="00987141">
      <w:pPr>
        <w:numPr>
          <w:ilvl w:val="0"/>
          <w:numId w:val="34"/>
        </w:numPr>
        <w:overflowPunct w:val="0"/>
        <w:autoSpaceDE w:val="0"/>
        <w:jc w:val="both"/>
        <w:textAlignment w:val="baseline"/>
        <w:rPr>
          <w:rFonts w:ascii="Calibri" w:hAnsi="Calibri" w:cs="Arial"/>
          <w:sz w:val="22"/>
        </w:rPr>
      </w:pPr>
      <w:r w:rsidRPr="001F189D">
        <w:rPr>
          <w:rFonts w:ascii="Calibri" w:hAnsi="Calibri" w:cs="Arial"/>
          <w:sz w:val="22"/>
        </w:rPr>
        <w:t xml:space="preserve">za odstąpienie od umowy z przyczyn zawinionych przez Zamawiającego w </w:t>
      </w:r>
      <w:proofErr w:type="gramStart"/>
      <w:r w:rsidRPr="001F189D">
        <w:rPr>
          <w:rFonts w:ascii="Calibri" w:hAnsi="Calibri" w:cs="Arial"/>
          <w:sz w:val="22"/>
        </w:rPr>
        <w:t xml:space="preserve">wysokości  </w:t>
      </w:r>
      <w:r w:rsidR="00B83C37" w:rsidRPr="001F189D">
        <w:rPr>
          <w:rFonts w:ascii="Calibri" w:hAnsi="Calibri" w:cs="Arial"/>
          <w:sz w:val="22"/>
        </w:rPr>
        <w:t>2</w:t>
      </w:r>
      <w:r w:rsidRPr="001F189D">
        <w:rPr>
          <w:rFonts w:ascii="Calibri" w:hAnsi="Calibri" w:cs="Arial"/>
          <w:sz w:val="22"/>
        </w:rPr>
        <w:t>0 % wynagrodzenia</w:t>
      </w:r>
      <w:proofErr w:type="gramEnd"/>
      <w:r w:rsidRPr="001F189D">
        <w:rPr>
          <w:rFonts w:ascii="Calibri" w:hAnsi="Calibri" w:cs="Arial"/>
          <w:sz w:val="22"/>
        </w:rPr>
        <w:t xml:space="preserve"> netto określonego w § </w:t>
      </w:r>
      <w:r w:rsidR="001F189D" w:rsidRPr="001F189D">
        <w:rPr>
          <w:rFonts w:ascii="Calibri" w:hAnsi="Calibri" w:cs="Arial"/>
          <w:sz w:val="22"/>
        </w:rPr>
        <w:t>7</w:t>
      </w:r>
      <w:r w:rsidR="001F189D">
        <w:rPr>
          <w:rFonts w:ascii="Calibri" w:hAnsi="Calibri" w:cs="Arial"/>
          <w:sz w:val="22"/>
        </w:rPr>
        <w:t xml:space="preserve"> ust. 1. </w:t>
      </w:r>
    </w:p>
    <w:p w14:paraId="4CC9A59D" w14:textId="4284B2BB" w:rsidR="00987141" w:rsidRPr="001F189D" w:rsidRDefault="006137D0" w:rsidP="001F189D">
      <w:pPr>
        <w:overflowPunct w:val="0"/>
        <w:autoSpaceDE w:val="0"/>
        <w:jc w:val="both"/>
        <w:textAlignment w:val="baseline"/>
        <w:rPr>
          <w:rFonts w:ascii="Calibri" w:hAnsi="Calibri" w:cs="Arial"/>
          <w:sz w:val="22"/>
        </w:rPr>
      </w:pPr>
      <w:r w:rsidRPr="001F189D">
        <w:rPr>
          <w:rFonts w:ascii="Calibri" w:hAnsi="Calibri" w:cs="Arial"/>
          <w:sz w:val="22"/>
        </w:rPr>
        <w:t>3</w:t>
      </w:r>
      <w:r w:rsidR="00987141" w:rsidRPr="001F189D">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4CD11BAF" w:rsidR="00987141" w:rsidRPr="00D96B46" w:rsidRDefault="006137D0" w:rsidP="001F189D">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sidR="001F189D">
        <w:rPr>
          <w:rFonts w:asciiTheme="minorHAnsi" w:hAnsiTheme="minorHAnsi" w:cs="Calibri"/>
          <w:kern w:val="3"/>
          <w:sz w:val="22"/>
        </w:rPr>
        <w:t>7</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6BD5A470"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t>§ 1</w:t>
      </w:r>
      <w:r w:rsidR="001F189D">
        <w:rPr>
          <w:rFonts w:ascii="Calibri" w:hAnsi="Calibri" w:cs="Arial"/>
          <w:b/>
          <w:sz w:val="22"/>
        </w:rPr>
        <w:t>1</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lastRenderedPageBreak/>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20F2AF0B" w:rsidR="00987141" w:rsidRPr="00D96B46" w:rsidRDefault="002318B3" w:rsidP="001F189D">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w:t>
      </w:r>
      <w:r w:rsidR="001F189D">
        <w:rPr>
          <w:rFonts w:ascii="Calibri" w:hAnsi="Calibri" w:cs="Arial"/>
          <w:b/>
          <w:sz w:val="22"/>
        </w:rPr>
        <w:t>2</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2E68CBAD"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t>§ 1</w:t>
      </w:r>
      <w:r w:rsidR="001F189D">
        <w:rPr>
          <w:rFonts w:ascii="Calibri" w:hAnsi="Calibri" w:cs="Arial"/>
          <w:b/>
          <w:sz w:val="22"/>
        </w:rPr>
        <w:t>3</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44D6DB7B" w:rsidR="00987141" w:rsidRPr="00D96B46" w:rsidRDefault="00987141" w:rsidP="00CF030F">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w:t>
      </w:r>
      <w:r w:rsidR="00CF030F">
        <w:rPr>
          <w:rFonts w:ascii="Calibri" w:hAnsi="Calibri" w:cs="Arial"/>
          <w:sz w:val="22"/>
        </w:rPr>
        <w:t>0</w:t>
      </w:r>
      <w:r w:rsidRPr="00D96B46">
        <w:rPr>
          <w:rFonts w:ascii="Calibri" w:hAnsi="Calibri" w:cs="Arial"/>
          <w:sz w:val="22"/>
        </w:rPr>
        <w:t xml:space="preserve">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7158EE43" w14:textId="42032DC7" w:rsidR="002501C1" w:rsidRPr="001F189D" w:rsidRDefault="00987141" w:rsidP="001F189D">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48390305" w14:textId="77777777" w:rsidR="002E0D5F" w:rsidRDefault="002E0D5F" w:rsidP="00987141">
      <w:pPr>
        <w:overflowPunct w:val="0"/>
        <w:autoSpaceDE w:val="0"/>
        <w:jc w:val="center"/>
        <w:textAlignment w:val="baseline"/>
        <w:rPr>
          <w:rFonts w:ascii="Calibri" w:hAnsi="Calibri" w:cs="Arial"/>
          <w:b/>
          <w:sz w:val="22"/>
        </w:rPr>
      </w:pPr>
    </w:p>
    <w:p w14:paraId="01AEE709" w14:textId="77777777" w:rsidR="00CF030F" w:rsidRDefault="00CF030F" w:rsidP="00987141">
      <w:pPr>
        <w:overflowPunct w:val="0"/>
        <w:autoSpaceDE w:val="0"/>
        <w:jc w:val="center"/>
        <w:textAlignment w:val="baseline"/>
        <w:rPr>
          <w:rFonts w:ascii="Calibri" w:hAnsi="Calibri" w:cs="Arial"/>
          <w:b/>
          <w:sz w:val="22"/>
        </w:rPr>
      </w:pPr>
    </w:p>
    <w:p w14:paraId="2DE20695" w14:textId="77777777" w:rsidR="00CF030F" w:rsidRDefault="00CF030F" w:rsidP="00987141">
      <w:pPr>
        <w:overflowPunct w:val="0"/>
        <w:autoSpaceDE w:val="0"/>
        <w:jc w:val="center"/>
        <w:textAlignment w:val="baseline"/>
        <w:rPr>
          <w:rFonts w:ascii="Calibri" w:hAnsi="Calibri" w:cs="Arial"/>
          <w:b/>
          <w:sz w:val="22"/>
        </w:rPr>
      </w:pPr>
    </w:p>
    <w:p w14:paraId="1506D785" w14:textId="7D7F7A54"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lastRenderedPageBreak/>
        <w:t>§ 1</w:t>
      </w:r>
      <w:r w:rsidR="001F189D">
        <w:rPr>
          <w:rFonts w:ascii="Calibri" w:hAnsi="Calibri" w:cs="Arial"/>
          <w:b/>
          <w:sz w:val="22"/>
        </w:rPr>
        <w:t>4</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0D1F1232" w:rsidR="00987141" w:rsidRPr="00D96B46" w:rsidRDefault="00987141" w:rsidP="00CF030F">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Zamawiający przewiduje możliwość wprowadzenia zmian do zawartej umowy w formie pisemnego aneksu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w:t>
      </w:r>
      <w:r w:rsidRPr="00D96B46">
        <w:rPr>
          <w:rFonts w:ascii="Calibri" w:hAnsi="Calibri" w:cs="Arial"/>
          <w:sz w:val="22"/>
        </w:rPr>
        <w:lastRenderedPageBreak/>
        <w:t xml:space="preserve">należących do dowolnie wskazanego przez Zamawiającego podmiotu, brak dostępu do mediów niezawiniony przez Wykonawcę (np. awarie w dostawach energii 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1EB4FA21" w:rsidR="00987141" w:rsidRPr="00D96B46" w:rsidRDefault="00987141" w:rsidP="00CF030F">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w:t>
      </w:r>
      <w:r w:rsidR="00CF030F">
        <w:rPr>
          <w:rFonts w:ascii="Calibri" w:hAnsi="Calibri" w:cs="Arial"/>
          <w:sz w:val="22"/>
        </w:rPr>
        <w:t>zapytaniu ofertowym</w:t>
      </w:r>
      <w:r w:rsidRPr="00D96B46">
        <w:rPr>
          <w:rFonts w:ascii="Calibri" w:hAnsi="Calibri" w:cs="Arial"/>
          <w:sz w:val="22"/>
        </w:rPr>
        <w:t xml:space="preserve">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w:t>
      </w:r>
      <w:r w:rsidRPr="00B20A22">
        <w:rPr>
          <w:rFonts w:ascii="Calibri" w:hAnsi="Calibri" w:cs="Arial"/>
          <w:sz w:val="22"/>
          <w:szCs w:val="22"/>
          <w:lang w:eastAsia="en-US"/>
        </w:rPr>
        <w:lastRenderedPageBreak/>
        <w:t>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4F594EC3" w:rsidR="00987141" w:rsidRPr="00D96B46" w:rsidRDefault="00987141" w:rsidP="00CF030F">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w:t>
      </w:r>
      <w:r w:rsidR="00CF030F">
        <w:rPr>
          <w:rFonts w:ascii="Calibri" w:hAnsi="Calibri" w:cs="Arial"/>
          <w:sz w:val="22"/>
        </w:rPr>
        <w:t>zapytania ofertowego</w:t>
      </w:r>
      <w:r w:rsidRPr="00D96B46">
        <w:rPr>
          <w:rFonts w:ascii="Calibri" w:hAnsi="Calibri" w:cs="Arial"/>
          <w:sz w:val="22"/>
        </w:rPr>
        <w:t xml:space="preserve"> dotyczących wykonywania wskazanego zakresu robót przez podwykonawców (zmiana niewymagająca sporządzania aneksu),</w:t>
      </w:r>
    </w:p>
    <w:p w14:paraId="3D2CC995" w14:textId="2653E6F0" w:rsidR="00987141" w:rsidRPr="00D96B46" w:rsidRDefault="00987141" w:rsidP="00CF030F">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w:t>
      </w:r>
      <w:r w:rsidR="00CF030F">
        <w:rPr>
          <w:rFonts w:ascii="Calibri" w:hAnsi="Calibri" w:cs="Arial"/>
          <w:sz w:val="22"/>
        </w:rPr>
        <w:t>zapytania ofertowego</w:t>
      </w:r>
      <w:r w:rsidRPr="00D96B46">
        <w:rPr>
          <w:rFonts w:ascii="Calibri" w:hAnsi="Calibri" w:cs="Arial"/>
          <w:sz w:val="22"/>
        </w:rPr>
        <w:t xml:space="preserve"> dotyczących 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6C876516" w:rsidR="0052144B" w:rsidRPr="0052144B" w:rsidRDefault="0052144B" w:rsidP="001F189D">
      <w:pPr>
        <w:jc w:val="center"/>
        <w:rPr>
          <w:rFonts w:ascii="Calibri" w:hAnsi="Calibri"/>
          <w:b/>
          <w:sz w:val="22"/>
        </w:rPr>
      </w:pPr>
      <w:r w:rsidRPr="0052144B">
        <w:rPr>
          <w:rFonts w:ascii="Calibri" w:hAnsi="Calibri"/>
          <w:b/>
          <w:sz w:val="22"/>
        </w:rPr>
        <w:t>§ 1</w:t>
      </w:r>
      <w:r w:rsidR="001F189D">
        <w:rPr>
          <w:rFonts w:ascii="Calibri" w:hAnsi="Calibri"/>
          <w:b/>
          <w:sz w:val="22"/>
        </w:rPr>
        <w:t>4</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w:t>
      </w:r>
      <w:r w:rsidRPr="0052144B">
        <w:rPr>
          <w:rFonts w:asciiTheme="minorHAnsi" w:eastAsia="Andale Sans UI" w:hAnsiTheme="minorHAnsi" w:cstheme="minorHAnsi"/>
          <w:color w:val="000000"/>
          <w:kern w:val="3"/>
          <w:sz w:val="22"/>
          <w:szCs w:val="22"/>
          <w:lang w:eastAsia="en-US" w:bidi="en-US"/>
        </w:rPr>
        <w:lastRenderedPageBreak/>
        <w:t>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3" w:name="1)_zmianę_terminu_wykonania_umowy_lub_je"/>
      <w:bookmarkEnd w:id="3"/>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4" w:name="2)_zmianę_sposobu_wykonywania_dostaw,_us"/>
      <w:bookmarkEnd w:id="4"/>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5" w:name="3)_zmianę_zakresu_świadczenia_wykonawcy_"/>
      <w:bookmarkEnd w:id="5"/>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6" w:name="–_o_ile_wzrost_ceny_spowodowany_każdą_ko"/>
      <w:bookmarkEnd w:id="6"/>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7" w:name="5._Jeżeli_umowa,_o_której_mowa_w_ust._1,"/>
      <w:bookmarkStart w:id="8" w:name="6._Jeżeli_umowa,_o_której_mowa_w_ust._1,"/>
      <w:bookmarkEnd w:id="7"/>
      <w:bookmarkEnd w:id="8"/>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0CAF7F12" w14:textId="77777777" w:rsidR="007F0158" w:rsidRDefault="007F0158" w:rsidP="001F189D">
      <w:pPr>
        <w:overflowPunct w:val="0"/>
        <w:autoSpaceDE w:val="0"/>
        <w:jc w:val="center"/>
        <w:textAlignment w:val="baseline"/>
        <w:rPr>
          <w:rFonts w:ascii="Calibri" w:hAnsi="Calibri" w:cs="Arial"/>
          <w:b/>
          <w:sz w:val="22"/>
        </w:rPr>
      </w:pPr>
    </w:p>
    <w:p w14:paraId="248DBF2F" w14:textId="61CE1CD8" w:rsidR="00987141" w:rsidRPr="00D96B46" w:rsidRDefault="00987141" w:rsidP="001F189D">
      <w:pPr>
        <w:overflowPunct w:val="0"/>
        <w:autoSpaceDE w:val="0"/>
        <w:jc w:val="center"/>
        <w:textAlignment w:val="baseline"/>
        <w:rPr>
          <w:rFonts w:ascii="Calibri" w:hAnsi="Calibri" w:cs="Arial"/>
          <w:b/>
          <w:sz w:val="22"/>
        </w:rPr>
      </w:pPr>
      <w:r w:rsidRPr="00D96B46">
        <w:rPr>
          <w:rFonts w:ascii="Calibri" w:hAnsi="Calibri" w:cs="Arial"/>
          <w:b/>
          <w:sz w:val="22"/>
        </w:rPr>
        <w:lastRenderedPageBreak/>
        <w:t>§ 1</w:t>
      </w:r>
      <w:r w:rsidR="001F189D">
        <w:rPr>
          <w:rFonts w:ascii="Calibri" w:hAnsi="Calibri" w:cs="Arial"/>
          <w:b/>
          <w:sz w:val="22"/>
        </w:rPr>
        <w:t>5</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C8023EC" w14:textId="0C2A874B" w:rsidR="00987141" w:rsidRPr="000C06D3" w:rsidRDefault="00987141" w:rsidP="001F189D">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w:t>
      </w:r>
      <w:r w:rsidR="001F189D">
        <w:rPr>
          <w:rFonts w:ascii="Calibri" w:hAnsi="Calibri" w:cs="Arial"/>
          <w:i w:val="0"/>
          <w:sz w:val="22"/>
        </w:rPr>
        <w:t>6</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5278E26B" w:rsidR="00987141" w:rsidRPr="000C06D3" w:rsidRDefault="007F0158"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zaproszenie</w:t>
      </w:r>
      <w:proofErr w:type="gramEnd"/>
      <w:r>
        <w:rPr>
          <w:rFonts w:ascii="Calibri" w:hAnsi="Calibri" w:cs="Arial"/>
          <w:sz w:val="22"/>
        </w:rPr>
        <w:t xml:space="preserve"> do składania ofert – zapytanie ofertowe</w:t>
      </w:r>
      <w:r w:rsidR="00987141" w:rsidRPr="000C06D3">
        <w:rPr>
          <w:rFonts w:ascii="Calibri" w:hAnsi="Calibri" w:cs="Arial"/>
          <w:sz w:val="22"/>
        </w:rPr>
        <w:t>,</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lastRenderedPageBreak/>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2894F77C" w14:textId="77777777" w:rsidR="007F0158" w:rsidRDefault="007F0158" w:rsidP="00987141">
      <w:pPr>
        <w:jc w:val="center"/>
        <w:rPr>
          <w:rFonts w:ascii="Calibri" w:hAnsi="Calibri" w:cs="Arial"/>
          <w:b/>
        </w:rPr>
      </w:pPr>
    </w:p>
    <w:p w14:paraId="75E7205E" w14:textId="77777777" w:rsidR="007F0158" w:rsidRDefault="007F0158" w:rsidP="00987141">
      <w:pPr>
        <w:jc w:val="center"/>
        <w:rPr>
          <w:rFonts w:ascii="Calibri" w:hAnsi="Calibri" w:cs="Arial"/>
          <w:b/>
        </w:rPr>
      </w:pPr>
    </w:p>
    <w:p w14:paraId="3ED1AB90" w14:textId="77777777" w:rsidR="007F0158" w:rsidRDefault="007F0158" w:rsidP="00987141">
      <w:pPr>
        <w:jc w:val="cente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029307E1" w14:textId="77777777" w:rsidR="007F0158" w:rsidRDefault="007F0158" w:rsidP="00987141">
      <w:pPr>
        <w:jc w:val="center"/>
        <w:rPr>
          <w:rFonts w:ascii="Calibri" w:hAnsi="Calibri" w:cs="Arial"/>
          <w:b/>
        </w:rPr>
      </w:pPr>
    </w:p>
    <w:p w14:paraId="5DA1F085" w14:textId="77777777" w:rsidR="007F0158" w:rsidRDefault="007F0158"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B03228" w:rsidP="00987141"/>
    <w:sectPr w:rsidR="005F6461" w:rsidRPr="009871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BC00C" w14:textId="77777777" w:rsidR="00B03228" w:rsidRDefault="00B03228" w:rsidP="0039032C">
      <w:r>
        <w:separator/>
      </w:r>
    </w:p>
  </w:endnote>
  <w:endnote w:type="continuationSeparator" w:id="0">
    <w:p w14:paraId="4DBE527B" w14:textId="77777777" w:rsidR="00B03228" w:rsidRDefault="00B03228"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7F0158">
          <w:rPr>
            <w:noProof/>
            <w:sz w:val="18"/>
          </w:rPr>
          <w:t>1</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E0029" w14:textId="77777777" w:rsidR="00B03228" w:rsidRDefault="00B03228" w:rsidP="0039032C">
      <w:r>
        <w:separator/>
      </w:r>
    </w:p>
  </w:footnote>
  <w:footnote w:type="continuationSeparator" w:id="0">
    <w:p w14:paraId="62791AA8" w14:textId="77777777" w:rsidR="00B03228" w:rsidRDefault="00B03228" w:rsidP="00390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BE732" w14:textId="77777777" w:rsidR="001F189D" w:rsidRPr="001F189D" w:rsidRDefault="001F189D" w:rsidP="001F189D">
    <w:pPr>
      <w:autoSpaceDE w:val="0"/>
      <w:autoSpaceDN w:val="0"/>
      <w:adjustRightInd w:val="0"/>
      <w:jc w:val="center"/>
      <w:rPr>
        <w:rFonts w:asciiTheme="minorHAnsi" w:hAnsiTheme="minorHAnsi" w:cstheme="minorHAnsi"/>
        <w:b/>
        <w:bCs/>
        <w:color w:val="000000"/>
        <w:sz w:val="32"/>
        <w:szCs w:val="32"/>
      </w:rPr>
    </w:pPr>
    <w:r w:rsidRPr="001F189D">
      <w:rPr>
        <w:rFonts w:asciiTheme="minorHAnsi" w:hAnsiTheme="minorHAnsi" w:cstheme="minorHAnsi"/>
        <w:b/>
        <w:bCs/>
        <w:color w:val="000000"/>
        <w:sz w:val="20"/>
        <w:szCs w:val="20"/>
      </w:rPr>
      <w:t>Przebudowa drogi Morakowo-Ostrowo V etap</w:t>
    </w:r>
  </w:p>
  <w:p w14:paraId="57457600" w14:textId="303F78EF" w:rsidR="00B1156E" w:rsidRPr="00DF5929" w:rsidRDefault="00B1156E" w:rsidP="00DF59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62686"/>
    <w:rsid w:val="00087306"/>
    <w:rsid w:val="000962DD"/>
    <w:rsid w:val="000D299D"/>
    <w:rsid w:val="001033A0"/>
    <w:rsid w:val="001117BB"/>
    <w:rsid w:val="0011644B"/>
    <w:rsid w:val="00133085"/>
    <w:rsid w:val="001E2A06"/>
    <w:rsid w:val="001F086F"/>
    <w:rsid w:val="001F189D"/>
    <w:rsid w:val="00211205"/>
    <w:rsid w:val="002318B3"/>
    <w:rsid w:val="0023769A"/>
    <w:rsid w:val="00243596"/>
    <w:rsid w:val="002501C1"/>
    <w:rsid w:val="00274790"/>
    <w:rsid w:val="002C428D"/>
    <w:rsid w:val="002E0D5F"/>
    <w:rsid w:val="003317B9"/>
    <w:rsid w:val="003700F2"/>
    <w:rsid w:val="0039032C"/>
    <w:rsid w:val="003E6AA4"/>
    <w:rsid w:val="004D68D8"/>
    <w:rsid w:val="004F2273"/>
    <w:rsid w:val="004F2380"/>
    <w:rsid w:val="0052144B"/>
    <w:rsid w:val="00575782"/>
    <w:rsid w:val="006137D0"/>
    <w:rsid w:val="00655FF7"/>
    <w:rsid w:val="006A3356"/>
    <w:rsid w:val="006E6CBB"/>
    <w:rsid w:val="006F41E7"/>
    <w:rsid w:val="00772F2B"/>
    <w:rsid w:val="007C121C"/>
    <w:rsid w:val="007F0158"/>
    <w:rsid w:val="008A4F25"/>
    <w:rsid w:val="00987141"/>
    <w:rsid w:val="009B504D"/>
    <w:rsid w:val="009F717A"/>
    <w:rsid w:val="00A21C72"/>
    <w:rsid w:val="00AA39E8"/>
    <w:rsid w:val="00B03228"/>
    <w:rsid w:val="00B1156E"/>
    <w:rsid w:val="00B160FC"/>
    <w:rsid w:val="00B83C37"/>
    <w:rsid w:val="00BA0BE0"/>
    <w:rsid w:val="00C16AB8"/>
    <w:rsid w:val="00CA48C0"/>
    <w:rsid w:val="00CA6669"/>
    <w:rsid w:val="00CF030F"/>
    <w:rsid w:val="00CF31C5"/>
    <w:rsid w:val="00CF4739"/>
    <w:rsid w:val="00D0044F"/>
    <w:rsid w:val="00DD1BE0"/>
    <w:rsid w:val="00DF5929"/>
    <w:rsid w:val="00E1173F"/>
    <w:rsid w:val="00EE3E70"/>
    <w:rsid w:val="00F517EF"/>
    <w:rsid w:val="00FC6C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18A8-5C09-45B9-8129-9B46D312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8204</Words>
  <Characters>49226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10</cp:revision>
  <cp:lastPrinted>2021-02-01T09:07:00Z</cp:lastPrinted>
  <dcterms:created xsi:type="dcterms:W3CDTF">2020-04-20T05:30:00Z</dcterms:created>
  <dcterms:modified xsi:type="dcterms:W3CDTF">2021-02-01T10:51:00Z</dcterms:modified>
</cp:coreProperties>
</file>