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XXI/205/20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stawek jednostkowych dotacji przedmiotowej dla zakładu budżetowego Zakładu Gospodarki Komunalnej i Mieszkaniowej w Gołańczy na rok 2021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jednostkową stawkę dotacji przedmiotowej jako dopłatę do ceny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ścieków bytowych, dowożonych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gminy, dla Zakładu Gospodarki Komunalnej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Mieszkaniowej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Gołańczy,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wysokości: 1,30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do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rok 2021.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09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  <w:t>Rada Miasta i Gminy w dniu 25 czerwca 2019 roku, Uchwałą nr IX/92/19 zatwierdziła opłatę za ścieki bytowe dowożone wozami asenizacyjnymi, od mieszkańców gminy Gołańcz, do stacji zlewnej w Gołańczy. W celu wyrównania różnicy dochodów przyznano dotację. Wielkość dotacji ustalono następująco: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709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X="1" w:tblpY="234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1357"/>
        <w:gridCol w:w="1134"/>
        <w:gridCol w:w="1701"/>
        <w:gridCol w:w="1418"/>
        <w:gridCol w:w="1559"/>
      </w:tblGrid>
      <w:tr>
        <w:tblPrEx>
          <w:tblW w:w="8897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planowana ilość ścieków dowożonych w m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opłata brutto dla mieszkańca gminy Gołańcz </w:t>
            </w:r>
          </w:p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w zł/1m3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wartość brutto</w:t>
            </w:r>
          </w:p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cena podstawowa ścieków dowożonych bytowych brutto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 xml:space="preserve">wartość brutto </w:t>
            </w:r>
          </w:p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 xml:space="preserve">różnica brutto </w:t>
            </w:r>
          </w:p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w    zł</w:t>
            </w:r>
          </w:p>
        </w:tc>
      </w:tr>
      <w:tr>
        <w:tblPrEx>
          <w:tblW w:w="8897" w:type="dxa"/>
          <w:tblInd w:w="0" w:type="dxa"/>
          <w:tblLayout w:type="fixed"/>
          <w:tblLook w:val="01E0"/>
        </w:tblPrEx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20.000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4,54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90.800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</w:p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116.800</w:t>
            </w:r>
          </w:p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0"/>
              <w:keepNext w:val="0"/>
              <w:keepLines w:val="0"/>
              <w:framePr w:w="0" w:h="0" w:hRule="auto" w:hSpace="0" w:vSpace="0" w:wrap="auto" w:vAnchor="margin" w:hAnchor="text" w:xAlign="left" w:yAlign="inline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sz w:val="28"/>
                <w:u w:val="none"/>
                <w:shd w:val="clear" w:color="auto" w:fill="FFFFFF"/>
                <w:vertAlign w:val="baseline"/>
              </w:rPr>
              <w:t>26.000</w:t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  <w:t>Jednostkowa stawka dotacji (różnica brutto w zł : planowana ilość ścieków dowożonych w m</w:t>
      </w:r>
      <w:r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superscript"/>
        </w:rPr>
        <w:t>3</w:t>
      </w:r>
      <w:r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  <w:t>)  26 000,00 zł : 20 000 m</w:t>
      </w:r>
      <w:r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superscript"/>
        </w:rPr>
        <w:t>3</w:t>
      </w:r>
      <w:r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  <w:t xml:space="preserve"> =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  <w:t>1,30 zł/m</w:t>
      </w:r>
      <w:r>
        <w:rPr>
          <w:rStyle w:val="DefaultParagraphFont"/>
          <w:b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superscript"/>
        </w:rPr>
        <w:t>3</w:t>
      </w:r>
      <w:r>
        <w:rPr>
          <w:rStyle w:val="DefaultParagraphFont"/>
          <w:i w:val="0"/>
          <w:caps w:val="0"/>
          <w:strike w:val="0"/>
          <w:noProof w:val="0"/>
          <w:vanish w:val="0"/>
          <w:sz w:val="28"/>
          <w:u w:val="none"/>
          <w:shd w:val="clear" w:color="auto" w:fill="FFFFFF"/>
          <w:vertAlign w:val="baseline"/>
        </w:rPr>
        <w:t xml:space="preserve">.                                          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802"/>
        <w:gridCol w:w="4802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left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SIGNATURE_0_1_FUNCTION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360" w:lineRule="auto"/>
              <w:ind w:left="0" w:right="0" w:firstLine="0"/>
              <w:contextualSpacing w:val="0"/>
              <w:jc w:val="center"/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</w:pP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SIGNATURE_0_1_FIRSTNAME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 xml:space="preserve">Karol 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begin"/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instrText>SIGNATURE_0_1_LASTNAME</w:instrTex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separate"/>
            </w:r>
            <w:r>
              <w:rPr>
                <w:rStyle w:val="DefaultParagraphFont"/>
                <w:b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t>Brzeziński</w:t>
            </w:r>
            <w:r>
              <w:rPr>
                <w:rStyle w:val="DefaultParagraphFont"/>
                <w:i w:val="0"/>
                <w:caps w:val="0"/>
                <w:strike w:val="0"/>
                <w:noProof w:val="0"/>
                <w:vanish w:val="0"/>
                <w:u w:val="none"/>
                <w:shd w:val="clear" w:color="auto" w:fill="FFFFFF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5579E4D2-7127-45D8-BBE1-B0E86259EFE6.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5579E4D2-7127-45D8-BBE1-B0E86259EFE6.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XXI/205/20 z dnia 29 września 2020 r.</dc:title>
  <dc:subject>w sprawie ustalenia stawek jednostkowych dotacji przedmiotowej dla zakładu budżetowego Zakładu Gospodarki Komunalnej i^Mieszkaniowej w^Gołańczy na rok 2021</dc:subject>
  <dc:creator>Alina Wachowiak</dc:creator>
  <cp:lastModifiedBy>Alina Wachowiak</cp:lastModifiedBy>
  <cp:revision>1</cp:revision>
  <dcterms:created xsi:type="dcterms:W3CDTF">2020-09-30T10:03:01Z</dcterms:created>
  <dcterms:modified xsi:type="dcterms:W3CDTF">2020-09-30T10:03:01Z</dcterms:modified>
  <cp:category>Akt prawny</cp:category>
</cp:coreProperties>
</file>