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XI/109/19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i Gminy Gołańcz</w:t>
      </w:r>
    </w:p>
    <w:p w:rsidR="00A77B3E">
      <w:pPr>
        <w:spacing w:before="40" w:after="4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września 2019 r.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wysokości stawek podatku od nieruchomości na 2020 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1309,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1571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1696)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podatkach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opłatach lokalnych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1170,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2244 oraz M. P.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738), Rada Miasta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Gminy Gołańcz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0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0"/>
          <w:u w:val="none"/>
          <w:vertAlign w:val="baseline"/>
        </w:rPr>
        <w:t>Ustala się roczne stawki podatku od nieruchomości na terenie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0"/>
          <w:u w:val="none"/>
          <w:vertAlign w:val="baseline"/>
        </w:rPr>
        <w:t>Gminy Gołańcz na rok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0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0"/>
          <w:u w:val="none"/>
          <w:vertAlign w:val="baseline"/>
        </w:rPr>
        <w:t>wysokości: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0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od budynków lub ich części:</w:t>
      </w:r>
    </w:p>
    <w:p w:rsidR="00A77B3E">
      <w:pPr>
        <w:keepNext w:val="0"/>
        <w:keepLines/>
        <w:spacing w:before="0" w:after="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0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 xml:space="preserve">mieszkalnych 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0,69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 xml:space="preserve">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 xml:space="preserve"> powierzchni użytkowej,</w:t>
      </w:r>
    </w:p>
    <w:p w:rsidR="00A77B3E">
      <w:pPr>
        <w:keepNext w:val="0"/>
        <w:keepLines/>
        <w:spacing w:before="0" w:after="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0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 xml:space="preserve">prowadzeniem działalności gospodarczej oraz od budynków mieszkalnych lub ich części zajętych na prowadzenie działalności gospodarczej 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18,59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 xml:space="preserve">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 xml:space="preserve"> powierzchni użytkowej,</w:t>
      </w:r>
    </w:p>
    <w:p w:rsidR="00A77B3E">
      <w:pPr>
        <w:keepNext w:val="0"/>
        <w:keepLines/>
        <w:spacing w:before="0" w:after="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0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zajętych na prowadzenie działalności gospodarczej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 xml:space="preserve">zakresie obrotu kwalifikowanym materiałem siewnym 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11,18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 xml:space="preserve">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 xml:space="preserve"> powierzchni użytkowej,</w:t>
      </w:r>
    </w:p>
    <w:p w:rsidR="00A77B3E">
      <w:pPr>
        <w:keepNext w:val="0"/>
        <w:keepLines/>
        <w:spacing w:before="0" w:after="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0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udzielaniem świadczeń zdrowotnych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rozumieniu przepisów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 xml:space="preserve">działalności leczniczej, zajętych przez podmioty udzielające tych świadczeń 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4,87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 xml:space="preserve">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 xml:space="preserve"> powierzchni użytkowej,</w:t>
      </w:r>
    </w:p>
    <w:p w:rsidR="00A77B3E">
      <w:pPr>
        <w:keepNext w:val="0"/>
        <w:keepLines/>
        <w:spacing w:before="0" w:after="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0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pozostałych,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 xml:space="preserve">tym zajętych na prowadzenie odpłatnej statutowej działalności pożytku publicznego przez organizacje pożytku publicznego 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6,46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 xml:space="preserve">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 xml:space="preserve"> powierzchni użytkowej;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0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2% wartości budowli określonej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3-7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podatkach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opłatach lokalnych;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0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od gruntów:</w:t>
      </w:r>
    </w:p>
    <w:p w:rsidR="00A77B3E">
      <w:pPr>
        <w:keepNext w:val="0"/>
        <w:keepLines/>
        <w:spacing w:before="0" w:after="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0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prowadzeniem działalności gospodarczej, bez względu na sposób zakwalifikowania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ewidencji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 xml:space="preserve">budynków 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0,81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 xml:space="preserve">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 xml:space="preserve"> powierzchni,</w:t>
      </w:r>
    </w:p>
    <w:p w:rsidR="00A77B3E">
      <w:pPr>
        <w:keepNext w:val="0"/>
        <w:keepLines/>
        <w:spacing w:before="0" w:after="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0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pod wodami powierzchniowymi stojącymi lub wodami powierzchniowymi płynącymi jezior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 xml:space="preserve">zbiorników sztucznych 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4,80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 xml:space="preserve">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ha powierzchni,</w:t>
      </w:r>
    </w:p>
    <w:p w:rsidR="00A77B3E">
      <w:pPr>
        <w:keepNext w:val="0"/>
        <w:keepLines/>
        <w:spacing w:before="0" w:after="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0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pozostałych,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 xml:space="preserve">tym zajętych na prowadzenie odpłatnej statutowej działalności pożytku publicznego przez organizacje pożytku publicznego 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0,21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 xml:space="preserve">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 xml:space="preserve"> powierzchni użytkowej,</w:t>
      </w:r>
    </w:p>
    <w:p w:rsidR="00A77B3E">
      <w:pPr>
        <w:keepNext w:val="0"/>
        <w:keepLines/>
        <w:spacing w:before="0" w:after="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0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niezabudowanych objętych obszarem rewitalizacji,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ustawie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dnia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października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rewitalizacji,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położonych na terenach, dla których miejscowy plan zagospodarowania przestrzennego przewiduje przeznaczenie pod zabudowę mieszkaniową, usługową albo zabudowę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przeznaczeniu mieszanym obejmującym wyłącznie te rodzaje zabudowy, jeżeli od dnia wejścia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życie tego planu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odniesieniu do tych gruntów upłynął okres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lat,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w tym czasie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zakończono budowy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 xml:space="preserve">przepisami prawa budowlanego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3,15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0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 xml:space="preserve">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 xml:space="preserve"> powierzchni.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0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Podatek można uiszczać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kasie urzędu lub na rachunek bankowy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0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Gminy Gołańcz.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0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Traci moc Uchwała nr XL/425/18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września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sprawie określenia wysokości stawek podatku od nieruchomości na rok 2019.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0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Uchwała podlega publikacji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Dzienniku Urzędowym Województwa Wielkopolskiego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stycznia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t>roku.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Przewodniczący Rady Miasta i Gminy Gołańcz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br/>
            </w:r>
            <w:r>
              <w:rPr>
                <w:b/>
                <w:i w:val="0"/>
              </w:rPr>
              <w:t>Karol Brzeziński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 myśl art. 20 ust. 1 ustawy o podatkach i opłatach lokalnych (Dz. U. z 2019 r., poz. 1170 z późn. zm.) górne granice stawek kwotowych obowiązujące w danym roku podatkowym ulegają corocznie zmianie na następny rok podatkowy w stopniu odpowiadającym wskaźnikowi cen towarów i usług konsumpcyjnych w okresie pierwszego półrocza roku, w którym stawki ulegają zmianie, w stosunku do analogicznego okresu roku poprzedniego. Wg komunikatu Prezesa Głównego Urzędu Statystycznego z dnia 15 lipca 2019 r. opublikowanym w Monitorze Polskim poz. 689 wskaźnik cen towarów i usług konsumpcyjnych w okresie I półrocza 2019 r. w stosunku do I półrocza 2018 r. wyniósł 101,8 (wzrost cen o 1,8 %). Zgodnie z art. 5 ust. 1 ustawy o podatkach i opłatach lokalnych Rada Miasta i Gminy, w drodze uchwały określa wysokość stawek podatku od nieruchomości, z tym że stawki na 2020 rok nie mogą przekroczyć stawek górnych granic stawek kwotowych ogłoszonych w Obwieszczeniu Ministra Finansów z dnia 24 lipca 2019 roku i opublikowanych w Monitorze Polskim z 6 sierpnia 2019 roku poz. 738.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Niżej wymienione stawki podatku od nieruchomości na terenie Miasta i Gminy Gołańcz na 2020 rok zwiększono o 1,8 % w stosunku do uchwalonych stawek podatku od nieruchomości na rok 2019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1) od budynków lub ich części zajętych na prowadzenie działalności gospodarczej w zakresie obrotu kwalifikowanym materiałem siewnym -od 1 m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superscript"/>
        </w:rPr>
        <w:t>2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 xml:space="preserve"> powierzchni użytkowej,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 xml:space="preserve">2) od budynków lub ich części związanych z udzielaniem świadczeń zdrowotnych w rozumieniu przepisów o działalności leczniczej, zajętych przez podmioty udzielające tych świadczeń od 1 m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superscript"/>
        </w:rPr>
        <w:t>2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 xml:space="preserve"> powierzchni użytkowej,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3) od gruntów: pod wodami powierzchniowymi stojącymi lub wodami powierzchniowymi płynącymi jezior i zbiorników sztucznych - od 1 ha powierzchni,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 xml:space="preserve">4) od gruntów: niezabudowanych objętych obszarem rewitalizacji, o którym mowa w ustawie z dnia 9 października 2015 r. o rewitalizacji (Dz. U. z 2018 r. poz. 1398 z późn. zm.) i położonych na terenach, dla których miejscowy plan zagospodarowania przestrzennego przewiduje przeznaczenie pod zabudowę mieszkaniową, usługową albo zabudowę o przeznaczeniu mieszanym obejmującym wyłącznie te rodzaje zabudowy, jeżeli od dnia wejścia w życie tego planu w odniesieniu do tych gruntów upłynął okres 4 lat, a w tym czasie nie zakończono budowy zgodnie z przepisami prawa budowlanego- od 1 m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superscript"/>
        </w:rPr>
        <w:t>2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 xml:space="preserve"> wprowadzając, tak jak w roku 2019, stawki ustawowe.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ab/>
        <w:t>Podatek od nieruchomości od budowli wynosi 2% wartości budowli określonej na podstawie art. 4 ust. 1 pkt 3 i ust. 3-7 ustawy o podatkach i opłatach lokalnych.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  <w:t>Pozostałe stawki podatku wzrastają o 5% w stosunku do uchwalonych stawek podatku od nieruchomości na rok 2019.</w:t>
      </w:r>
    </w:p>
    <w:tbl>
      <w:tblPr>
        <w:tblStyle w:val="TableSimple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961"/>
        <w:gridCol w:w="4961"/>
      </w:tblGrid>
      <w:tr>
        <w:tblPrEx>
          <w:tblW w:w="5000" w:type="pct"/>
          <w:tblInd w:w="283" w:type="dxa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2500" w:type="pct"/>
            <w:tcBorders>
              <w:righ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</w:p>
        </w:tc>
        <w:tc>
          <w:tcPr>
            <w:tcW w:w="2500" w:type="pct"/>
            <w:tcBorders>
              <w:lef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  <w:instrText>SIGNATURE_0_1_FUNCTION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  <w:t>Przewodniczący Rady Miasta i Gminy Gołańcz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  <w:fldChar w:fldCharType="end"/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  <w:t xml:space="preserve">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  <w:instrText>SIGNATURE_0_1_FIRSTNAME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  <w:t xml:space="preserve">Karol 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  <w:instrText>SIGNATURE_0_1_LASTNAME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  <w:t>Brzeziński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000000"/>
                <w:sz w:val="22"/>
                <w:u w:val="none" w:color="000000"/>
                <w:shd w:val="clear" w:color="auto" w:fill="auto"/>
                <w:vertAlign w:val="baseline"/>
              </w:rPr>
              <w:fldChar w:fldCharType="end"/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0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2"/>
          <w:u w:val="none" w:color="000000"/>
          <w:shd w:val="clear" w:color="auto" w:fill="auto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F0F9C9C6-25EC-41D4-AE98-1BA40A85DDD1.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F0F9C9C6-25EC-41D4-AE98-1BA40A85DDD1.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i Gminy Gołańcz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XI/109/19 z dnia 24 września 2019 r.</dc:title>
  <dc:subject>w sprawie określenia wysokości stawek podatku od nieruchomości na 2020^r.</dc:subject>
  <dc:creator>Alina Wachowiak</dc:creator>
  <cp:lastModifiedBy>Alina Wachowiak</cp:lastModifiedBy>
  <cp:revision>1</cp:revision>
  <dcterms:created xsi:type="dcterms:W3CDTF">2019-09-25T09:03:47Z</dcterms:created>
  <dcterms:modified xsi:type="dcterms:W3CDTF">2019-09-25T09:03:47Z</dcterms:modified>
  <cp:category>Akt prawny</cp:category>
</cp:coreProperties>
</file>