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X/99/19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40" w:after="4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sierpnia 2019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do budżetu Miasta i Gminy Gołańcz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1309),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212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869) Rada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uchwalonym Uchwałą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uchwały budżetowej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zmienionym:Zarządzeniem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0050.11.2019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V/30/19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0050.29.2019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VI/61/19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0050.39.2019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VII/71/19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0050.48.2019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0050.54.2019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0050.56.2019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XI/96/19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0050.63.2019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0050.71.2019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0050.85.2019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wprowadza się następujące zmiany: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kwotę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50.600,00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40.738.535,49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 zmieniającym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dochody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39.753.961,49  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dochody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984.574,00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50.600,00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42.526.790,49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 zmieniającym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wydatki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39.123.157,53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wydatki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3.403.632,96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Gminy Gołańcz.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Dzienniku Urzędowym Województwa Wielkopolskiego.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X/99/19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sierpnia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X/99/19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sierpnia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X/99/19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sierpnia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X/99/19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sierpnia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"Zalacznik4.pdf"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Zalacznik4.pdf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72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budżecie Miasta i Gminy Gołańcz na 2019 roku dokonuje się zmian w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dochodach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w wyniku analizy za 7 m-cy roku budżetowego.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685"/>
        <w:gridCol w:w="933"/>
        <w:gridCol w:w="856"/>
        <w:gridCol w:w="960"/>
        <w:gridCol w:w="4354"/>
        <w:gridCol w:w="1817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2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1269"/>
        </w:trPr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756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50 600,00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5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75618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innych opłat stanowiących dochody jednostek samorządu terytorialnego na podstawie ustaw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50 600,00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5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7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0490</w:t>
            </w:r>
          </w:p>
        </w:tc>
        <w:tc>
          <w:tcPr>
            <w:tcW w:w="2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50 600,00</w:t>
            </w:r>
          </w:p>
        </w:tc>
      </w:tr>
    </w:tbl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w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pływy z innych opłat stanowiących dochody jednostek samorządu terytorialnego na podstawie ustaw dokonuje się zwiększenia planowanych dochodów z tytułu opłaty za zajecie pasa drogowego.</w:t>
      </w: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50.600,00.</w:t>
      </w: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72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Zmiany w wydatkach: (bez funduszu sołeckiego)</w:t>
      </w:r>
    </w:p>
    <w:tbl>
      <w:tblPr>
        <w:tblStyle w:val="TableNormal"/>
        <w:tblW w:w="0" w:type="auto"/>
        <w:tblInd w:w="322" w:type="dxa"/>
        <w:tblCellMar>
          <w:left w:w="0" w:type="dxa"/>
          <w:right w:w="0" w:type="dxa"/>
        </w:tblCellMar>
        <w:tblLook w:val="04A0"/>
      </w:tblPr>
      <w:tblGrid>
        <w:gridCol w:w="1013"/>
        <w:gridCol w:w="1046"/>
        <w:gridCol w:w="1072"/>
        <w:gridCol w:w="4435"/>
        <w:gridCol w:w="1717"/>
      </w:tblGrid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263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1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259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Transport i łączność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-50 000,00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568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60017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Drogi wewnętrzne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-50 000,00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548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6050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-50 000,00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700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Przebudowa ciągów komunikacyjnych na ul. K.Libelta w Gołańczy  - IX etap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-50 000,00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drogi wewnętrzne dokonuje się zmniejszenia planowanych wydatków budżetowych w wyniku przeprowadzenia procedury przetargowej (mniejsza wartość zadania).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Zmniejszenie  o kwotę 50.000,00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0" w:type="auto"/>
        <w:tblInd w:w="322" w:type="dxa"/>
        <w:tblCellMar>
          <w:left w:w="0" w:type="dxa"/>
          <w:right w:w="0" w:type="dxa"/>
        </w:tblCellMar>
        <w:tblLook w:val="04A0"/>
      </w:tblPr>
      <w:tblGrid>
        <w:gridCol w:w="1013"/>
        <w:gridCol w:w="1046"/>
        <w:gridCol w:w="1104"/>
        <w:gridCol w:w="4411"/>
        <w:gridCol w:w="1708"/>
      </w:tblGrid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560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Bezpieczeństwo publiczne i ochrona przeciwpożarowa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444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75412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Ochotnicze straże pożarne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ochotnicze straże pożarne dokonuje się zwiększenia o 500,00 w § 4210  dla OSP Morakowo.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500,00</w:t>
      </w:r>
    </w:p>
    <w:tbl>
      <w:tblPr>
        <w:tblStyle w:val="TableNormal"/>
        <w:tblW w:w="0" w:type="auto"/>
        <w:tblInd w:w="322" w:type="dxa"/>
        <w:tblCellMar>
          <w:left w:w="0" w:type="dxa"/>
          <w:right w:w="0" w:type="dxa"/>
        </w:tblCellMar>
        <w:tblLook w:val="04A0"/>
      </w:tblPr>
      <w:tblGrid>
        <w:gridCol w:w="1013"/>
        <w:gridCol w:w="1046"/>
        <w:gridCol w:w="1104"/>
        <w:gridCol w:w="4411"/>
        <w:gridCol w:w="1708"/>
      </w:tblGrid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Oświata i wychowanie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50 000,00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Szkoły podstawowe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31 325,00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392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4010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Wynagrodzenia osobowe pracowników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26 200,00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4110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Składki na ubezpieczenia społeczne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4 483,00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963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4120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642,00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471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420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4260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energii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-1 000,00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397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4270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usług remontowych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-2 000,00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559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80103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Oddziały przedszkolne w szkołach podstawowych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8 150,00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540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4010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Wynagrodzenia osobowe pracowników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6 800,00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406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4040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Dodatkowe wynagrodzenie roczne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410,00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438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4110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Składki na ubezpieczenia społeczne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815,00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753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4120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125,00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458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80104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Przedszkola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10 525,00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428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4010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Wynagrodzenia osobowe pracowników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8 800,00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392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4110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Składki na ubezpieczenia społeczne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1 510,00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849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4120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215,00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80" w:afterAutospacing="0" w:line="240" w:lineRule="auto"/>
        <w:ind w:left="0" w:right="0" w:firstLine="72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 dziale  oświata  i  wychowanie  dokonuje  się zwiększenia w szkołach podstawowych oraz oddziałach przedszkolnych i przedszkolu w zakresie wynagrodzeń i pochodnych od wynagrodzeń (§ 4010,§ 4110 § 4120). Zwiększenia wynikają z podwyżek kwoty dodatku dla nauczyciela – wychowawcy w szkołach i przedszkolach.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8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Dodatkowo w Szkole Podstawowej Smogulec dokonuje się zmian pomiędzy paragrafami w celu zakupu dwóch  kamer zewnętrznych.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50.000,00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0" w:type="auto"/>
        <w:tblInd w:w="322" w:type="dxa"/>
        <w:tblCellMar>
          <w:left w:w="0" w:type="dxa"/>
          <w:right w:w="0" w:type="dxa"/>
        </w:tblCellMar>
        <w:tblLook w:val="04A0"/>
      </w:tblPr>
      <w:tblGrid>
        <w:gridCol w:w="1013"/>
        <w:gridCol w:w="1046"/>
        <w:gridCol w:w="1109"/>
        <w:gridCol w:w="3903"/>
        <w:gridCol w:w="2212"/>
      </w:tblGrid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663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Kultura i ochrona dziedzictwa narodowego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560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92109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Domy i ośrodki kultury, świetlice i kluby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751"/>
        </w:trPr>
        <w:tc>
          <w:tcPr>
            <w:tcW w:w="9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2480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Dotacja podmiotowa z budżetu dla samorządowej instytucji kultury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domy i ośrodki kultury, świetlice i kluby dokonuje się zwiększenia planu dotacji podmiotowej z budżetu o 100,00, w tym: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- świetlica wiejska Morakowo – zmniejszenie o kwotę 500,00;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- świetlica wiejska Gręziny – zwiększenie o kwotę 600,00.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100,00.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0" w:type="auto"/>
        <w:tblInd w:w="322" w:type="dxa"/>
        <w:tblCellMar>
          <w:left w:w="0" w:type="dxa"/>
          <w:right w:w="0" w:type="dxa"/>
        </w:tblCellMar>
        <w:tblLook w:val="04A0"/>
      </w:tblPr>
      <w:tblGrid>
        <w:gridCol w:w="986"/>
        <w:gridCol w:w="1262"/>
        <w:gridCol w:w="1240"/>
        <w:gridCol w:w="4216"/>
        <w:gridCol w:w="1579"/>
      </w:tblGrid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926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Kultura fizyczna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50 000,00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244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92601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Obiekty sportowe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50 000,00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553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6050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-120 000,00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689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Utworzenie Otwartej Strefy Aktywności w Rybowie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-120 000,00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686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6058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72 160,75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696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Utworzenie Otwartej Strefy Aktywności w Rybowie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72 160,75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855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6059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97 839,25</w:t>
            </w:r>
          </w:p>
        </w:tc>
      </w:tr>
      <w:tr>
        <w:tblPrEx>
          <w:tblW w:w="0" w:type="auto"/>
          <w:tblInd w:w="322" w:type="dxa"/>
          <w:tblCellMar>
            <w:left w:w="0" w:type="dxa"/>
            <w:right w:w="0" w:type="dxa"/>
          </w:tblCellMar>
          <w:tblLook w:val="04A0"/>
        </w:tblPrEx>
        <w:trPr>
          <w:trHeight w:hRule="exact" w:val="52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Utworzenie Otwartej Strefy Aktywności w Rybowie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95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97 839,25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rozdziale obiekty sportowe dokonuje się przekwalifikowania i zwiększenia wydatków przy zadaniu o nazwie: 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Utworzenie Otwartej Strefy Aktywności w Rybowie.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 xml:space="preserve">W dniu 27.06.2019 r. podpisano umowę z Województwem Wielkopolskim nr 00070-6523.2-SW1510089/18/19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na dofinansowanie</w:t>
      </w:r>
      <w:r>
        <w:rPr>
          <w:rStyle w:val="DefaultParagraphFont"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 xml:space="preserve"> zdania w kwocie 84.895,00, w tym z środków Unii Europejskiej w ramach EFMR – 72.160,75  i 12.734,25 wkład krajowy.  Jednocześnie w związku z postępowaniem przetargowym na realizację zadania zaistniała konieczność zwiększenia środków finansowych o kwotę 50.000,00.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50.000,00</w:t>
      </w: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802"/>
        <w:gridCol w:w="4802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Karol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Brzeziński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9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2AA74E03-BC2A-4345-86D6-2BC663A53477.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2AA74E03-BC2A-4345-86D6-2BC663A53477.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2AA74E03-BC2A-4345-86D6-2BC663A53477.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2AA74E03-BC2A-4345-86D6-2BC663A53477.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2AA74E03-BC2A-4345-86D6-2BC663A53477.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2AA74E03-BC2A-4345-86D6-2BC663A53477.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X/99/19 z dnia 29 sierpnia 2019 r.</dc:title>
  <dc:subject>w sprawie zmian do budżetu Miasta i^Gminy Gołańcz na 2019^rok</dc:subject>
  <dc:creator>Alina Wachowiak</dc:creator>
  <cp:lastModifiedBy>Alina Wachowiak</cp:lastModifiedBy>
  <cp:revision>1</cp:revision>
  <dcterms:created xsi:type="dcterms:W3CDTF">2019-08-30T10:46:08Z</dcterms:created>
  <dcterms:modified xsi:type="dcterms:W3CDTF">2019-08-30T10:46:08Z</dcterms:modified>
  <cp:category>Akt prawny</cp:category>
</cp:coreProperties>
</file>