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12" w:rsidRPr="00FB0A12" w:rsidRDefault="00FB0A12" w:rsidP="00FB0A12">
      <w:pPr>
        <w:pBdr>
          <w:bottom w:val="single" w:sz="6" w:space="1" w:color="auto"/>
        </w:pBdr>
        <w:spacing w:after="0" w:line="240" w:lineRule="auto"/>
        <w:jc w:val="center"/>
        <w:rPr>
          <w:rFonts w:eastAsia="Times New Roman" w:cstheme="minorHAnsi"/>
          <w:vanish/>
          <w:sz w:val="14"/>
          <w:szCs w:val="16"/>
          <w:lang w:eastAsia="pl-PL"/>
        </w:rPr>
      </w:pPr>
      <w:r w:rsidRPr="00FB0A12">
        <w:rPr>
          <w:rFonts w:eastAsia="Times New Roman" w:cstheme="minorHAnsi"/>
          <w:vanish/>
          <w:sz w:val="14"/>
          <w:szCs w:val="16"/>
          <w:lang w:eastAsia="pl-PL"/>
        </w:rPr>
        <w:t>Początek formularza</w:t>
      </w:r>
    </w:p>
    <w:p w:rsidR="00FB0A12" w:rsidRPr="00FB0A12" w:rsidRDefault="00FB0A12" w:rsidP="00FB0A12">
      <w:pPr>
        <w:spacing w:after="240" w:line="240" w:lineRule="auto"/>
        <w:jc w:val="center"/>
        <w:rPr>
          <w:rFonts w:eastAsia="Times New Roman" w:cstheme="minorHAnsi"/>
          <w:szCs w:val="24"/>
          <w:lang w:eastAsia="pl-PL"/>
        </w:rPr>
      </w:pPr>
      <w:r w:rsidRPr="00FB0A12">
        <w:rPr>
          <w:rFonts w:eastAsia="Times New Roman" w:cstheme="minorHAnsi"/>
          <w:szCs w:val="24"/>
          <w:lang w:eastAsia="pl-PL"/>
        </w:rPr>
        <w:br/>
      </w:r>
      <w:r w:rsidRPr="00FB0A12">
        <w:rPr>
          <w:rFonts w:eastAsia="Times New Roman" w:cstheme="minorHAnsi"/>
          <w:szCs w:val="24"/>
          <w:lang w:eastAsia="pl-PL"/>
        </w:rPr>
        <w:br/>
      </w:r>
      <w:r w:rsidRPr="00FB0A12">
        <w:rPr>
          <w:rFonts w:eastAsia="Times New Roman" w:cstheme="minorHAnsi"/>
          <w:b/>
          <w:sz w:val="28"/>
          <w:szCs w:val="24"/>
          <w:lang w:eastAsia="pl-PL"/>
        </w:rPr>
        <w:t>OGŁOSZENIE O ZAMÓWIENIU</w:t>
      </w:r>
      <w:r w:rsidRPr="00FB0A12">
        <w:rPr>
          <w:rFonts w:eastAsia="Times New Roman" w:cstheme="minorHAnsi"/>
          <w:sz w:val="28"/>
          <w:szCs w:val="24"/>
          <w:lang w:eastAsia="pl-PL"/>
        </w:rPr>
        <w:t xml:space="preserve"> </w:t>
      </w:r>
      <w:r w:rsidRPr="00FB0A12">
        <w:rPr>
          <w:rFonts w:eastAsia="Times New Roman" w:cstheme="minorHAnsi"/>
          <w:szCs w:val="24"/>
          <w:lang w:eastAsia="pl-PL"/>
        </w:rPr>
        <w:t>- Roboty budowlane</w:t>
      </w:r>
    </w:p>
    <w:p w:rsidR="00FB0A12" w:rsidRPr="00FB0A12" w:rsidRDefault="00FB0A12" w:rsidP="00FB0A12">
      <w:pPr>
        <w:spacing w:after="0" w:line="240" w:lineRule="auto"/>
        <w:rPr>
          <w:rFonts w:eastAsia="Times New Roman" w:cstheme="minorHAnsi"/>
          <w:szCs w:val="24"/>
          <w:lang w:eastAsia="pl-PL"/>
        </w:rPr>
      </w:pPr>
      <w:r>
        <w:rPr>
          <w:rFonts w:eastAsia="Times New Roman" w:cstheme="minorHAnsi"/>
          <w:szCs w:val="24"/>
          <w:lang w:eastAsia="pl-PL"/>
        </w:rPr>
        <w:t>Nr ogłoszenia BZP:</w:t>
      </w:r>
      <w:r w:rsidRPr="00FB0A12">
        <w:rPr>
          <w:rFonts w:eastAsia="Times New Roman" w:cstheme="minorHAnsi"/>
          <w:szCs w:val="24"/>
          <w:lang w:eastAsia="pl-PL"/>
        </w:rPr>
        <w:t xml:space="preserve"> 575197-N-2019 z dnia 2019-07-18 r. </w:t>
      </w:r>
    </w:p>
    <w:p w:rsidR="00FB0A12" w:rsidRPr="00FB0A12" w:rsidRDefault="00FB0A12" w:rsidP="00FB0A12">
      <w:pPr>
        <w:spacing w:after="0" w:line="240" w:lineRule="auto"/>
        <w:rPr>
          <w:rFonts w:eastAsia="Times New Roman" w:cstheme="minorHAnsi"/>
          <w:szCs w:val="24"/>
          <w:lang w:eastAsia="pl-PL"/>
        </w:rPr>
      </w:pPr>
      <w:r>
        <w:rPr>
          <w:rFonts w:eastAsia="Times New Roman" w:cstheme="minorHAnsi"/>
          <w:szCs w:val="24"/>
          <w:lang w:eastAsia="pl-PL"/>
        </w:rPr>
        <w:t>Nazwa zadania</w:t>
      </w:r>
      <w:r w:rsidRPr="00FB0A12">
        <w:rPr>
          <w:rFonts w:eastAsia="Times New Roman" w:cstheme="minorHAnsi"/>
          <w:szCs w:val="24"/>
          <w:lang w:eastAsia="pl-PL"/>
        </w:rPr>
        <w:t>: Utworzenie Otwartej Strefy Aktywności w Laskownicy Wielkiej</w:t>
      </w:r>
      <w:r w:rsidRPr="00FB0A12">
        <w:rPr>
          <w:rFonts w:eastAsia="Times New Roman" w:cstheme="minorHAnsi"/>
          <w:szCs w:val="24"/>
          <w:lang w:eastAsia="pl-PL"/>
        </w:rPr>
        <w:br/>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Zamieszczanie ogłoszenia:</w:t>
      </w:r>
      <w:r w:rsidRPr="00FB0A12">
        <w:rPr>
          <w:rFonts w:eastAsia="Times New Roman" w:cstheme="minorHAnsi"/>
          <w:szCs w:val="24"/>
          <w:lang w:eastAsia="pl-PL"/>
        </w:rPr>
        <w:t xml:space="preserve"> Zamieszczanie obowiązkowe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Ogłoszenie dotyczy:</w:t>
      </w:r>
      <w:r w:rsidRPr="00FB0A12">
        <w:rPr>
          <w:rFonts w:eastAsia="Times New Roman" w:cstheme="minorHAnsi"/>
          <w:szCs w:val="24"/>
          <w:lang w:eastAsia="pl-PL"/>
        </w:rPr>
        <w:t xml:space="preserve"> Zamówienia publicznego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Zamówienie dotyczy projektu lub programu współfinansowanego ze środków Unii Europejskiej </w:t>
      </w:r>
      <w:r w:rsidRPr="00FB0A12">
        <w:rPr>
          <w:rFonts w:eastAsia="Times New Roman" w:cstheme="minorHAnsi"/>
          <w:szCs w:val="24"/>
          <w:lang w:eastAsia="pl-PL"/>
        </w:rPr>
        <w:t xml:space="preserve">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FB0A12">
        <w:rPr>
          <w:rFonts w:eastAsia="Times New Roman" w:cstheme="minorHAnsi"/>
          <w:szCs w:val="24"/>
          <w:lang w:eastAsia="pl-PL"/>
        </w:rPr>
        <w:t xml:space="preserve">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Należy podać minimalny procentowy wskaźnik zatrudnienia osób należących do jednej lub więcej kategorii, o których mowa w art. 22 ust. 2 ustawy </w:t>
      </w:r>
      <w:proofErr w:type="spellStart"/>
      <w:r w:rsidRPr="00FB0A12">
        <w:rPr>
          <w:rFonts w:eastAsia="Times New Roman" w:cstheme="minorHAnsi"/>
          <w:szCs w:val="24"/>
          <w:lang w:eastAsia="pl-PL"/>
        </w:rPr>
        <w:t>Pzp</w:t>
      </w:r>
      <w:proofErr w:type="spellEnd"/>
      <w:r w:rsidRPr="00FB0A12">
        <w:rPr>
          <w:rFonts w:eastAsia="Times New Roman" w:cstheme="minorHAnsi"/>
          <w:szCs w:val="24"/>
          <w:lang w:eastAsia="pl-PL"/>
        </w:rPr>
        <w:t xml:space="preserve">, nie mniejszy niż 30%, osób zatrudnionych przez zakłady pracy chronionej lub wykonawców albo ich jednostki (w %) </w:t>
      </w:r>
      <w:r w:rsidRPr="00FB0A12">
        <w:rPr>
          <w:rFonts w:eastAsia="Times New Roman" w:cstheme="minorHAnsi"/>
          <w:szCs w:val="24"/>
          <w:lang w:eastAsia="pl-PL"/>
        </w:rPr>
        <w:br/>
      </w:r>
      <w:r w:rsidRPr="00FB0A12">
        <w:rPr>
          <w:rFonts w:eastAsia="Times New Roman" w:cstheme="minorHAnsi"/>
          <w:szCs w:val="24"/>
          <w:u w:val="single"/>
          <w:lang w:eastAsia="pl-PL"/>
        </w:rPr>
        <w:t>SEKCJA I: ZAMAWIAJĄCY</w:t>
      </w:r>
      <w:r w:rsidRPr="00FB0A12">
        <w:rPr>
          <w:rFonts w:eastAsia="Times New Roman" w:cstheme="minorHAnsi"/>
          <w:szCs w:val="24"/>
          <w:lang w:eastAsia="pl-PL"/>
        </w:rPr>
        <w:t xml:space="preserv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Postępowanie przeprowadza centralny zamawiający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Postępowanie przeprowadza podmiot, któremu zamawiający powierzył/powierzyli przeprowadzenie postępowania </w:t>
      </w:r>
      <w:r w:rsidRPr="00FB0A12">
        <w:rPr>
          <w:rFonts w:eastAsia="Times New Roman" w:cstheme="minorHAnsi"/>
          <w:szCs w:val="24"/>
          <w:lang w:eastAsia="pl-PL"/>
        </w:rPr>
        <w:t xml:space="preserve">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Informacje na temat podmiotu któremu zamawiający powierzył/powierzyli prowadzenie postępowania:</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Postępowanie jest przeprowadzane wspólnie przez zamawiających</w:t>
      </w:r>
      <w:r w:rsidRPr="00FB0A12">
        <w:rPr>
          <w:rFonts w:eastAsia="Times New Roman" w:cstheme="minorHAnsi"/>
          <w:szCs w:val="24"/>
          <w:lang w:eastAsia="pl-PL"/>
        </w:rPr>
        <w:t xml:space="preserve"> 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FB0A12">
        <w:rPr>
          <w:rFonts w:eastAsia="Times New Roman" w:cstheme="minorHAnsi"/>
          <w:szCs w:val="24"/>
          <w:lang w:eastAsia="pl-PL"/>
        </w:rPr>
        <w:br/>
      </w:r>
      <w:r w:rsidRPr="00FB0A12">
        <w:rPr>
          <w:rFonts w:eastAsia="Times New Roman" w:cstheme="minorHAnsi"/>
          <w:b/>
          <w:bCs/>
          <w:szCs w:val="24"/>
          <w:lang w:eastAsia="pl-PL"/>
        </w:rPr>
        <w:t xml:space="preserve">Postępowanie jest przeprowadzane wspólnie z zamawiającymi z innych państw członkowskich Unii Europejskiej </w:t>
      </w:r>
      <w:r w:rsidRPr="00FB0A12">
        <w:rPr>
          <w:rFonts w:eastAsia="Times New Roman" w:cstheme="minorHAnsi"/>
          <w:szCs w:val="24"/>
          <w:lang w:eastAsia="pl-PL"/>
        </w:rPr>
        <w:t xml:space="preserve">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W przypadku przeprowadzania postępowania wspólnie z zamawiającymi z innych państw członkowskich Unii Europejskiej – mające zastosowanie krajowe prawo zamówień publicznych:</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Informacje dodatkowe:</w:t>
      </w:r>
      <w:r w:rsidRPr="00FB0A12">
        <w:rPr>
          <w:rFonts w:eastAsia="Times New Roman" w:cstheme="minorHAnsi"/>
          <w:szCs w:val="24"/>
          <w:lang w:eastAsia="pl-PL"/>
        </w:rPr>
        <w:t xml:space="preserv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 1) NAZWA I ADRES: </w:t>
      </w:r>
      <w:r w:rsidRPr="00FB0A12">
        <w:rPr>
          <w:rFonts w:eastAsia="Times New Roman" w:cstheme="minorHAnsi"/>
          <w:szCs w:val="24"/>
          <w:lang w:eastAsia="pl-PL"/>
        </w:rPr>
        <w:t xml:space="preserve">Miasto i Gmina Gołańcz, krajowy numer identyfikacyjny 00052820900000, ul. Dr P. Kowalika  2 , 62-130  Gołańcz, woj. wielkopolskie, państwo Polska, tel. +48672615911, e-mail miastoigmina@golancz.pl, faks +48672683312. </w:t>
      </w:r>
      <w:r w:rsidRPr="00FB0A12">
        <w:rPr>
          <w:rFonts w:eastAsia="Times New Roman" w:cstheme="minorHAnsi"/>
          <w:szCs w:val="24"/>
          <w:lang w:eastAsia="pl-PL"/>
        </w:rPr>
        <w:br/>
        <w:t xml:space="preserve">Adres strony internetowej (URL): www.golancz.pl </w:t>
      </w:r>
      <w:r w:rsidRPr="00FB0A12">
        <w:rPr>
          <w:rFonts w:eastAsia="Times New Roman" w:cstheme="minorHAnsi"/>
          <w:szCs w:val="24"/>
          <w:lang w:eastAsia="pl-PL"/>
        </w:rPr>
        <w:br/>
        <w:t xml:space="preserve">Adres profilu nabywcy: nie dotyczy </w:t>
      </w:r>
      <w:r w:rsidRPr="00FB0A12">
        <w:rPr>
          <w:rFonts w:eastAsia="Times New Roman" w:cstheme="minorHAnsi"/>
          <w:szCs w:val="24"/>
          <w:lang w:eastAsia="pl-PL"/>
        </w:rPr>
        <w:br/>
        <w:t xml:space="preserve">Adres strony internetowej pod którym można uzyskać dostęp do narzędzi i urządzeń lub formatów plików, które nie są ogólnie dostępne nie dotyczy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 2) RODZAJ ZAMAWIAJĄCEGO: </w:t>
      </w:r>
      <w:r w:rsidRPr="00FB0A12">
        <w:rPr>
          <w:rFonts w:eastAsia="Times New Roman" w:cstheme="minorHAnsi"/>
          <w:szCs w:val="24"/>
          <w:lang w:eastAsia="pl-PL"/>
        </w:rPr>
        <w:t xml:space="preserve">Administracja samorządowa </w:t>
      </w:r>
      <w:r w:rsidRPr="00FB0A12">
        <w:rPr>
          <w:rFonts w:eastAsia="Times New Roman" w:cstheme="minorHAnsi"/>
          <w:szCs w:val="24"/>
          <w:lang w:eastAsia="pl-PL"/>
        </w:rPr>
        <w:br/>
      </w:r>
      <w:r w:rsidRPr="00FB0A12">
        <w:rPr>
          <w:rFonts w:eastAsia="Times New Roman" w:cstheme="minorHAnsi"/>
          <w:b/>
          <w:bCs/>
          <w:szCs w:val="24"/>
          <w:lang w:eastAsia="pl-PL"/>
        </w:rPr>
        <w:t xml:space="preserve">I.3) WSPÓLNE UDZIELANIE ZAMÓWIENIA </w:t>
      </w:r>
      <w:r w:rsidRPr="00FB0A12">
        <w:rPr>
          <w:rFonts w:eastAsia="Times New Roman" w:cstheme="minorHAnsi"/>
          <w:b/>
          <w:bCs/>
          <w:i/>
          <w:iCs/>
          <w:szCs w:val="24"/>
          <w:lang w:eastAsia="pl-PL"/>
        </w:rPr>
        <w:t>(jeżeli dotyczy)</w:t>
      </w:r>
      <w:r w:rsidRPr="00FB0A12">
        <w:rPr>
          <w:rFonts w:eastAsia="Times New Roman" w:cstheme="minorHAnsi"/>
          <w:b/>
          <w:bCs/>
          <w:szCs w:val="24"/>
          <w:lang w:eastAsia="pl-PL"/>
        </w:rPr>
        <w:t xml:space="preserv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0A12">
        <w:rPr>
          <w:rFonts w:eastAsia="Times New Roman" w:cstheme="minorHAnsi"/>
          <w:szCs w:val="24"/>
          <w:lang w:eastAsia="pl-PL"/>
        </w:rPr>
        <w:br/>
        <w:t xml:space="preserve">nie dotyczy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I.4) KOMUNIKACJA: </w:t>
      </w:r>
      <w:r w:rsidRPr="00FB0A12">
        <w:rPr>
          <w:rFonts w:eastAsia="Times New Roman" w:cstheme="minorHAnsi"/>
          <w:szCs w:val="24"/>
          <w:lang w:eastAsia="pl-PL"/>
        </w:rPr>
        <w:br/>
      </w:r>
      <w:r w:rsidRPr="00FB0A12">
        <w:rPr>
          <w:rFonts w:eastAsia="Times New Roman" w:cstheme="minorHAnsi"/>
          <w:b/>
          <w:bCs/>
          <w:szCs w:val="24"/>
          <w:lang w:eastAsia="pl-PL"/>
        </w:rPr>
        <w:t>Nieograniczony, pełny i bezpośredni dostęp do dokumentów z postępowania można uzyskać pod adresem (URL)</w:t>
      </w:r>
      <w:r w:rsidRPr="00FB0A12">
        <w:rPr>
          <w:rFonts w:eastAsia="Times New Roman" w:cstheme="minorHAnsi"/>
          <w:szCs w:val="24"/>
          <w:lang w:eastAsia="pl-PL"/>
        </w:rPr>
        <w:t xml:space="preserve"> Tak </w:t>
      </w:r>
      <w:r w:rsidRPr="00FB0A12">
        <w:rPr>
          <w:rFonts w:eastAsia="Times New Roman" w:cstheme="minorHAnsi"/>
          <w:szCs w:val="24"/>
          <w:lang w:eastAsia="pl-PL"/>
        </w:rPr>
        <w:br/>
        <w:t xml:space="preserve">www.bip.golancz.pl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lastRenderedPageBreak/>
        <w:br/>
      </w:r>
      <w:r w:rsidRPr="00FB0A12">
        <w:rPr>
          <w:rFonts w:eastAsia="Times New Roman" w:cstheme="minorHAnsi"/>
          <w:b/>
          <w:bCs/>
          <w:szCs w:val="24"/>
          <w:lang w:eastAsia="pl-PL"/>
        </w:rPr>
        <w:t xml:space="preserve">Adres strony internetowej, na której zamieszczona będzie specyfikacja istotnych warunków zamówienia </w:t>
      </w:r>
      <w:r w:rsidRPr="00FB0A12">
        <w:rPr>
          <w:rFonts w:eastAsia="Times New Roman" w:cstheme="minorHAnsi"/>
          <w:szCs w:val="24"/>
          <w:lang w:eastAsia="pl-PL"/>
        </w:rPr>
        <w:t xml:space="preserve">Tak </w:t>
      </w:r>
      <w:r w:rsidRPr="00FB0A12">
        <w:rPr>
          <w:rFonts w:eastAsia="Times New Roman" w:cstheme="minorHAnsi"/>
          <w:szCs w:val="24"/>
          <w:lang w:eastAsia="pl-PL"/>
        </w:rPr>
        <w:br/>
        <w:t xml:space="preserve">www.bip.golancz.pl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Dostęp do dokumentów z postępowania jest ograniczony - więcej informacji można uzyskać pod adresem </w:t>
      </w:r>
      <w:r w:rsidRPr="00FB0A12">
        <w:rPr>
          <w:rFonts w:eastAsia="Times New Roman" w:cstheme="minorHAnsi"/>
          <w:szCs w:val="24"/>
          <w:lang w:eastAsia="pl-PL"/>
        </w:rPr>
        <w:t xml:space="preserve">Nie </w:t>
      </w:r>
      <w:r w:rsidRPr="00FB0A12">
        <w:rPr>
          <w:rFonts w:eastAsia="Times New Roman" w:cstheme="minorHAnsi"/>
          <w:szCs w:val="24"/>
          <w:lang w:eastAsia="pl-PL"/>
        </w:rPr>
        <w:br/>
      </w:r>
      <w:r w:rsidRPr="00FB0A12">
        <w:rPr>
          <w:rFonts w:eastAsia="Times New Roman" w:cstheme="minorHAnsi"/>
          <w:b/>
          <w:bCs/>
          <w:szCs w:val="24"/>
          <w:lang w:eastAsia="pl-PL"/>
        </w:rPr>
        <w:t>Oferty lub wnioski o dopuszczenie do udziału w postępowaniu należy przesyłać:</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Elektronicznie</w:t>
      </w:r>
      <w:r w:rsidRPr="00FB0A12">
        <w:rPr>
          <w:rFonts w:eastAsia="Times New Roman" w:cstheme="minorHAnsi"/>
          <w:szCs w:val="24"/>
          <w:lang w:eastAsia="pl-PL"/>
        </w:rPr>
        <w:t xml:space="preserve"> Nie </w:t>
      </w:r>
      <w:r w:rsidRPr="00FB0A12">
        <w:rPr>
          <w:rFonts w:eastAsia="Times New Roman" w:cstheme="minorHAnsi"/>
          <w:szCs w:val="24"/>
          <w:lang w:eastAsia="pl-PL"/>
        </w:rPr>
        <w:br/>
        <w:t xml:space="preserve">adres </w:t>
      </w:r>
      <w:r w:rsidRPr="00FB0A12">
        <w:rPr>
          <w:rFonts w:eastAsia="Times New Roman" w:cstheme="minorHAnsi"/>
          <w:szCs w:val="24"/>
          <w:lang w:eastAsia="pl-PL"/>
        </w:rPr>
        <w:br/>
      </w:r>
      <w:r w:rsidRPr="00FB0A12">
        <w:rPr>
          <w:rFonts w:eastAsia="Times New Roman" w:cstheme="minorHAnsi"/>
          <w:b/>
          <w:bCs/>
          <w:szCs w:val="24"/>
          <w:lang w:eastAsia="pl-PL"/>
        </w:rPr>
        <w:t>Dopuszczone jest przesłanie ofert lub wniosków o dopuszczenie do udziału w postępowaniu w inny sposób:</w:t>
      </w:r>
      <w:r w:rsidRPr="00FB0A12">
        <w:rPr>
          <w:rFonts w:eastAsia="Times New Roman" w:cstheme="minorHAnsi"/>
          <w:szCs w:val="24"/>
          <w:lang w:eastAsia="pl-PL"/>
        </w:rPr>
        <w:t xml:space="preserve"> Nie </w:t>
      </w:r>
      <w:r w:rsidRPr="00FB0A12">
        <w:rPr>
          <w:rFonts w:eastAsia="Times New Roman" w:cstheme="minorHAnsi"/>
          <w:szCs w:val="24"/>
          <w:lang w:eastAsia="pl-PL"/>
        </w:rPr>
        <w:br/>
        <w:t xml:space="preserve">Inny sposób: </w:t>
      </w:r>
      <w:r w:rsidRPr="00FB0A12">
        <w:rPr>
          <w:rFonts w:eastAsia="Times New Roman" w:cstheme="minorHAnsi"/>
          <w:szCs w:val="24"/>
          <w:lang w:eastAsia="pl-PL"/>
        </w:rPr>
        <w:br/>
      </w:r>
      <w:r w:rsidRPr="00FB0A12">
        <w:rPr>
          <w:rFonts w:eastAsia="Times New Roman" w:cstheme="minorHAnsi"/>
          <w:b/>
          <w:bCs/>
          <w:szCs w:val="24"/>
          <w:lang w:eastAsia="pl-PL"/>
        </w:rPr>
        <w:t>Wymagane jest przesłanie ofert lub wniosków o dopuszczenie do udziału w postępowaniu w inny sposób:</w:t>
      </w:r>
      <w:r w:rsidRPr="00FB0A12">
        <w:rPr>
          <w:rFonts w:eastAsia="Times New Roman" w:cstheme="minorHAnsi"/>
          <w:szCs w:val="24"/>
          <w:lang w:eastAsia="pl-PL"/>
        </w:rPr>
        <w:t xml:space="preserve"> Tak </w:t>
      </w:r>
      <w:r w:rsidRPr="00FB0A12">
        <w:rPr>
          <w:rFonts w:eastAsia="Times New Roman" w:cstheme="minorHAnsi"/>
          <w:szCs w:val="24"/>
          <w:lang w:eastAsia="pl-PL"/>
        </w:rPr>
        <w:br/>
        <w:t xml:space="preserve">Inny sposób: Pisemnie na poniższy adres: </w:t>
      </w:r>
      <w:r w:rsidRPr="00FB0A12">
        <w:rPr>
          <w:rFonts w:eastAsia="Times New Roman" w:cstheme="minorHAnsi"/>
          <w:szCs w:val="24"/>
          <w:lang w:eastAsia="pl-PL"/>
        </w:rPr>
        <w:br/>
        <w:t xml:space="preserve">Adres: Urząd Miasta i Gminy Gołańcz, ulica Doktora Piotra Kowalika 2, 62-130 Gołańcz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Komunikacja elektroniczna wymaga korzystania z narzędzi i urządzeń lub formatów plików, które nie są ogólnie dostępne</w:t>
      </w:r>
      <w:r w:rsidRPr="00FB0A12">
        <w:rPr>
          <w:rFonts w:eastAsia="Times New Roman" w:cstheme="minorHAnsi"/>
          <w:szCs w:val="24"/>
          <w:lang w:eastAsia="pl-PL"/>
        </w:rPr>
        <w:t xml:space="preserve"> Nie </w:t>
      </w:r>
      <w:r w:rsidRPr="00FB0A12">
        <w:rPr>
          <w:rFonts w:eastAsia="Times New Roman" w:cstheme="minorHAnsi"/>
          <w:szCs w:val="24"/>
          <w:lang w:eastAsia="pl-PL"/>
        </w:rPr>
        <w:br/>
        <w:t xml:space="preserve">Nieograniczony, pełny, bezpośredni i bezpłatny dostęp do tych narzędzi można uzyskać pod adresem: (URL) </w:t>
      </w:r>
      <w:r w:rsidRPr="00FB0A12">
        <w:rPr>
          <w:rFonts w:eastAsia="Times New Roman" w:cstheme="minorHAnsi"/>
          <w:szCs w:val="24"/>
          <w:lang w:eastAsia="pl-PL"/>
        </w:rPr>
        <w:br/>
      </w:r>
      <w:r w:rsidRPr="00FB0A12">
        <w:rPr>
          <w:rFonts w:eastAsia="Times New Roman" w:cstheme="minorHAnsi"/>
          <w:szCs w:val="24"/>
          <w:u w:val="single"/>
          <w:lang w:eastAsia="pl-PL"/>
        </w:rPr>
        <w:t xml:space="preserve">SEKCJA II: PRZEDMIOT ZAMÓWIENIA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II.1) Nazwa nadana zamówieniu przez zamawiającego: </w:t>
      </w:r>
      <w:r w:rsidRPr="00FB0A12">
        <w:rPr>
          <w:rFonts w:eastAsia="Times New Roman" w:cstheme="minorHAnsi"/>
          <w:szCs w:val="24"/>
          <w:lang w:eastAsia="pl-PL"/>
        </w:rPr>
        <w:t xml:space="preserve">Utworzenie Otwartej Strefy Aktywności w Laskownicy Wielkiej </w:t>
      </w:r>
      <w:r w:rsidRPr="00FB0A12">
        <w:rPr>
          <w:rFonts w:eastAsia="Times New Roman" w:cstheme="minorHAnsi"/>
          <w:szCs w:val="24"/>
          <w:lang w:eastAsia="pl-PL"/>
        </w:rPr>
        <w:br/>
      </w:r>
      <w:r w:rsidRPr="00FB0A12">
        <w:rPr>
          <w:rFonts w:eastAsia="Times New Roman" w:cstheme="minorHAnsi"/>
          <w:b/>
          <w:bCs/>
          <w:szCs w:val="24"/>
          <w:lang w:eastAsia="pl-PL"/>
        </w:rPr>
        <w:t xml:space="preserve">Numer referencyjny: </w:t>
      </w:r>
      <w:r w:rsidRPr="00FB0A12">
        <w:rPr>
          <w:rFonts w:eastAsia="Times New Roman" w:cstheme="minorHAnsi"/>
          <w:szCs w:val="24"/>
          <w:lang w:eastAsia="pl-PL"/>
        </w:rPr>
        <w:t xml:space="preserve">ZP.271.7.2019 </w:t>
      </w:r>
      <w:r w:rsidRPr="00FB0A12">
        <w:rPr>
          <w:rFonts w:eastAsia="Times New Roman" w:cstheme="minorHAnsi"/>
          <w:szCs w:val="24"/>
          <w:lang w:eastAsia="pl-PL"/>
        </w:rPr>
        <w:br/>
      </w:r>
      <w:r w:rsidRPr="00FB0A12">
        <w:rPr>
          <w:rFonts w:eastAsia="Times New Roman" w:cstheme="minorHAnsi"/>
          <w:b/>
          <w:bCs/>
          <w:szCs w:val="24"/>
          <w:lang w:eastAsia="pl-PL"/>
        </w:rPr>
        <w:t xml:space="preserve">Przed wszczęciem postępowania o udzielenie zamówienia przeprowadzono dialog techniczny </w:t>
      </w:r>
      <w:r w:rsidRPr="00FB0A12">
        <w:rPr>
          <w:rFonts w:eastAsia="Times New Roman" w:cstheme="minorHAnsi"/>
          <w:szCs w:val="24"/>
          <w:lang w:eastAsia="pl-PL"/>
        </w:rPr>
        <w:t xml:space="preserve">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II.2) Rodzaj zamówienia: </w:t>
      </w:r>
      <w:r w:rsidRPr="00FB0A12">
        <w:rPr>
          <w:rFonts w:eastAsia="Times New Roman" w:cstheme="minorHAnsi"/>
          <w:szCs w:val="24"/>
          <w:lang w:eastAsia="pl-PL"/>
        </w:rPr>
        <w:t xml:space="preserve">Roboty budowlane </w:t>
      </w:r>
      <w:r w:rsidRPr="00FB0A12">
        <w:rPr>
          <w:rFonts w:eastAsia="Times New Roman" w:cstheme="minorHAnsi"/>
          <w:szCs w:val="24"/>
          <w:lang w:eastAsia="pl-PL"/>
        </w:rPr>
        <w:br/>
      </w:r>
      <w:r w:rsidRPr="00FB0A12">
        <w:rPr>
          <w:rFonts w:eastAsia="Times New Roman" w:cstheme="minorHAnsi"/>
          <w:b/>
          <w:bCs/>
          <w:szCs w:val="24"/>
          <w:lang w:eastAsia="pl-PL"/>
        </w:rPr>
        <w:t>II.3) Informacja o możliwości składania ofert częściowych</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Zamówienie podzielone jest na części: Nie </w:t>
      </w:r>
      <w:r w:rsidRPr="00FB0A12">
        <w:rPr>
          <w:rFonts w:eastAsia="Times New Roman" w:cstheme="minorHAnsi"/>
          <w:szCs w:val="24"/>
          <w:lang w:eastAsia="pl-PL"/>
        </w:rPr>
        <w:br/>
      </w:r>
      <w:r w:rsidRPr="00FB0A12">
        <w:rPr>
          <w:rFonts w:eastAsia="Times New Roman" w:cstheme="minorHAnsi"/>
          <w:b/>
          <w:bCs/>
          <w:szCs w:val="24"/>
          <w:lang w:eastAsia="pl-PL"/>
        </w:rPr>
        <w:t>Oferty lub wnioski o dopuszczenie do udziału w postępowaniu można składać w odniesieniu do:</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Zamawiający zastrzega sobie prawo do udzielenia łącznie następujących części lub grup części:</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Maksymalna liczba części zamówienia, na które może zostać udzielone zamówienie jednemu wykonawcy:</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 xml:space="preserve">II.4) Krótki opis przedmiotu zamówienia </w:t>
      </w:r>
      <w:r w:rsidRPr="00FB0A12">
        <w:rPr>
          <w:rFonts w:eastAsia="Times New Roman" w:cstheme="minorHAnsi"/>
          <w:i/>
          <w:iCs/>
          <w:szCs w:val="24"/>
          <w:lang w:eastAsia="pl-PL"/>
        </w:rPr>
        <w:t>(wielkość, zakres, rodzaj i ilość dostaw, usług lub robót budowlanych lub określenie zapotrzebowania i wymagań )</w:t>
      </w:r>
      <w:r w:rsidRPr="00FB0A12">
        <w:rPr>
          <w:rFonts w:eastAsia="Times New Roman" w:cstheme="minorHAnsi"/>
          <w:b/>
          <w:bCs/>
          <w:szCs w:val="24"/>
          <w:lang w:eastAsia="pl-PL"/>
        </w:rPr>
        <w:t xml:space="preserve"> a w przypadku partnerstwa innowacyjnego - określenie zapotrzebowania na innowacyjny produkt, usługę lub roboty budowlane: </w:t>
      </w:r>
      <w:r w:rsidRPr="00FB0A12">
        <w:rPr>
          <w:rFonts w:eastAsia="Times New Roman" w:cstheme="minorHAnsi"/>
          <w:szCs w:val="24"/>
          <w:lang w:eastAsia="pl-PL"/>
        </w:rPr>
        <w:t>Przedmiotem zamówienia jest robota budowlana polegająca na budowie otwartej strefy aktywności w miejscowości Laskownica Wielka gmina Gołańcz. Szczegółowy opis przedmiotu zamówienia zamieszczony jest w załączniku nr 7 (dokumentacja projektowa) do SIWZ oraz załączniku nr 5 (</w:t>
      </w:r>
      <w:proofErr w:type="spellStart"/>
      <w:r w:rsidRPr="00FB0A12">
        <w:rPr>
          <w:rFonts w:eastAsia="Times New Roman" w:cstheme="minorHAnsi"/>
          <w:szCs w:val="24"/>
          <w:lang w:eastAsia="pl-PL"/>
        </w:rPr>
        <w:t>STWiOR</w:t>
      </w:r>
      <w:proofErr w:type="spellEnd"/>
      <w:r w:rsidRPr="00FB0A12">
        <w:rPr>
          <w:rFonts w:eastAsia="Times New Roman" w:cstheme="minorHAnsi"/>
          <w:szCs w:val="24"/>
          <w:lang w:eastAsia="pl-PL"/>
        </w:rPr>
        <w:t xml:space="preserve">) do SIWZ. </w:t>
      </w:r>
      <w:r w:rsidRPr="00FB0A12">
        <w:rPr>
          <w:rFonts w:eastAsia="Times New Roman" w:cstheme="minorHAnsi"/>
          <w:szCs w:val="24"/>
          <w:lang w:eastAsia="pl-PL"/>
        </w:rPr>
        <w:br/>
      </w:r>
      <w:r w:rsidRPr="00FB0A12">
        <w:rPr>
          <w:rFonts w:eastAsia="Times New Roman" w:cstheme="minorHAnsi"/>
          <w:b/>
          <w:bCs/>
          <w:szCs w:val="24"/>
          <w:lang w:eastAsia="pl-PL"/>
        </w:rPr>
        <w:t xml:space="preserve">II.5) Główny kod CPV: </w:t>
      </w:r>
      <w:r w:rsidRPr="00FB0A12">
        <w:rPr>
          <w:rFonts w:eastAsia="Times New Roman" w:cstheme="minorHAnsi"/>
          <w:szCs w:val="24"/>
          <w:lang w:eastAsia="pl-PL"/>
        </w:rPr>
        <w:t xml:space="preserve">37410000-5 </w:t>
      </w:r>
      <w:r w:rsidRPr="00FB0A12">
        <w:rPr>
          <w:rFonts w:eastAsia="Times New Roman" w:cstheme="minorHAnsi"/>
          <w:szCs w:val="24"/>
          <w:lang w:eastAsia="pl-PL"/>
        </w:rPr>
        <w:br/>
      </w:r>
      <w:r w:rsidRPr="00FB0A12">
        <w:rPr>
          <w:rFonts w:eastAsia="Times New Roman" w:cstheme="minorHAnsi"/>
          <w:b/>
          <w:bCs/>
          <w:szCs w:val="24"/>
          <w:lang w:eastAsia="pl-PL"/>
        </w:rPr>
        <w:t>Dodatkowe kody CPV:</w:t>
      </w:r>
      <w:r w:rsidRPr="00FB0A12">
        <w:rPr>
          <w:rFonts w:eastAsia="Times New Roman" w:cstheme="minorHAnsi"/>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B0A12" w:rsidRPr="00FB0A12" w:rsidTr="00FB0A12">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Kod CPV</w:t>
            </w:r>
          </w:p>
        </w:tc>
      </w:tr>
      <w:tr w:rsidR="00FB0A12" w:rsidRPr="00FB0A12" w:rsidTr="00FB0A12">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37440000-4</w:t>
            </w:r>
          </w:p>
        </w:tc>
      </w:tr>
      <w:tr w:rsidR="00FB0A12" w:rsidRPr="00FB0A12" w:rsidTr="00FB0A12">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45223100-7</w:t>
            </w:r>
          </w:p>
        </w:tc>
      </w:tr>
      <w:tr w:rsidR="00FB0A12" w:rsidRPr="00FB0A12" w:rsidTr="00FB0A12">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45111200-0</w:t>
            </w:r>
          </w:p>
        </w:tc>
      </w:tr>
    </w:tbl>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II.6) Całkowita wartość zamówienia </w:t>
      </w:r>
      <w:r w:rsidRPr="00FB0A12">
        <w:rPr>
          <w:rFonts w:eastAsia="Times New Roman" w:cstheme="minorHAnsi"/>
          <w:i/>
          <w:iCs/>
          <w:szCs w:val="24"/>
          <w:lang w:eastAsia="pl-PL"/>
        </w:rPr>
        <w:t>(jeżeli zamawiający podaje informacje o wartości zamówienia)</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Wartość bez VAT: </w:t>
      </w:r>
      <w:r w:rsidRPr="00FB0A12">
        <w:rPr>
          <w:rFonts w:eastAsia="Times New Roman" w:cstheme="minorHAnsi"/>
          <w:szCs w:val="24"/>
          <w:lang w:eastAsia="pl-PL"/>
        </w:rPr>
        <w:br/>
        <w:t xml:space="preserve">Waluta: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i/>
          <w:iCs/>
          <w:szCs w:val="24"/>
          <w:lang w:eastAsia="pl-PL"/>
        </w:rPr>
        <w:t>(w przypadku umów ramowych lub dynamicznego systemu zakupów – szacunkowa całkowita maksymalna wartość w całym okresie obowiązywania umowy ramowej lub dynamicznego systemu zakupów)</w:t>
      </w:r>
      <w:r w:rsidRPr="00FB0A12">
        <w:rPr>
          <w:rFonts w:eastAsia="Times New Roman" w:cstheme="minorHAnsi"/>
          <w:szCs w:val="24"/>
          <w:lang w:eastAsia="pl-PL"/>
        </w:rPr>
        <w:t xml:space="preserv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II.7) Czy przewiduje się udzielenie zamówień, o których mowa w art. 67 ust. 1 pkt 6 i 7 lub w art. 134 ust. 6 pkt 3 ustawy </w:t>
      </w:r>
      <w:proofErr w:type="spellStart"/>
      <w:r w:rsidRPr="00FB0A12">
        <w:rPr>
          <w:rFonts w:eastAsia="Times New Roman" w:cstheme="minorHAnsi"/>
          <w:b/>
          <w:bCs/>
          <w:szCs w:val="24"/>
          <w:lang w:eastAsia="pl-PL"/>
        </w:rPr>
        <w:t>Pzp</w:t>
      </w:r>
      <w:proofErr w:type="spellEnd"/>
      <w:r w:rsidRPr="00FB0A12">
        <w:rPr>
          <w:rFonts w:eastAsia="Times New Roman" w:cstheme="minorHAnsi"/>
          <w:b/>
          <w:bCs/>
          <w:szCs w:val="24"/>
          <w:lang w:eastAsia="pl-PL"/>
        </w:rPr>
        <w:t xml:space="preserve">: </w:t>
      </w:r>
      <w:r w:rsidRPr="00FB0A12">
        <w:rPr>
          <w:rFonts w:eastAsia="Times New Roman" w:cstheme="minorHAnsi"/>
          <w:szCs w:val="24"/>
          <w:lang w:eastAsia="pl-PL"/>
        </w:rPr>
        <w:t xml:space="preserve">Nie </w:t>
      </w:r>
      <w:r w:rsidRPr="00FB0A12">
        <w:rPr>
          <w:rFonts w:eastAsia="Times New Roman" w:cstheme="minorHAnsi"/>
          <w:szCs w:val="24"/>
          <w:lang w:eastAsia="pl-PL"/>
        </w:rPr>
        <w:br/>
      </w:r>
      <w:r w:rsidRPr="00FB0A12">
        <w:rPr>
          <w:rFonts w:eastAsia="Times New Roman" w:cstheme="minorHAnsi"/>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FB0A12">
        <w:rPr>
          <w:rFonts w:eastAsia="Times New Roman" w:cstheme="minorHAnsi"/>
          <w:szCs w:val="24"/>
          <w:lang w:eastAsia="pl-PL"/>
        </w:rPr>
        <w:t>Pzp</w:t>
      </w:r>
      <w:proofErr w:type="spellEnd"/>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II.8) Okres, w którym realizowane będzie zamówienie lub okres, na który została zawarta umowa ramowa lub okres, na który został ustanowiony dynamiczny system zakupów:</w:t>
      </w:r>
      <w:r w:rsidRPr="00FB0A12">
        <w:rPr>
          <w:rFonts w:eastAsia="Times New Roman" w:cstheme="minorHAnsi"/>
          <w:szCs w:val="24"/>
          <w:lang w:eastAsia="pl-PL"/>
        </w:rPr>
        <w:t xml:space="preserve"> </w:t>
      </w:r>
      <w:r w:rsidRPr="00FB0A12">
        <w:rPr>
          <w:rFonts w:eastAsia="Times New Roman" w:cstheme="minorHAnsi"/>
          <w:szCs w:val="24"/>
          <w:lang w:eastAsia="pl-PL"/>
        </w:rPr>
        <w:br/>
        <w:t>miesiącach:   </w:t>
      </w:r>
      <w:r w:rsidRPr="00FB0A12">
        <w:rPr>
          <w:rFonts w:eastAsia="Times New Roman" w:cstheme="minorHAnsi"/>
          <w:i/>
          <w:iCs/>
          <w:szCs w:val="24"/>
          <w:lang w:eastAsia="pl-PL"/>
        </w:rPr>
        <w:t xml:space="preserve"> lub </w:t>
      </w:r>
      <w:r w:rsidRPr="00FB0A12">
        <w:rPr>
          <w:rFonts w:eastAsia="Times New Roman" w:cstheme="minorHAnsi"/>
          <w:b/>
          <w:bCs/>
          <w:szCs w:val="24"/>
          <w:lang w:eastAsia="pl-PL"/>
        </w:rPr>
        <w:t>dniach:</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i/>
          <w:iCs/>
          <w:szCs w:val="24"/>
          <w:lang w:eastAsia="pl-PL"/>
        </w:rPr>
        <w:t>lub</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 xml:space="preserve">data rozpoczęcia: </w:t>
      </w:r>
      <w:r w:rsidRPr="00FB0A12">
        <w:rPr>
          <w:rFonts w:eastAsia="Times New Roman" w:cstheme="minorHAnsi"/>
          <w:szCs w:val="24"/>
          <w:lang w:eastAsia="pl-PL"/>
        </w:rPr>
        <w:t> </w:t>
      </w:r>
      <w:r w:rsidRPr="00FB0A12">
        <w:rPr>
          <w:rFonts w:eastAsia="Times New Roman" w:cstheme="minorHAnsi"/>
          <w:i/>
          <w:iCs/>
          <w:szCs w:val="24"/>
          <w:lang w:eastAsia="pl-PL"/>
        </w:rPr>
        <w:t xml:space="preserve"> lub </w:t>
      </w:r>
      <w:r w:rsidRPr="00FB0A12">
        <w:rPr>
          <w:rFonts w:eastAsia="Times New Roman" w:cstheme="minorHAnsi"/>
          <w:b/>
          <w:bCs/>
          <w:szCs w:val="24"/>
          <w:lang w:eastAsia="pl-PL"/>
        </w:rPr>
        <w:t xml:space="preserve">zakończenia: </w:t>
      </w:r>
      <w:r w:rsidRPr="00FB0A12">
        <w:rPr>
          <w:rFonts w:eastAsia="Times New Roman" w:cstheme="minorHAnsi"/>
          <w:szCs w:val="24"/>
          <w:lang w:eastAsia="pl-PL"/>
        </w:rPr>
        <w:t xml:space="preserve">2019-09-30 </w:t>
      </w:r>
      <w:r w:rsidRPr="00FB0A12">
        <w:rPr>
          <w:rFonts w:eastAsia="Times New Roman" w:cstheme="minorHAnsi"/>
          <w:szCs w:val="24"/>
          <w:lang w:eastAsia="pl-PL"/>
        </w:rPr>
        <w:br/>
      </w:r>
      <w:r w:rsidRPr="00FB0A12">
        <w:rPr>
          <w:rFonts w:eastAsia="Times New Roman" w:cstheme="minorHAnsi"/>
          <w:b/>
          <w:bCs/>
          <w:szCs w:val="24"/>
          <w:lang w:eastAsia="pl-PL"/>
        </w:rPr>
        <w:t xml:space="preserve">II.9) Informacje dodatkowe: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u w:val="single"/>
          <w:lang w:eastAsia="pl-PL"/>
        </w:rPr>
        <w:t xml:space="preserve">SEKCJA III: INFORMACJE O CHARAKTERZE PRAWNYM, EKONOMICZNYM, FINANSOWYM I TECHNICZNYM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III.1) WARUNKI UDZIAŁU W POSTĘPOWANIU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III.1.1) Kompetencje lub uprawnienia do prowadzenia określonej działalności zawodowej, o ile wynika to z odrębnych przepisów</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Określenie warunków: Zamawiający nie określa warunków udziału w postępowaniu.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r>
      <w:r w:rsidRPr="00FB0A12">
        <w:rPr>
          <w:rFonts w:eastAsia="Times New Roman" w:cstheme="minorHAnsi"/>
          <w:b/>
          <w:bCs/>
          <w:szCs w:val="24"/>
          <w:lang w:eastAsia="pl-PL"/>
        </w:rPr>
        <w:t xml:space="preserve">III.1.2) Sytuacja finansowa lub ekonomiczna </w:t>
      </w:r>
      <w:r w:rsidRPr="00FB0A12">
        <w:rPr>
          <w:rFonts w:eastAsia="Times New Roman" w:cstheme="minorHAnsi"/>
          <w:szCs w:val="24"/>
          <w:lang w:eastAsia="pl-PL"/>
        </w:rPr>
        <w:br/>
        <w:t xml:space="preserve">Określenie warunków: Zamawiający nie określa warunków udziału w postępowaniu.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r>
      <w:r w:rsidRPr="00FB0A12">
        <w:rPr>
          <w:rFonts w:eastAsia="Times New Roman" w:cstheme="minorHAnsi"/>
          <w:b/>
          <w:bCs/>
          <w:szCs w:val="24"/>
          <w:lang w:eastAsia="pl-PL"/>
        </w:rPr>
        <w:t xml:space="preserve">III.1.3) Zdolność techniczna lub zawodowa </w:t>
      </w:r>
      <w:r w:rsidRPr="00FB0A12">
        <w:rPr>
          <w:rFonts w:eastAsia="Times New Roman" w:cstheme="minorHAnsi"/>
          <w:szCs w:val="24"/>
          <w:lang w:eastAsia="pl-PL"/>
        </w:rPr>
        <w:br/>
        <w:t xml:space="preserve">Określenie warunków: Zamawiający nie określa warunków udziału w postępowaniu. </w:t>
      </w:r>
      <w:r w:rsidRPr="00FB0A12">
        <w:rPr>
          <w:rFonts w:eastAsia="Times New Roman" w:cstheme="minorHAnsi"/>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0A12">
        <w:rPr>
          <w:rFonts w:eastAsia="Times New Roman" w:cstheme="minorHAnsi"/>
          <w:szCs w:val="24"/>
          <w:lang w:eastAsia="pl-PL"/>
        </w:rPr>
        <w:br/>
        <w:t xml:space="preserve">Informacje dodatkowe: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III.2) PODSTAWY WYKLUCZENIA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III.2.1) Podstawy wykluczenia określone w art. 24 ust. 1 ustawy </w:t>
      </w:r>
      <w:proofErr w:type="spellStart"/>
      <w:r w:rsidRPr="00FB0A12">
        <w:rPr>
          <w:rFonts w:eastAsia="Times New Roman" w:cstheme="minorHAnsi"/>
          <w:b/>
          <w:bCs/>
          <w:szCs w:val="24"/>
          <w:lang w:eastAsia="pl-PL"/>
        </w:rPr>
        <w:t>Pzp</w:t>
      </w:r>
      <w:proofErr w:type="spellEnd"/>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 xml:space="preserve">III.2.2) Zamawiający przewiduje wykluczenie wykonawcy na podstawie art. 24 ust. 5 ustawy </w:t>
      </w:r>
      <w:proofErr w:type="spellStart"/>
      <w:r w:rsidRPr="00FB0A12">
        <w:rPr>
          <w:rFonts w:eastAsia="Times New Roman" w:cstheme="minorHAnsi"/>
          <w:b/>
          <w:bCs/>
          <w:szCs w:val="24"/>
          <w:lang w:eastAsia="pl-PL"/>
        </w:rPr>
        <w:t>Pzp</w:t>
      </w:r>
      <w:proofErr w:type="spellEnd"/>
      <w:r w:rsidRPr="00FB0A12">
        <w:rPr>
          <w:rFonts w:eastAsia="Times New Roman" w:cstheme="minorHAnsi"/>
          <w:szCs w:val="24"/>
          <w:lang w:eastAsia="pl-PL"/>
        </w:rPr>
        <w:t xml:space="preserve"> Tak Zamawiający przewiduje następujące fakultatywne podstawy wykluczenia: Tak (podstawa wykluczenia określona w art. 24 ust. 5 pkt 1 ustawy </w:t>
      </w:r>
      <w:proofErr w:type="spellStart"/>
      <w:r w:rsidRPr="00FB0A12">
        <w:rPr>
          <w:rFonts w:eastAsia="Times New Roman" w:cstheme="minorHAnsi"/>
          <w:szCs w:val="24"/>
          <w:lang w:eastAsia="pl-PL"/>
        </w:rPr>
        <w:t>Pzp</w:t>
      </w:r>
      <w:proofErr w:type="spellEnd"/>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Oświadczenie o niepodleganiu wykluczeniu oraz spełnianiu warunków udziału w postępowaniu </w:t>
      </w:r>
      <w:r w:rsidRPr="00FB0A12">
        <w:rPr>
          <w:rFonts w:eastAsia="Times New Roman" w:cstheme="minorHAnsi"/>
          <w:szCs w:val="24"/>
          <w:lang w:eastAsia="pl-PL"/>
        </w:rPr>
        <w:t xml:space="preserve">Tak </w:t>
      </w:r>
      <w:r w:rsidRPr="00FB0A12">
        <w:rPr>
          <w:rFonts w:eastAsia="Times New Roman" w:cstheme="minorHAnsi"/>
          <w:szCs w:val="24"/>
          <w:lang w:eastAsia="pl-PL"/>
        </w:rPr>
        <w:br/>
      </w:r>
      <w:r w:rsidRPr="00FB0A12">
        <w:rPr>
          <w:rFonts w:eastAsia="Times New Roman" w:cstheme="minorHAnsi"/>
          <w:b/>
          <w:bCs/>
          <w:szCs w:val="24"/>
          <w:lang w:eastAsia="pl-PL"/>
        </w:rPr>
        <w:t xml:space="preserve">Oświadczenie o spełnianiu kryteriów selekcji </w:t>
      </w:r>
      <w:r w:rsidRPr="00FB0A12">
        <w:rPr>
          <w:rFonts w:eastAsia="Times New Roman" w:cstheme="minorHAnsi"/>
          <w:szCs w:val="24"/>
          <w:lang w:eastAsia="pl-PL"/>
        </w:rPr>
        <w:t xml:space="preserve">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1) Zamawiający w celu potwierdzenia braku podstaw do wykluczenia wykonawcy z udziału w postępowaniu, przed udzieleniem zamówienia może wezwać wykonawcę, którego oferta została najwyżej oceniona, do złożenia w wyznaczonym, nie krótszym niż 5 dni terminie, aktualnych na dzień złożenia oświadczeń lub dokumentów tj. a) 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 2) Jeżeli wykonawca ma siedzibę lub miejsce zamieszkania poza terytorium Rzeczypospolitej Polskiej, zamiast dokumentów, o których mowa w ust. 2 pkt. 1 lit a) SIWZ (powyżej), składa dokument lub dokumenty wystawione w kraju, w którym wykonawca ma siedzibę lub miejsce zamieszkania, potwierdzające odpowiednio, że nie otwarto jego likwidacji ani nie ogłoszono upadłości. 3) Dokumenty, o których mowa w pkt. 2 powyżej,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1 lit a), zastępuje się je dokumentem zawierającym odpowiednio oświadczenie wykonawcy, ze wskazaniem osoby albo osób uprawnionych do jego reprezentacji, lub oświadczenie osoby, której dokument miał dotyczyć, złożone przed notariuszem </w:t>
      </w:r>
      <w:r w:rsidRPr="00FB0A12">
        <w:rPr>
          <w:rFonts w:eastAsia="Times New Roman" w:cstheme="minorHAnsi"/>
          <w:szCs w:val="24"/>
          <w:lang w:eastAsia="pl-PL"/>
        </w:rPr>
        <w:lastRenderedPageBreak/>
        <w:t xml:space="preserve">lub przed organem sądowym, administracyjnym albo organem samorządu zawodowego lub gospodarczego właściwym ze względu na siedzibę lub miejsce zamieszkania wykonawcy lub miejsce zamieszkania tej osoby. Przepis pkt.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III.5.1) W ZAKRESIE SPEŁNIANIA WARUNKÓW UDZIAŁU W POSTĘPOWANIU:</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Nie dotyczy. Zamawiający nie określa warunków udziału w postępowaniu. </w:t>
      </w:r>
      <w:r w:rsidRPr="00FB0A12">
        <w:rPr>
          <w:rFonts w:eastAsia="Times New Roman" w:cstheme="minorHAnsi"/>
          <w:szCs w:val="24"/>
          <w:lang w:eastAsia="pl-PL"/>
        </w:rPr>
        <w:br/>
      </w:r>
      <w:r w:rsidRPr="00FB0A12">
        <w:rPr>
          <w:rFonts w:eastAsia="Times New Roman" w:cstheme="minorHAnsi"/>
          <w:b/>
          <w:bCs/>
          <w:szCs w:val="24"/>
          <w:lang w:eastAsia="pl-PL"/>
        </w:rPr>
        <w:t>III.5.2) W ZAKRESIE KRYTERIÓW SELEKCJI:</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 xml:space="preserve">III.6) WYKAZ OŚWIADCZEŃ LUB DOKUMENTÓW SKŁADANYCH PRZEZ WYKONAWCĘ W POSTĘPOWANIU NA WEZWANIE ZAMAWIAJACEGO W CELU POTWIERDZENIA OKOLICZNOŚCI, O KTÓRYCH MOWA W ART. 25 UST. 1 PKT 2 USTAWY PZP </w:t>
      </w:r>
      <w:r w:rsidRPr="00FB0A12">
        <w:rPr>
          <w:rFonts w:eastAsia="Times New Roman" w:cstheme="minorHAnsi"/>
          <w:szCs w:val="24"/>
          <w:lang w:eastAsia="pl-PL"/>
        </w:rPr>
        <w:t xml:space="preserve">Nie dotyczy.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III.7) INNE DOKUMENTY NIE WYMIENIONE W pkt III.3) - III.6)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1) Wykonawca w terminie 3 dni od dnia zamieszczenia na stronie internetowej informacji o której mowa w art. 86 ust. 5 </w:t>
      </w:r>
      <w:proofErr w:type="spellStart"/>
      <w:r w:rsidRPr="00FB0A12">
        <w:rPr>
          <w:rFonts w:eastAsia="Times New Roman" w:cstheme="minorHAnsi"/>
          <w:szCs w:val="24"/>
          <w:lang w:eastAsia="pl-PL"/>
        </w:rPr>
        <w:t>Pzp</w:t>
      </w:r>
      <w:proofErr w:type="spellEnd"/>
      <w:r w:rsidRPr="00FB0A12">
        <w:rPr>
          <w:rFonts w:eastAsia="Times New Roman" w:cstheme="minorHAnsi"/>
          <w:szCs w:val="24"/>
          <w:lang w:eastAsia="pl-PL"/>
        </w:rPr>
        <w:t xml:space="preserve">, (zgodnie z którym: „Niezwłocznie po otwarciu ofert zamawiający zamieszcza na stronie internetowej informacje dotyczące: • kwoty, jaką zamierza przeznaczyć na sfinansowanie zamówienia; • firm oraz adresów wykonawców, którzy złożyli oferty w terminie; • ceny, terminu wykonania zamówienia, okresu gwarancji i warunków płatności zawartych w ofertach” przekaże zamawiającemu oświadczenie o przynależności lub braku przynależności do tej samej grupy kapitałowej, o której mowa w art. 24 ust. 1 pkt 23 </w:t>
      </w:r>
      <w:proofErr w:type="spellStart"/>
      <w:r w:rsidRPr="00FB0A12">
        <w:rPr>
          <w:rFonts w:eastAsia="Times New Roman" w:cstheme="minorHAnsi"/>
          <w:szCs w:val="24"/>
          <w:lang w:eastAsia="pl-PL"/>
        </w:rPr>
        <w:t>Pzp</w:t>
      </w:r>
      <w:proofErr w:type="spellEnd"/>
      <w:r w:rsidRPr="00FB0A12">
        <w:rPr>
          <w:rFonts w:eastAsia="Times New Roman" w:cstheme="minorHAnsi"/>
          <w:szCs w:val="24"/>
          <w:lang w:eastAsia="pl-PL"/>
        </w:rPr>
        <w:t xml:space="preserve">. Oświadczenie zaleca się przygotować zgodnie z wzorem określonym w załączniku nr 6 do SIWZ. W przypadku składania oferty wspólnej ww. dokument składa każdy z Wykonawców składających ofertę wspólną. Wraz ze złożeniem oświadczenia, wykonawca może przedstawić dowody, że powiązania z innym wykonawcą nie prowadzą do zakłócenia konkurencji w postępowaniu o udzielenie zamówienia. 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 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Jeżeli z przedstawionych dokumentów wynika, że osoba, która podpisała ofertę i wymagane oświadczenia i dokumenty, nie jest uprawniona do reprezentacji Wykonawcy w obrocie gospodarczym, do oferty załączyć należy dokument pełnomocnictwa wystawionego w sposób określony przepisami prawa cywilnego. W przypadku złożenia kopii pełnomocnictwa musi być ono potwierdzone za zgodność z oryginałem przez notariusza. 4) 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ze zm. ), z zastrzeżeniem pkt. 5 i 6. 5) W przypadku wskazania przez wykonawcę dostępności oświadczeń lub dokumentów potwierdzających brak podstaw do wykluczenia w formie elektronicznej pod określonymi adresami internetowymi ogólnodostępnych i bezpłatnych bazach danych, zamawiający pobiera samodzielnie z tych baz danych wskazane przez wykonawcę oświadczenia lub dokumenty. 6) W przypadku wskazania przez wykonawcę oświadczeń lub dokumentów, potwierdzających brak podstaw do wykluczenia, które znajdują się w posiadaniu zamawiającego, w szczególności oświadczeń lub dokumentów przechowywanych przez zamawiającego zgodnie z art. 97 ust. 1 ustawy </w:t>
      </w:r>
      <w:proofErr w:type="spellStart"/>
      <w:r w:rsidRPr="00FB0A12">
        <w:rPr>
          <w:rFonts w:eastAsia="Times New Roman" w:cstheme="minorHAnsi"/>
          <w:szCs w:val="24"/>
          <w:lang w:eastAsia="pl-PL"/>
        </w:rPr>
        <w:t>Pzp</w:t>
      </w:r>
      <w:proofErr w:type="spellEnd"/>
      <w:r w:rsidRPr="00FB0A12">
        <w:rPr>
          <w:rFonts w:eastAsia="Times New Roman" w:cstheme="minorHAnsi"/>
          <w:szCs w:val="24"/>
          <w:lang w:eastAsia="pl-PL"/>
        </w:rPr>
        <w:t xml:space="preserve">, zamawiający w celu potwierdzenia okoliczności, o których mowa w art. 25 ust. 1 pkt 3 ustawy </w:t>
      </w:r>
      <w:proofErr w:type="spellStart"/>
      <w:r w:rsidRPr="00FB0A12">
        <w:rPr>
          <w:rFonts w:eastAsia="Times New Roman" w:cstheme="minorHAnsi"/>
          <w:szCs w:val="24"/>
          <w:lang w:eastAsia="pl-PL"/>
        </w:rPr>
        <w:t>Pzp</w:t>
      </w:r>
      <w:proofErr w:type="spellEnd"/>
      <w:r w:rsidRPr="00FB0A12">
        <w:rPr>
          <w:rFonts w:eastAsia="Times New Roman" w:cstheme="minorHAnsi"/>
          <w:szCs w:val="24"/>
          <w:lang w:eastAsia="pl-PL"/>
        </w:rPr>
        <w:t xml:space="preserve">, korzysta z posiadanych oświadczeń lub dokumentów, o ile są one aktualne. 5. Pozostałe dokumenty składające się na ofertę: 1) Wypełniony </w:t>
      </w:r>
      <w:r w:rsidRPr="00FB0A12">
        <w:rPr>
          <w:rFonts w:eastAsia="Times New Roman" w:cstheme="minorHAnsi"/>
          <w:szCs w:val="24"/>
          <w:lang w:eastAsia="pl-PL"/>
        </w:rPr>
        <w:lastRenderedPageBreak/>
        <w:t xml:space="preserve">załącznik nr 1 – formularz „OFERTA” . 2) Zaleca się dołączenie wraz z ofertą kosztorysu ofertowego opracowanego metodą uproszczoną. Kosztorys w trakcie prowadzonego postępowania o udzielenie zamówienia publicznego ma charakter pomocniczy i nie podlega ocenie. 3) Inne oświadczenia niezbędne do prawidłowej oceny złożonej oferty, w tym dokument pełnomocnictwa wystawiony w sposób określony przepisami prawa cywilnego, jeżeli z przedstawionych dokumentów wynika, że osoba, która podpisała ofertę i wymagane oświadczenia i dokumenty, nie jest uprawniona do reprezentacji Wykonawcy w obrocie gospodarczym. W przypadku złożenia kopii pełnomocnictwa musi być ono potwierdzone za zgodność z oryginałem przez notariusza.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u w:val="single"/>
          <w:lang w:eastAsia="pl-PL"/>
        </w:rPr>
        <w:t xml:space="preserve">SEKCJA IV: PROCEDURA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IV.1) OPIS </w:t>
      </w:r>
      <w:r w:rsidRPr="00FB0A12">
        <w:rPr>
          <w:rFonts w:eastAsia="Times New Roman" w:cstheme="minorHAnsi"/>
          <w:szCs w:val="24"/>
          <w:lang w:eastAsia="pl-PL"/>
        </w:rPr>
        <w:br/>
      </w:r>
      <w:r w:rsidRPr="00FB0A12">
        <w:rPr>
          <w:rFonts w:eastAsia="Times New Roman" w:cstheme="minorHAnsi"/>
          <w:b/>
          <w:bCs/>
          <w:szCs w:val="24"/>
          <w:lang w:eastAsia="pl-PL"/>
        </w:rPr>
        <w:t xml:space="preserve">IV.1.1) Tryb udzielenia zamówienia: </w:t>
      </w:r>
      <w:r w:rsidRPr="00FB0A12">
        <w:rPr>
          <w:rFonts w:eastAsia="Times New Roman" w:cstheme="minorHAnsi"/>
          <w:szCs w:val="24"/>
          <w:lang w:eastAsia="pl-PL"/>
        </w:rPr>
        <w:t xml:space="preserve">Przetarg nieograniczony </w:t>
      </w:r>
      <w:r w:rsidRPr="00FB0A12">
        <w:rPr>
          <w:rFonts w:eastAsia="Times New Roman" w:cstheme="minorHAnsi"/>
          <w:szCs w:val="24"/>
          <w:lang w:eastAsia="pl-PL"/>
        </w:rPr>
        <w:br/>
      </w:r>
      <w:r w:rsidRPr="00FB0A12">
        <w:rPr>
          <w:rFonts w:eastAsia="Times New Roman" w:cstheme="minorHAnsi"/>
          <w:b/>
          <w:bCs/>
          <w:szCs w:val="24"/>
          <w:lang w:eastAsia="pl-PL"/>
        </w:rPr>
        <w:t>IV.1.2) Zamawiający żąda wniesienia wadium:</w:t>
      </w:r>
      <w:r w:rsidRPr="00FB0A12">
        <w:rPr>
          <w:rFonts w:eastAsia="Times New Roman" w:cstheme="minorHAnsi"/>
          <w:szCs w:val="24"/>
          <w:lang w:eastAsia="pl-PL"/>
        </w:rPr>
        <w:t xml:space="preserve"> Nie </w:t>
      </w:r>
      <w:r w:rsidRPr="00FB0A12">
        <w:rPr>
          <w:rFonts w:eastAsia="Times New Roman" w:cstheme="minorHAnsi"/>
          <w:szCs w:val="24"/>
          <w:lang w:eastAsia="pl-PL"/>
        </w:rPr>
        <w:br/>
        <w:t xml:space="preserve">Informacja na temat wadium </w:t>
      </w:r>
      <w:r w:rsidRPr="00FB0A12">
        <w:rPr>
          <w:rFonts w:eastAsia="Times New Roman" w:cstheme="minorHAnsi"/>
          <w:szCs w:val="24"/>
          <w:lang w:eastAsia="pl-PL"/>
        </w:rPr>
        <w:br/>
      </w:r>
      <w:r w:rsidRPr="00FB0A12">
        <w:rPr>
          <w:rFonts w:eastAsia="Times New Roman" w:cstheme="minorHAnsi"/>
          <w:b/>
          <w:bCs/>
          <w:szCs w:val="24"/>
          <w:lang w:eastAsia="pl-PL"/>
        </w:rPr>
        <w:t>IV.1.3) Przewiduje się udzielenie zaliczek na poczet wykonania zamówienia:</w:t>
      </w:r>
      <w:r w:rsidRPr="00FB0A12">
        <w:rPr>
          <w:rFonts w:eastAsia="Times New Roman" w:cstheme="minorHAnsi"/>
          <w:szCs w:val="24"/>
          <w:lang w:eastAsia="pl-PL"/>
        </w:rPr>
        <w:t xml:space="preserve"> Nie </w:t>
      </w:r>
      <w:r w:rsidRPr="00FB0A12">
        <w:rPr>
          <w:rFonts w:eastAsia="Times New Roman" w:cstheme="minorHAnsi"/>
          <w:szCs w:val="24"/>
          <w:lang w:eastAsia="pl-PL"/>
        </w:rPr>
        <w:br/>
        <w:t xml:space="preserve">Należy podać informacje na temat udzielania zaliczek: </w:t>
      </w:r>
      <w:r w:rsidRPr="00FB0A12">
        <w:rPr>
          <w:rFonts w:eastAsia="Times New Roman" w:cstheme="minorHAnsi"/>
          <w:szCs w:val="24"/>
          <w:lang w:eastAsia="pl-PL"/>
        </w:rPr>
        <w:br/>
      </w:r>
      <w:r w:rsidRPr="00FB0A12">
        <w:rPr>
          <w:rFonts w:eastAsia="Times New Roman" w:cstheme="minorHAnsi"/>
          <w:b/>
          <w:bCs/>
          <w:szCs w:val="24"/>
          <w:lang w:eastAsia="pl-PL"/>
        </w:rPr>
        <w:t xml:space="preserve">IV.1.4) Wymaga się złożenia ofert w postaci katalogów elektronicznych lub dołączenia do ofert katalogów elektronicznych: </w:t>
      </w:r>
      <w:r w:rsidRPr="00FB0A12">
        <w:rPr>
          <w:rFonts w:eastAsia="Times New Roman" w:cstheme="minorHAnsi"/>
          <w:szCs w:val="24"/>
          <w:lang w:eastAsia="pl-PL"/>
        </w:rPr>
        <w:t xml:space="preserve">Nie </w:t>
      </w:r>
      <w:r w:rsidRPr="00FB0A12">
        <w:rPr>
          <w:rFonts w:eastAsia="Times New Roman" w:cstheme="minorHAnsi"/>
          <w:szCs w:val="24"/>
          <w:lang w:eastAsia="pl-PL"/>
        </w:rPr>
        <w:br/>
        <w:t xml:space="preserve">Dopuszcza się złożenie ofert w postaci katalogów elektronicznych lub dołączenia do ofert katalogów elektronicznych: Nie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r>
      <w:r w:rsidRPr="00FB0A12">
        <w:rPr>
          <w:rFonts w:eastAsia="Times New Roman" w:cstheme="minorHAnsi"/>
          <w:b/>
          <w:bCs/>
          <w:szCs w:val="24"/>
          <w:lang w:eastAsia="pl-PL"/>
        </w:rPr>
        <w:t xml:space="preserve">IV.1.5.) Wymaga się złożenia oferty wariantowej: </w:t>
      </w:r>
      <w:r w:rsidRPr="00FB0A12">
        <w:rPr>
          <w:rFonts w:eastAsia="Times New Roman" w:cstheme="minorHAnsi"/>
          <w:szCs w:val="24"/>
          <w:lang w:eastAsia="pl-PL"/>
        </w:rPr>
        <w:t xml:space="preserve">Nie </w:t>
      </w:r>
      <w:r w:rsidRPr="00FB0A12">
        <w:rPr>
          <w:rFonts w:eastAsia="Times New Roman" w:cstheme="minorHAnsi"/>
          <w:szCs w:val="24"/>
          <w:lang w:eastAsia="pl-PL"/>
        </w:rPr>
        <w:br/>
        <w:t xml:space="preserve">Dopuszcza się złożenie oferty wariantowej Nie </w:t>
      </w:r>
      <w:r w:rsidRPr="00FB0A12">
        <w:rPr>
          <w:rFonts w:eastAsia="Times New Roman" w:cstheme="minorHAnsi"/>
          <w:szCs w:val="24"/>
          <w:lang w:eastAsia="pl-PL"/>
        </w:rPr>
        <w:br/>
        <w:t xml:space="preserve">Złożenie oferty wariantowej dopuszcza się tylko z jednoczesnym złożeniem oferty zasadniczej: Nie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IV.1.6) Przewidywana liczba wykonawców, którzy zostaną zaproszeni do udziału w postępowaniu </w:t>
      </w:r>
      <w:r w:rsidRPr="00FB0A12">
        <w:rPr>
          <w:rFonts w:eastAsia="Times New Roman" w:cstheme="minorHAnsi"/>
          <w:szCs w:val="24"/>
          <w:lang w:eastAsia="pl-PL"/>
        </w:rPr>
        <w:br/>
      </w:r>
      <w:r w:rsidRPr="00FB0A12">
        <w:rPr>
          <w:rFonts w:eastAsia="Times New Roman" w:cstheme="minorHAnsi"/>
          <w:i/>
          <w:iCs/>
          <w:szCs w:val="24"/>
          <w:lang w:eastAsia="pl-PL"/>
        </w:rPr>
        <w:t xml:space="preserve">(przetarg ograniczony, negocjacje z ogłoszeniem, dialog konkurencyjny, partnerstwo innowacyjne)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Liczba wykonawców   </w:t>
      </w:r>
      <w:r w:rsidRPr="00FB0A12">
        <w:rPr>
          <w:rFonts w:eastAsia="Times New Roman" w:cstheme="minorHAnsi"/>
          <w:szCs w:val="24"/>
          <w:lang w:eastAsia="pl-PL"/>
        </w:rPr>
        <w:br/>
        <w:t xml:space="preserve">Przewidywana minimalna liczba wykonawców </w:t>
      </w:r>
      <w:r w:rsidRPr="00FB0A12">
        <w:rPr>
          <w:rFonts w:eastAsia="Times New Roman" w:cstheme="minorHAnsi"/>
          <w:szCs w:val="24"/>
          <w:lang w:eastAsia="pl-PL"/>
        </w:rPr>
        <w:br/>
        <w:t xml:space="preserve">Maksymalna liczba wykonawców   </w:t>
      </w:r>
      <w:r w:rsidRPr="00FB0A12">
        <w:rPr>
          <w:rFonts w:eastAsia="Times New Roman" w:cstheme="minorHAnsi"/>
          <w:szCs w:val="24"/>
          <w:lang w:eastAsia="pl-PL"/>
        </w:rPr>
        <w:br/>
        <w:t xml:space="preserve">Kryteria selekcji wykonawców: </w:t>
      </w:r>
      <w:r w:rsidRPr="00FB0A12">
        <w:rPr>
          <w:rFonts w:eastAsia="Times New Roman" w:cstheme="minorHAnsi"/>
          <w:szCs w:val="24"/>
          <w:lang w:eastAsia="pl-PL"/>
        </w:rPr>
        <w:br/>
      </w:r>
      <w:r w:rsidRPr="00FB0A12">
        <w:rPr>
          <w:rFonts w:eastAsia="Times New Roman" w:cstheme="minorHAnsi"/>
          <w:b/>
          <w:bCs/>
          <w:szCs w:val="24"/>
          <w:lang w:eastAsia="pl-PL"/>
        </w:rPr>
        <w:t xml:space="preserve">IV.1.7) Informacje na temat umowy ramowej lub dynamicznego systemu zakupów: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Umowa ramowa będzie zawarta: </w:t>
      </w:r>
      <w:r w:rsidRPr="00FB0A12">
        <w:rPr>
          <w:rFonts w:eastAsia="Times New Roman" w:cstheme="minorHAnsi"/>
          <w:szCs w:val="24"/>
          <w:lang w:eastAsia="pl-PL"/>
        </w:rPr>
        <w:br/>
        <w:t xml:space="preserve">Czy przewiduje się ograniczenie liczby uczestników umowy ramowej: </w:t>
      </w:r>
      <w:r w:rsidRPr="00FB0A12">
        <w:rPr>
          <w:rFonts w:eastAsia="Times New Roman" w:cstheme="minorHAnsi"/>
          <w:szCs w:val="24"/>
          <w:lang w:eastAsia="pl-PL"/>
        </w:rPr>
        <w:br/>
        <w:t xml:space="preserve">Przewidziana maksymalna liczba uczestników umowy ramowej: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t xml:space="preserve">Zamówienie obejmuje ustanowienie dynamicznego systemu zakupów: </w:t>
      </w:r>
      <w:r w:rsidRPr="00FB0A12">
        <w:rPr>
          <w:rFonts w:eastAsia="Times New Roman" w:cstheme="minorHAnsi"/>
          <w:szCs w:val="24"/>
          <w:lang w:eastAsia="pl-PL"/>
        </w:rPr>
        <w:br/>
        <w:t xml:space="preserve">Adres strony internetowej, na której będą zamieszczone dodatkowe informacje dotyczące dynamicznego systemu zakupów: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t xml:space="preserve">W ramach umowy ramowej/dynamicznego systemu zakupów dopuszcza się złożenie ofert w formie katalogów elektronicznych: </w:t>
      </w:r>
      <w:r w:rsidRPr="00FB0A12">
        <w:rPr>
          <w:rFonts w:eastAsia="Times New Roman" w:cstheme="minorHAnsi"/>
          <w:szCs w:val="24"/>
          <w:lang w:eastAsia="pl-PL"/>
        </w:rPr>
        <w:br/>
        <w:t xml:space="preserve">Przewiduje się pobranie ze złożonych katalogów elektronicznych informacji potrzebnych do sporządzenia ofert w ramach umowy ramowej/dynamicznego systemu zakupów: </w:t>
      </w:r>
      <w:r w:rsidRPr="00FB0A12">
        <w:rPr>
          <w:rFonts w:eastAsia="Times New Roman" w:cstheme="minorHAnsi"/>
          <w:szCs w:val="24"/>
          <w:lang w:eastAsia="pl-PL"/>
        </w:rPr>
        <w:br/>
      </w:r>
      <w:r w:rsidRPr="00FB0A12">
        <w:rPr>
          <w:rFonts w:eastAsia="Times New Roman" w:cstheme="minorHAnsi"/>
          <w:b/>
          <w:bCs/>
          <w:szCs w:val="24"/>
          <w:lang w:eastAsia="pl-PL"/>
        </w:rPr>
        <w:t xml:space="preserve">IV.1.8) Aukcja elektroniczna </w:t>
      </w:r>
      <w:r w:rsidRPr="00FB0A12">
        <w:rPr>
          <w:rFonts w:eastAsia="Times New Roman" w:cstheme="minorHAnsi"/>
          <w:szCs w:val="24"/>
          <w:lang w:eastAsia="pl-PL"/>
        </w:rPr>
        <w:br/>
      </w:r>
      <w:r w:rsidRPr="00FB0A12">
        <w:rPr>
          <w:rFonts w:eastAsia="Times New Roman" w:cstheme="minorHAnsi"/>
          <w:b/>
          <w:bCs/>
          <w:szCs w:val="24"/>
          <w:lang w:eastAsia="pl-PL"/>
        </w:rPr>
        <w:t xml:space="preserve">Przewidziane jest przeprowadzenie aukcji elektronicznej </w:t>
      </w:r>
      <w:r w:rsidRPr="00FB0A12">
        <w:rPr>
          <w:rFonts w:eastAsia="Times New Roman" w:cstheme="minorHAnsi"/>
          <w:i/>
          <w:iCs/>
          <w:szCs w:val="24"/>
          <w:lang w:eastAsia="pl-PL"/>
        </w:rPr>
        <w:t xml:space="preserve">(przetarg nieograniczony, przetarg ograniczony, negocjacje z ogłoszeniem) </w:t>
      </w:r>
      <w:r w:rsidRPr="00FB0A12">
        <w:rPr>
          <w:rFonts w:eastAsia="Times New Roman" w:cstheme="minorHAnsi"/>
          <w:szCs w:val="24"/>
          <w:lang w:eastAsia="pl-PL"/>
        </w:rPr>
        <w:t xml:space="preserve">Nie </w:t>
      </w:r>
      <w:r w:rsidRPr="00FB0A12">
        <w:rPr>
          <w:rFonts w:eastAsia="Times New Roman" w:cstheme="minorHAnsi"/>
          <w:szCs w:val="24"/>
          <w:lang w:eastAsia="pl-PL"/>
        </w:rPr>
        <w:br/>
        <w:t xml:space="preserve">Należy podać adres strony internetowej, na której aukcja będzie prowadzona: </w:t>
      </w:r>
      <w:r w:rsidRPr="00FB0A12">
        <w:rPr>
          <w:rFonts w:eastAsia="Times New Roman" w:cstheme="minorHAnsi"/>
          <w:szCs w:val="24"/>
          <w:lang w:eastAsia="pl-PL"/>
        </w:rPr>
        <w:br/>
      </w:r>
      <w:r w:rsidRPr="00FB0A12">
        <w:rPr>
          <w:rFonts w:eastAsia="Times New Roman" w:cstheme="minorHAnsi"/>
          <w:b/>
          <w:bCs/>
          <w:szCs w:val="24"/>
          <w:lang w:eastAsia="pl-PL"/>
        </w:rPr>
        <w:t xml:space="preserve">Należy wskazać elementy, których wartości będą przedmiotem aukcji elektronicznej: </w:t>
      </w:r>
      <w:r w:rsidRPr="00FB0A12">
        <w:rPr>
          <w:rFonts w:eastAsia="Times New Roman" w:cstheme="minorHAnsi"/>
          <w:szCs w:val="24"/>
          <w:lang w:eastAsia="pl-PL"/>
        </w:rPr>
        <w:br/>
      </w:r>
      <w:r w:rsidRPr="00FB0A12">
        <w:rPr>
          <w:rFonts w:eastAsia="Times New Roman" w:cstheme="minorHAnsi"/>
          <w:b/>
          <w:bCs/>
          <w:szCs w:val="24"/>
          <w:lang w:eastAsia="pl-PL"/>
        </w:rPr>
        <w:t>Przewiduje się ograniczenia co do przedstawionych wartości, wynikające z opisu przedmiotu zamówienia:</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Należy podać, które informacje zostaną udostępnione wykonawcom w trakcie aukcji elektronicznej oraz jaki będzie termin ich udostępnienia: </w:t>
      </w:r>
      <w:r w:rsidRPr="00FB0A12">
        <w:rPr>
          <w:rFonts w:eastAsia="Times New Roman" w:cstheme="minorHAnsi"/>
          <w:szCs w:val="24"/>
          <w:lang w:eastAsia="pl-PL"/>
        </w:rPr>
        <w:br/>
        <w:t xml:space="preserve">Informacje dotyczące przebiegu aukcji elektronicznej: </w:t>
      </w:r>
      <w:r w:rsidRPr="00FB0A12">
        <w:rPr>
          <w:rFonts w:eastAsia="Times New Roman" w:cstheme="minorHAnsi"/>
          <w:szCs w:val="24"/>
          <w:lang w:eastAsia="pl-PL"/>
        </w:rPr>
        <w:br/>
        <w:t xml:space="preserve">Jaki jest przewidziany sposób postępowania w toku aukcji elektronicznej i jakie będą warunki, na jakich wykonawcy będą mogli licytować (minimalne wysokości postąpień): </w:t>
      </w:r>
      <w:r w:rsidRPr="00FB0A12">
        <w:rPr>
          <w:rFonts w:eastAsia="Times New Roman" w:cstheme="minorHAnsi"/>
          <w:szCs w:val="24"/>
          <w:lang w:eastAsia="pl-PL"/>
        </w:rPr>
        <w:br/>
      </w:r>
      <w:r w:rsidRPr="00FB0A12">
        <w:rPr>
          <w:rFonts w:eastAsia="Times New Roman" w:cstheme="minorHAnsi"/>
          <w:szCs w:val="24"/>
          <w:lang w:eastAsia="pl-PL"/>
        </w:rPr>
        <w:lastRenderedPageBreak/>
        <w:t xml:space="preserve">Informacje dotyczące wykorzystywanego sprzętu elektronicznego, rozwiązań i specyfikacji technicznych w zakresie połączeń: </w:t>
      </w:r>
      <w:r w:rsidRPr="00FB0A12">
        <w:rPr>
          <w:rFonts w:eastAsia="Times New Roman" w:cstheme="minorHAnsi"/>
          <w:szCs w:val="24"/>
          <w:lang w:eastAsia="pl-PL"/>
        </w:rPr>
        <w:br/>
        <w:t xml:space="preserve">Wymagania dotyczące rejestracji i identyfikacji wykonawców w aukcji elektronicznej: </w:t>
      </w:r>
      <w:r w:rsidRPr="00FB0A12">
        <w:rPr>
          <w:rFonts w:eastAsia="Times New Roman" w:cstheme="minorHAnsi"/>
          <w:szCs w:val="24"/>
          <w:lang w:eastAsia="pl-PL"/>
        </w:rPr>
        <w:br/>
        <w:t xml:space="preserve">Informacje o liczbie etapów aukcji elektronicznej i czasie ich trwania: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Czas trwania: </w:t>
      </w:r>
      <w:r w:rsidRPr="00FB0A12">
        <w:rPr>
          <w:rFonts w:eastAsia="Times New Roman" w:cstheme="minorHAnsi"/>
          <w:szCs w:val="24"/>
          <w:lang w:eastAsia="pl-PL"/>
        </w:rPr>
        <w:br/>
        <w:t xml:space="preserve">Czy wykonawcy, którzy nie złożyli nowych postąpień, zostaną zakwalifikowani do następnego etapu: </w:t>
      </w:r>
      <w:r w:rsidRPr="00FB0A12">
        <w:rPr>
          <w:rFonts w:eastAsia="Times New Roman" w:cstheme="minorHAnsi"/>
          <w:szCs w:val="24"/>
          <w:lang w:eastAsia="pl-PL"/>
        </w:rPr>
        <w:br/>
        <w:t xml:space="preserve">Warunki zamknięcia aukcji elektronicznej: </w:t>
      </w:r>
      <w:r w:rsidRPr="00FB0A12">
        <w:rPr>
          <w:rFonts w:eastAsia="Times New Roman" w:cstheme="minorHAnsi"/>
          <w:szCs w:val="24"/>
          <w:lang w:eastAsia="pl-PL"/>
        </w:rPr>
        <w:br/>
      </w:r>
      <w:r w:rsidRPr="00FB0A12">
        <w:rPr>
          <w:rFonts w:eastAsia="Times New Roman" w:cstheme="minorHAnsi"/>
          <w:b/>
          <w:bCs/>
          <w:szCs w:val="24"/>
          <w:lang w:eastAsia="pl-PL"/>
        </w:rPr>
        <w:t xml:space="preserve">IV.2) KRYTERIA OCENY OFERT </w:t>
      </w:r>
      <w:r w:rsidRPr="00FB0A12">
        <w:rPr>
          <w:rFonts w:eastAsia="Times New Roman" w:cstheme="minorHAnsi"/>
          <w:szCs w:val="24"/>
          <w:lang w:eastAsia="pl-PL"/>
        </w:rPr>
        <w:br/>
      </w:r>
      <w:r w:rsidRPr="00FB0A12">
        <w:rPr>
          <w:rFonts w:eastAsia="Times New Roman" w:cstheme="minorHAnsi"/>
          <w:b/>
          <w:bCs/>
          <w:szCs w:val="24"/>
          <w:lang w:eastAsia="pl-PL"/>
        </w:rPr>
        <w:t xml:space="preserve">IV.2.1) Kryteria oceny ofert: </w:t>
      </w:r>
      <w:r w:rsidRPr="00FB0A12">
        <w:rPr>
          <w:rFonts w:eastAsia="Times New Roman" w:cstheme="minorHAnsi"/>
          <w:szCs w:val="24"/>
          <w:lang w:eastAsia="pl-PL"/>
        </w:rPr>
        <w:br/>
      </w:r>
      <w:r w:rsidRPr="00FB0A12">
        <w:rPr>
          <w:rFonts w:eastAsia="Times New Roman" w:cstheme="minorHAnsi"/>
          <w:b/>
          <w:bCs/>
          <w:szCs w:val="24"/>
          <w:lang w:eastAsia="pl-PL"/>
        </w:rPr>
        <w:t>IV.2.2) Kryteria</w:t>
      </w:r>
      <w:r w:rsidRPr="00FB0A12">
        <w:rPr>
          <w:rFonts w:eastAsia="Times New Roman" w:cstheme="minorHAnsi"/>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75"/>
        <w:gridCol w:w="919"/>
      </w:tblGrid>
      <w:tr w:rsidR="00FB0A12" w:rsidRPr="00FB0A12" w:rsidTr="00FB0A12">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Znaczenie</w:t>
            </w:r>
          </w:p>
        </w:tc>
      </w:tr>
      <w:tr w:rsidR="00FB0A12" w:rsidRPr="00FB0A12" w:rsidTr="00FB0A12">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60,00</w:t>
            </w:r>
          </w:p>
        </w:tc>
      </w:tr>
      <w:tr w:rsidR="00FB0A12" w:rsidRPr="00FB0A12" w:rsidTr="00FB0A12">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40,00</w:t>
            </w:r>
          </w:p>
        </w:tc>
      </w:tr>
    </w:tbl>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 xml:space="preserve">IV.2.3) Zastosowanie procedury, o której mowa w art. 24aa ust. 1 ustawy </w:t>
      </w:r>
      <w:proofErr w:type="spellStart"/>
      <w:r w:rsidRPr="00FB0A12">
        <w:rPr>
          <w:rFonts w:eastAsia="Times New Roman" w:cstheme="minorHAnsi"/>
          <w:b/>
          <w:bCs/>
          <w:szCs w:val="24"/>
          <w:lang w:eastAsia="pl-PL"/>
        </w:rPr>
        <w:t>Pzp</w:t>
      </w:r>
      <w:proofErr w:type="spellEnd"/>
      <w:r w:rsidRPr="00FB0A12">
        <w:rPr>
          <w:rFonts w:eastAsia="Times New Roman" w:cstheme="minorHAnsi"/>
          <w:b/>
          <w:bCs/>
          <w:szCs w:val="24"/>
          <w:lang w:eastAsia="pl-PL"/>
        </w:rPr>
        <w:t xml:space="preserve"> </w:t>
      </w:r>
      <w:r w:rsidRPr="00FB0A12">
        <w:rPr>
          <w:rFonts w:eastAsia="Times New Roman" w:cstheme="minorHAnsi"/>
          <w:szCs w:val="24"/>
          <w:lang w:eastAsia="pl-PL"/>
        </w:rPr>
        <w:t xml:space="preserve">(przetarg nieograniczony) Tak </w:t>
      </w:r>
      <w:r w:rsidRPr="00FB0A12">
        <w:rPr>
          <w:rFonts w:eastAsia="Times New Roman" w:cstheme="minorHAnsi"/>
          <w:szCs w:val="24"/>
          <w:lang w:eastAsia="pl-PL"/>
        </w:rPr>
        <w:br/>
      </w:r>
      <w:r w:rsidRPr="00FB0A12">
        <w:rPr>
          <w:rFonts w:eastAsia="Times New Roman" w:cstheme="minorHAnsi"/>
          <w:b/>
          <w:bCs/>
          <w:szCs w:val="24"/>
          <w:lang w:eastAsia="pl-PL"/>
        </w:rPr>
        <w:t xml:space="preserve">IV.3) Negocjacje z ogłoszeniem, dialog konkurencyjny, partnerstwo innowacyjne </w:t>
      </w:r>
      <w:r w:rsidRPr="00FB0A12">
        <w:rPr>
          <w:rFonts w:eastAsia="Times New Roman" w:cstheme="minorHAnsi"/>
          <w:szCs w:val="24"/>
          <w:lang w:eastAsia="pl-PL"/>
        </w:rPr>
        <w:br/>
      </w:r>
      <w:r w:rsidRPr="00FB0A12">
        <w:rPr>
          <w:rFonts w:eastAsia="Times New Roman" w:cstheme="minorHAnsi"/>
          <w:b/>
          <w:bCs/>
          <w:szCs w:val="24"/>
          <w:lang w:eastAsia="pl-PL"/>
        </w:rPr>
        <w:t>IV.3.1) Informacje na temat negocjacji z ogłoszeniem</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Minimalne wymagania, które muszą spełniać wszystkie oferty: nie dotyczy </w:t>
      </w:r>
      <w:r w:rsidRPr="00FB0A12">
        <w:rPr>
          <w:rFonts w:eastAsia="Times New Roman" w:cstheme="minorHAnsi"/>
          <w:szCs w:val="24"/>
          <w:lang w:eastAsia="pl-PL"/>
        </w:rPr>
        <w:br/>
        <w:t xml:space="preserve">Przewidziane jest zastrzeżenie prawa do udzielenia zamówienia na podstawie ofert wstępnych bez przeprowadzenia negocjacji </w:t>
      </w:r>
      <w:r w:rsidRPr="00FB0A12">
        <w:rPr>
          <w:rFonts w:eastAsia="Times New Roman" w:cstheme="minorHAnsi"/>
          <w:szCs w:val="24"/>
          <w:lang w:eastAsia="pl-PL"/>
        </w:rPr>
        <w:br/>
        <w:t xml:space="preserve">Przewidziany jest podział negocjacji na etapy w celu ograniczenia liczby ofert: </w:t>
      </w:r>
      <w:r w:rsidRPr="00FB0A12">
        <w:rPr>
          <w:rFonts w:eastAsia="Times New Roman" w:cstheme="minorHAnsi"/>
          <w:szCs w:val="24"/>
          <w:lang w:eastAsia="pl-PL"/>
        </w:rPr>
        <w:br/>
        <w:t xml:space="preserve">Należy podać informacje na temat etapów negocjacji (w tym liczbę etapów):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r>
      <w:r w:rsidRPr="00FB0A12">
        <w:rPr>
          <w:rFonts w:eastAsia="Times New Roman" w:cstheme="minorHAnsi"/>
          <w:b/>
          <w:bCs/>
          <w:szCs w:val="24"/>
          <w:lang w:eastAsia="pl-PL"/>
        </w:rPr>
        <w:t>IV.3.2) Informacje na temat dialogu konkurencyjnego</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Opis potrzeb i wymagań zamawiającego lub informacja o sposobie uzyskania tego opisu: nie dotyczy </w:t>
      </w:r>
      <w:r w:rsidRPr="00FB0A12">
        <w:rPr>
          <w:rFonts w:eastAsia="Times New Roman" w:cstheme="minorHAnsi"/>
          <w:szCs w:val="24"/>
          <w:lang w:eastAsia="pl-PL"/>
        </w:rPr>
        <w:br/>
        <w:t xml:space="preserve">Informacja o wysokości nagród dla wykonawców, którzy podczas dialogu konkurencyjnego przedstawili rozwiązania stanowiące podstawę do składania ofert, jeżeli zamawiający przewiduje nagrody: </w:t>
      </w:r>
      <w:r w:rsidRPr="00FB0A12">
        <w:rPr>
          <w:rFonts w:eastAsia="Times New Roman" w:cstheme="minorHAnsi"/>
          <w:szCs w:val="24"/>
          <w:lang w:eastAsia="pl-PL"/>
        </w:rPr>
        <w:br/>
        <w:t xml:space="preserve">Wstępny harmonogram postępowania: </w:t>
      </w:r>
      <w:r w:rsidRPr="00FB0A12">
        <w:rPr>
          <w:rFonts w:eastAsia="Times New Roman" w:cstheme="minorHAnsi"/>
          <w:szCs w:val="24"/>
          <w:lang w:eastAsia="pl-PL"/>
        </w:rPr>
        <w:br/>
        <w:t xml:space="preserve">Podział dialogu na etapy w celu ograniczenia liczby rozwiązań: </w:t>
      </w:r>
      <w:r w:rsidRPr="00FB0A12">
        <w:rPr>
          <w:rFonts w:eastAsia="Times New Roman" w:cstheme="minorHAnsi"/>
          <w:szCs w:val="24"/>
          <w:lang w:eastAsia="pl-PL"/>
        </w:rPr>
        <w:br/>
        <w:t xml:space="preserve">Należy podać informacje na temat etapów dialogu: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r>
      <w:r w:rsidRPr="00FB0A12">
        <w:rPr>
          <w:rFonts w:eastAsia="Times New Roman" w:cstheme="minorHAnsi"/>
          <w:b/>
          <w:bCs/>
          <w:szCs w:val="24"/>
          <w:lang w:eastAsia="pl-PL"/>
        </w:rPr>
        <w:t>IV.3.3) Informacje na temat partnerstwa innowacyjnego</w:t>
      </w:r>
      <w:r w:rsidRPr="00FB0A12">
        <w:rPr>
          <w:rFonts w:eastAsia="Times New Roman" w:cstheme="minorHAnsi"/>
          <w:szCs w:val="24"/>
          <w:lang w:eastAsia="pl-PL"/>
        </w:rPr>
        <w:t xml:space="preserve"> </w:t>
      </w:r>
      <w:r w:rsidRPr="00FB0A12">
        <w:rPr>
          <w:rFonts w:eastAsia="Times New Roman" w:cstheme="minorHAnsi"/>
          <w:szCs w:val="24"/>
          <w:lang w:eastAsia="pl-PL"/>
        </w:rPr>
        <w:br/>
        <w:t xml:space="preserve">Elementy opisu przedmiotu zamówienia definiujące minimalne wymagania, którym muszą odpowiadać wszystkie oferty: nie dotyczy </w:t>
      </w:r>
      <w:r w:rsidRPr="00FB0A12">
        <w:rPr>
          <w:rFonts w:eastAsia="Times New Roman" w:cstheme="minorHAnsi"/>
          <w:szCs w:val="24"/>
          <w:lang w:eastAsia="pl-PL"/>
        </w:rPr>
        <w:br/>
        <w:t xml:space="preserve">Podział negocjacji na etapy w celu ograniczeniu liczby ofert podlegających negocjacjom poprzez zastosowanie kryteriów oceny ofert wskazanych w specyfikacji istotnych warunków zamówienia: </w:t>
      </w:r>
      <w:r w:rsidRPr="00FB0A12">
        <w:rPr>
          <w:rFonts w:eastAsia="Times New Roman" w:cstheme="minorHAnsi"/>
          <w:szCs w:val="24"/>
          <w:lang w:eastAsia="pl-PL"/>
        </w:rPr>
        <w:br/>
        <w:t xml:space="preserve">Informacje dodatkowe: </w:t>
      </w:r>
      <w:r w:rsidRPr="00FB0A12">
        <w:rPr>
          <w:rFonts w:eastAsia="Times New Roman" w:cstheme="minorHAnsi"/>
          <w:szCs w:val="24"/>
          <w:lang w:eastAsia="pl-PL"/>
        </w:rPr>
        <w:br/>
      </w:r>
      <w:r w:rsidRPr="00FB0A12">
        <w:rPr>
          <w:rFonts w:eastAsia="Times New Roman" w:cstheme="minorHAnsi"/>
          <w:b/>
          <w:bCs/>
          <w:szCs w:val="24"/>
          <w:lang w:eastAsia="pl-PL"/>
        </w:rPr>
        <w:t xml:space="preserve">IV.4) Licytacja elektroniczna </w:t>
      </w:r>
      <w:r w:rsidRPr="00FB0A12">
        <w:rPr>
          <w:rFonts w:eastAsia="Times New Roman" w:cstheme="minorHAnsi"/>
          <w:szCs w:val="24"/>
          <w:lang w:eastAsia="pl-PL"/>
        </w:rPr>
        <w:br/>
        <w:t xml:space="preserve">Adres strony internetowej, na której będzie prowadzona licytacja elektroniczna: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nie dotyczy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Adres strony internetowej, na której jest dostępny opis przedmiotu zamówienia w licytacji elektronicznej: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Wymagania dotyczące rejestracji i identyfikacji wykonawców w licytacji elektronicznej, w tym wymagania techniczne urządzeń informatycznych: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Sposób postępowania w toku licytacji elektronicznej, w tym określenie minimalnych wysokości postąpień: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Informacje o liczbie etapów licytacji elektronicznej i czasie ich trwania: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Czas trwania: </w:t>
      </w:r>
      <w:r w:rsidRPr="00FB0A12">
        <w:rPr>
          <w:rFonts w:eastAsia="Times New Roman" w:cstheme="minorHAnsi"/>
          <w:szCs w:val="24"/>
          <w:lang w:eastAsia="pl-PL"/>
        </w:rPr>
        <w:br/>
        <w:t xml:space="preserve">Wykonawcy, którzy nie złożyli nowych postąpień, zostaną zakwalifikowani do następnego etapu: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Termin składania wniosków o dopuszczenie do udziału w licytacji elektronicznej: </w:t>
      </w:r>
      <w:r w:rsidRPr="00FB0A12">
        <w:rPr>
          <w:rFonts w:eastAsia="Times New Roman" w:cstheme="minorHAnsi"/>
          <w:szCs w:val="24"/>
          <w:lang w:eastAsia="pl-PL"/>
        </w:rPr>
        <w:br/>
        <w:t xml:space="preserve">Data: godzina: </w:t>
      </w:r>
      <w:r w:rsidRPr="00FB0A12">
        <w:rPr>
          <w:rFonts w:eastAsia="Times New Roman" w:cstheme="minorHAnsi"/>
          <w:szCs w:val="24"/>
          <w:lang w:eastAsia="pl-PL"/>
        </w:rPr>
        <w:br/>
        <w:t xml:space="preserve">Termin otwarcia licytacji elektronicznej: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lastRenderedPageBreak/>
        <w:t xml:space="preserve">Termin i warunki zamknięcia licytacji elektronicznej: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br/>
        <w:t xml:space="preserve">Istotne dla stron postanowienia, które zostaną wprowadzone do treści zawieranej umowy w sprawie zamówienia publicznego, albo ogólne warunki umowy, albo wzór umowy: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Wymagania dotyczące zabezpieczenia należytego wykonania umowy: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szCs w:val="24"/>
          <w:lang w:eastAsia="pl-PL"/>
        </w:rPr>
        <w:t xml:space="preserve">Informacje dodatkowe: </w:t>
      </w:r>
    </w:p>
    <w:p w:rsidR="00FB0A12" w:rsidRPr="00FB0A12" w:rsidRDefault="00FB0A12" w:rsidP="00FB0A12">
      <w:pPr>
        <w:spacing w:after="0" w:line="240" w:lineRule="auto"/>
        <w:rPr>
          <w:rFonts w:eastAsia="Times New Roman" w:cstheme="minorHAnsi"/>
          <w:szCs w:val="24"/>
          <w:lang w:eastAsia="pl-PL"/>
        </w:rPr>
      </w:pPr>
      <w:r w:rsidRPr="00FB0A12">
        <w:rPr>
          <w:rFonts w:eastAsia="Times New Roman" w:cstheme="minorHAnsi"/>
          <w:b/>
          <w:bCs/>
          <w:szCs w:val="24"/>
          <w:lang w:eastAsia="pl-PL"/>
        </w:rPr>
        <w:t>IV.5) ZMIANA UMOWY</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b/>
          <w:bCs/>
          <w:szCs w:val="24"/>
          <w:lang w:eastAsia="pl-PL"/>
        </w:rPr>
        <w:t>Przewiduje się istotne zmiany postanowień zawartej umowy w stosunku do treści oferty, na podstawie której dokonano wyboru wykonawcy:</w:t>
      </w:r>
      <w:r w:rsidRPr="00FB0A12">
        <w:rPr>
          <w:rFonts w:eastAsia="Times New Roman" w:cstheme="minorHAnsi"/>
          <w:szCs w:val="24"/>
          <w:lang w:eastAsia="pl-PL"/>
        </w:rPr>
        <w:t xml:space="preserve"> Tak </w:t>
      </w:r>
      <w:r w:rsidRPr="00FB0A12">
        <w:rPr>
          <w:rFonts w:eastAsia="Times New Roman" w:cstheme="minorHAnsi"/>
          <w:szCs w:val="24"/>
          <w:lang w:eastAsia="pl-PL"/>
        </w:rPr>
        <w:br/>
        <w:t xml:space="preserve">Należy wskazać zakres, charakter zmian oraz warunki wprowadzenia zmian: </w:t>
      </w:r>
      <w:r w:rsidRPr="00FB0A12">
        <w:rPr>
          <w:rFonts w:eastAsia="Times New Roman" w:cstheme="minorHAnsi"/>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zasadach określonych w art. 144 PZP a także na podstawie poniższych okoliczności: 1) Wykonawca może wnieść o przedłużenie terminu wykonania przedmiotu umowy o czas opóźnienia Zamawiającego, jeżeli takie opóźnienie jest lub będzie miało wpływ na wykonanie przedmiotu umowy w wykonaniu następujących zobowiązań: a) przekazania terenu budowy, b) przekazania dokumentacji budowy (zgłoszenia budowy, specyfikacji technicznych, innych wymaganych przepisami, do których Zamawiający był zobowiązany), c) przekazania dokumentów zamiennych budowy lub usunięcia wad w dostarczanej dokumentacji projektowej, d) zmiany terminu dokonania odbiorów przewidzianych w umowie. 2) Wykonawca może wnieść o przedłużenie terminu wykonania przedmiotu umowy o czas opóźnienia, jeżeli takie opóźnienie jest lub będzie miało wpływ na wykonanie przedmiotu umowy w przypadku: a) okoliczności leżących po stronie Zamawiającego, w szczególności: wstrzymanie/zawieszenie robót przez Zamawiającego, b) szczególnie niesprzyjających warunków atmosferycznych uniemożliwiających prowadzenie robót budowlanych, przeprowadzanie prób i sprawdzeń, dokonywanie odbiorów. Przez szczególnie niesprzyjające warunki atmosferyczne rozumie się wystąpienie średniej dziennej temperatury niższej niż minus 2 C, a także opady atmosferyczne (śnieg, deszcz) trwające co najmniej 3 dni czy też utrzymujący się w tym okresie leżący śnieg. Średnią temperaturę Wykonawca ustala w ten sposób, że kierownik budowy dokonuje pomiaru o godz. 7.00 i 15.00 dokonując odpowiednich wpisów do dziennika budowy. Średnia z tych pomiarów będzie średnią dziennej temperatury. Przez szczególnie niesprzyjające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niesprzyjające warunki atmosferyczne Wykonawca niezwłocznie poinformuje Zamawiającego i dokona wpisu w dzienniku budowy. Zamawiający ma prawo weryfikacji ustaleń nt. zjawisk uznanych za niesprzyjające warunki atmosferyczne na podstawie danych z Instytutu Meteorologii i Gospodarki Wodnej (właściwych dla miejsca budowy), w szczególności średniej temperatury dziennej; c) jakiegokolwiek opóźnienia, utrudnienia lub przeszkody spowodowanej przez Zamawiającego lub dających się przypisać Zamawiającemu lub innemu wykonawcy zatrudnionemu przez Zamawiającego na terenie budowy, 3) Zmiana terminu może ulec wydłużeniu w przypadkach: a) zachodzić będzie konieczność udzielenia zamówień (w tym robót budowlanych) nieobjętych Umową, a których wykonanie będzie miało wpływ na wykonanie Umowy o zamówienie; b) wystąpienia zmian spowodowanych warunkami geologicznymi, archeologicznymi, terenowymi w szczególności: niewypały i niewybuchy; wykopaliska archeologiczne nieprzewidywane w dokumentacji przetargowej; c) 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d) wystąpienie okoliczności których strony nie były w stanie przewidzieć pomimo zachowania należytej staranności; e) wstrzymania przez Zamawiającego lub organy administracji publicznej (w tym orzeczeniem sądu) prac objętych Umową, w szczególności z powodu zagrożenia życia lub zdrowia na budowie, prac archeologicznych, a także z powodu opóźnienia, </w:t>
      </w:r>
      <w:r w:rsidRPr="00FB0A12">
        <w:rPr>
          <w:rFonts w:eastAsia="Times New Roman" w:cstheme="minorHAnsi"/>
          <w:szCs w:val="24"/>
          <w:lang w:eastAsia="pl-PL"/>
        </w:rPr>
        <w:lastRenderedPageBreak/>
        <w:t xml:space="preserve">zawieszenia, wstrzymania lub zaprzestania przekazywania Zamawiającemu środków finansowych na realizację zamówienia przez Instytucję Zarządzającą, w tym środków w ramach dofinansowania z Ministerstwa Sportu i Turystyki. f) niezawinionych przez Wykonawcę opóźnień Zamawiającego w przystąpieniu do dokonania odbiorów robót, czy też opóźnień w przekazaniu Wykonawcy lub osobom trzecim stosownych dokumentów niezbędnych do realizacji Umowy; g) przedłużających się terminów postępowań przed organami administracji publicznej oraz sądami o wydanie decyzji lub innego rodzaju rozstrzygnięć niezbędnych do wykonania objętych Umową prac (w tym uzyskania prawomocnego pozwolenia na użytkowanie Obiektu), z przyczyn niezawinionych przez Wykonawcę. h) wystąpienia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i) zmiana sposobu rozliczania umowy lub dokonywania płatności na rzecz Wykonawcy na skutek, w szczególności zmiany umowy o przyznaniu dofinansowania; lub pozyskania nowego dofinansowania; j) konieczności dostosowania treści niniejszej Umowy, a do zasad przewidzianych w ramach dofinansowania z Ministerstwa Sportu i Turystyki jako instytucji zarządzającej środkami, również w przypadku zmiany wytycznych jw. w tym zakresie (zmiana niewymagająca sporządzania aneksu). 4) Jeżeli powstały konieczne zmiany technologiczne, w szczególności: a) konieczności zrealizowania projektu przy zastosowaniu innych rozwiązań technicznych/technologicznych niż wskazane w dokumentacji projektowej w sytuacji, gdyby zastosowanie przewidzianych rozwiązań groziłoby niewykonaniem lub wadliwym wykonaniem przedmiotu umowy, b) konieczności zrealizowania projektu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 c) konieczności zrealizowania przedmiotu umowy przy zastosowaniu innych rozwiązań technicznych lub materiałowych ze względu na zmiany obowiązującego prawa. Zmiany wskazywane w pkt. 4 będą wprowadzone wyłącznie w zakresie umożliwiającym oddanie przedmiotu umowy do użytkowania, a Zamawiający może ponieść ryzyko zwiększanym z tego powodu kosztom. 5) zmiany Umowy (w tym również jej załącznika jakim jest Dokumentacja projektowa) w zakresie materiałów, parametrów technicznych, sposobu i zakresu wykonania przedmiotu Umowy w następujących sytuacjach: a) konieczności realizacji robót wynikających z wprowadzenia w dokumentacji projektowej zmian uznanych za nieistotne odstępstwo od projektu budowlanego, wynikających z art. 36a ust. 1 ustawy Prawo budowlane,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dokumentacji projektowej, w szczególności napotkania niezinwentaryzowanych sieci, instalacji lub innych obiektów budowlanych a także stwierdzenia błędów w tym zakresie,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f) 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 6) Zmiany Umowy o których mowa w pkt. 4 i 5 będą niedopuszczalne, jeżeli miałyby prowadzić do zastosowania materiałów o jakości niższej niż wymagana na podstawie Umowy lub połączone byłyby z roszczeniem Wykonawcy o zwiększenie wynagrodzenia przekraczające 15% wartości o której mowa w §8 ust. 1 wynikającej z oferty Wykonawcy. 7) Pozostałe zmiany: a) zmiana wysokości wynagrodzenia należnego Wykonawcy w przypadku zmiany stawki podatku od towarów i usług VAT. W takim przypadku zmiana wysokości </w:t>
      </w:r>
      <w:r w:rsidRPr="00FB0A12">
        <w:rPr>
          <w:rFonts w:eastAsia="Times New Roman" w:cstheme="minorHAnsi"/>
          <w:szCs w:val="24"/>
          <w:lang w:eastAsia="pl-PL"/>
        </w:rPr>
        <w:lastRenderedPageBreak/>
        <w:t xml:space="preserve">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 b) zmiana sposobu rozliczania umowy lub dokonywania płatności na rzecz Wykonawcy, na skutek w szczególności zmian zawartej przez Zamawiającego umowy o dofinansowanie, c) rezygnacji przez Zamawiającego z realizacji części przedmiotu umowy, w szczególności z powodu konieczności zaniechania wykonania części prac z uwagi na fakt, iż ich wykonanie w trakcie realizacji robót stało się zbędne.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FB0A12">
        <w:rPr>
          <w:rFonts w:eastAsia="Times New Roman" w:cstheme="minorHAnsi"/>
          <w:szCs w:val="24"/>
          <w:lang w:eastAsia="pl-PL"/>
        </w:rPr>
        <w:t>Sekocenbud</w:t>
      </w:r>
      <w:proofErr w:type="spellEnd"/>
      <w:r w:rsidRPr="00FB0A12">
        <w:rPr>
          <w:rFonts w:eastAsia="Times New Roman" w:cstheme="minorHAnsi"/>
          <w:szCs w:val="24"/>
          <w:lang w:eastAsia="pl-PL"/>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d) zmiana polegająca na dopuszczeniu do wykonywania zamówienia podwykonawcy nie wymienionego w wykazie robót proponowanych do wykonania przez podwykonawców, po wcześniejszej akceptacji przez Zamawiającego i spełnieniu wymagań specyfikacji dotyczących wykonywania wskazanego zakresu robót przez podwykonawców (zmiana niewymagająca sporządzania aneksu), e) dopuszczeniu do wykonywania przez podwykonawców tej części zamówienia (zakresu prac), która nie została wskazana w ofercie do podzlecenia po wcześniejszej akceptacji przez Zamawiającego i spełnieniu wymagań specyfikacji dotyczących wykonywania wskazanego zakresu robót przez podwykonawców (zmiana niewymagająca sporządzania aneksu). 3.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 5. Przedłużenie terminów wykonania zamówienia może nastąpić wyłącznie o czas trwania przeszkody. 6. Żadnej ze stron Umowy nie przysługuje roszczenie o zawarcie aneksu (obie strony muszą wyrazić zgodę się na zawarcie aneksu). Zamawiający informuje ponadto, iż jego zgoda na aneks może być uzależniona od uprzedniej zgody instytucji zarządzającej - Ministerstwa Sportu i Turystyki jako instytucji zarządzającej środkami. 7.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8.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9.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FB0A12">
        <w:rPr>
          <w:rFonts w:eastAsia="Times New Roman" w:cstheme="minorHAnsi"/>
          <w:szCs w:val="24"/>
          <w:lang w:eastAsia="pl-PL"/>
        </w:rPr>
        <w:br/>
      </w:r>
      <w:r w:rsidRPr="00FB0A12">
        <w:rPr>
          <w:rFonts w:eastAsia="Times New Roman" w:cstheme="minorHAnsi"/>
          <w:b/>
          <w:bCs/>
          <w:szCs w:val="24"/>
          <w:lang w:eastAsia="pl-PL"/>
        </w:rPr>
        <w:t xml:space="preserve">IV.6) INFORMACJE ADMINISTRACYJNE </w:t>
      </w:r>
      <w:r w:rsidRPr="00FB0A12">
        <w:rPr>
          <w:rFonts w:eastAsia="Times New Roman" w:cstheme="minorHAnsi"/>
          <w:szCs w:val="24"/>
          <w:lang w:eastAsia="pl-PL"/>
        </w:rPr>
        <w:br/>
      </w:r>
      <w:r w:rsidRPr="00FB0A12">
        <w:rPr>
          <w:rFonts w:eastAsia="Times New Roman" w:cstheme="minorHAnsi"/>
          <w:b/>
          <w:bCs/>
          <w:szCs w:val="24"/>
          <w:lang w:eastAsia="pl-PL"/>
        </w:rPr>
        <w:t xml:space="preserve">IV.6.1) Sposób udostępniania informacji o charakterze poufnym </w:t>
      </w:r>
      <w:r w:rsidRPr="00FB0A12">
        <w:rPr>
          <w:rFonts w:eastAsia="Times New Roman" w:cstheme="minorHAnsi"/>
          <w:i/>
          <w:iCs/>
          <w:szCs w:val="24"/>
          <w:lang w:eastAsia="pl-PL"/>
        </w:rPr>
        <w:t xml:space="preserve">(jeżeli dotyczy): </w:t>
      </w:r>
      <w:r w:rsidRPr="00FB0A12">
        <w:rPr>
          <w:rFonts w:eastAsia="Times New Roman" w:cstheme="minorHAnsi"/>
          <w:szCs w:val="24"/>
          <w:lang w:eastAsia="pl-PL"/>
        </w:rPr>
        <w:br/>
      </w:r>
      <w:r w:rsidRPr="00FB0A12">
        <w:rPr>
          <w:rFonts w:eastAsia="Times New Roman" w:cstheme="minorHAnsi"/>
          <w:b/>
          <w:bCs/>
          <w:szCs w:val="24"/>
          <w:lang w:eastAsia="pl-PL"/>
        </w:rPr>
        <w:t>Środki służące ochronie informacji o charakterze poufnym</w:t>
      </w:r>
      <w:r w:rsidRPr="00FB0A12">
        <w:rPr>
          <w:rFonts w:eastAsia="Times New Roman" w:cstheme="minorHAnsi"/>
          <w:szCs w:val="24"/>
          <w:lang w:eastAsia="pl-PL"/>
        </w:rPr>
        <w:t xml:space="preserve"> </w:t>
      </w:r>
      <w:r w:rsidRPr="00FB0A12">
        <w:rPr>
          <w:rFonts w:eastAsia="Times New Roman" w:cstheme="minorHAnsi"/>
          <w:szCs w:val="24"/>
          <w:lang w:eastAsia="pl-PL"/>
        </w:rPr>
        <w:br/>
      </w:r>
      <w:r w:rsidRPr="00FB0A12">
        <w:rPr>
          <w:rFonts w:eastAsia="Times New Roman" w:cstheme="minorHAnsi"/>
          <w:szCs w:val="24"/>
          <w:lang w:eastAsia="pl-PL"/>
        </w:rPr>
        <w:lastRenderedPageBreak/>
        <w:br/>
      </w:r>
      <w:r w:rsidRPr="00FB0A12">
        <w:rPr>
          <w:rFonts w:eastAsia="Times New Roman" w:cstheme="minorHAnsi"/>
          <w:b/>
          <w:bCs/>
          <w:szCs w:val="24"/>
          <w:lang w:eastAsia="pl-PL"/>
        </w:rPr>
        <w:t xml:space="preserve">IV.6.2) Termin składania ofert lub wniosków o dopuszczenie do udziału w postępowaniu: </w:t>
      </w:r>
      <w:r w:rsidRPr="00FB0A12">
        <w:rPr>
          <w:rFonts w:eastAsia="Times New Roman" w:cstheme="minorHAnsi"/>
          <w:szCs w:val="24"/>
          <w:lang w:eastAsia="pl-PL"/>
        </w:rPr>
        <w:br/>
        <w:t xml:space="preserve">Data: 2019-08-06, godzina: 10:00, </w:t>
      </w:r>
      <w:r w:rsidRPr="00FB0A12">
        <w:rPr>
          <w:rFonts w:eastAsia="Times New Roman" w:cstheme="minorHAnsi"/>
          <w:szCs w:val="24"/>
          <w:lang w:eastAsia="pl-PL"/>
        </w:rPr>
        <w:br/>
        <w:t xml:space="preserve">Skrócenie terminu składania wniosków, ze względu na pilną potrzebę udzielenia zamówienia (przetarg nieograniczony, przetarg ograniczony, negocjacje z ogłoszeniem): Nie </w:t>
      </w:r>
      <w:r w:rsidRPr="00FB0A12">
        <w:rPr>
          <w:rFonts w:eastAsia="Times New Roman" w:cstheme="minorHAnsi"/>
          <w:szCs w:val="24"/>
          <w:lang w:eastAsia="pl-PL"/>
        </w:rPr>
        <w:br/>
        <w:t xml:space="preserve">Wskazać powody: </w:t>
      </w:r>
      <w:r w:rsidRPr="00FB0A12">
        <w:rPr>
          <w:rFonts w:eastAsia="Times New Roman" w:cstheme="minorHAnsi"/>
          <w:szCs w:val="24"/>
          <w:lang w:eastAsia="pl-PL"/>
        </w:rPr>
        <w:br/>
        <w:t xml:space="preserve">Język lub języki, w jakich mogą być sporządzane oferty lub wnioski o dopuszczenie do udziału w postępowaniu &gt; Polski </w:t>
      </w:r>
      <w:r w:rsidRPr="00FB0A12">
        <w:rPr>
          <w:rFonts w:eastAsia="Times New Roman" w:cstheme="minorHAnsi"/>
          <w:szCs w:val="24"/>
          <w:lang w:eastAsia="pl-PL"/>
        </w:rPr>
        <w:br/>
      </w:r>
      <w:r w:rsidRPr="00FB0A12">
        <w:rPr>
          <w:rFonts w:eastAsia="Times New Roman" w:cstheme="minorHAnsi"/>
          <w:b/>
          <w:bCs/>
          <w:szCs w:val="24"/>
          <w:lang w:eastAsia="pl-PL"/>
        </w:rPr>
        <w:t xml:space="preserve">IV.6.3) Termin związania ofertą: </w:t>
      </w:r>
      <w:r w:rsidRPr="00FB0A12">
        <w:rPr>
          <w:rFonts w:eastAsia="Times New Roman" w:cstheme="minorHAnsi"/>
          <w:szCs w:val="24"/>
          <w:lang w:eastAsia="pl-PL"/>
        </w:rPr>
        <w:t xml:space="preserve">do: okres w dniach: 30 (od ostatecznego terminu składania ofert) </w:t>
      </w:r>
      <w:r w:rsidRPr="00FB0A12">
        <w:rPr>
          <w:rFonts w:eastAsia="Times New Roman" w:cstheme="minorHAnsi"/>
          <w:szCs w:val="24"/>
          <w:lang w:eastAsia="pl-PL"/>
        </w:rPr>
        <w:br/>
      </w:r>
      <w:r w:rsidRPr="00FB0A12">
        <w:rPr>
          <w:rFonts w:eastAsia="Times New Roman" w:cstheme="minorHAnsi"/>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0A12">
        <w:rPr>
          <w:rFonts w:eastAsia="Times New Roman" w:cstheme="minorHAnsi"/>
          <w:szCs w:val="24"/>
          <w:lang w:eastAsia="pl-PL"/>
        </w:rPr>
        <w:t xml:space="preserve"> Nie </w:t>
      </w:r>
      <w:r w:rsidRPr="00FB0A12">
        <w:rPr>
          <w:rFonts w:eastAsia="Times New Roman" w:cstheme="minorHAnsi"/>
          <w:szCs w:val="24"/>
          <w:lang w:eastAsia="pl-PL"/>
        </w:rPr>
        <w:br/>
      </w:r>
      <w:r w:rsidRPr="00FB0A12">
        <w:rPr>
          <w:rFonts w:eastAsia="Times New Roman" w:cstheme="minorHAnsi"/>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0A12">
        <w:rPr>
          <w:rFonts w:eastAsia="Times New Roman" w:cstheme="minorHAnsi"/>
          <w:szCs w:val="24"/>
          <w:lang w:eastAsia="pl-PL"/>
        </w:rPr>
        <w:t xml:space="preserve"> Nie </w:t>
      </w:r>
      <w:r w:rsidRPr="00FB0A12">
        <w:rPr>
          <w:rFonts w:eastAsia="Times New Roman" w:cstheme="minorHAnsi"/>
          <w:szCs w:val="24"/>
          <w:lang w:eastAsia="pl-PL"/>
        </w:rPr>
        <w:br/>
      </w:r>
      <w:r w:rsidRPr="00FB0A12">
        <w:rPr>
          <w:rFonts w:eastAsia="Times New Roman" w:cstheme="minorHAnsi"/>
          <w:b/>
          <w:bCs/>
          <w:szCs w:val="24"/>
          <w:lang w:eastAsia="pl-PL"/>
        </w:rPr>
        <w:t>IV.6.6) Informacje dodatkowe:</w:t>
      </w:r>
      <w:r w:rsidRPr="00FB0A12">
        <w:rPr>
          <w:rFonts w:eastAsia="Times New Roman" w:cstheme="minorHAnsi"/>
          <w:szCs w:val="24"/>
          <w:lang w:eastAsia="pl-PL"/>
        </w:rPr>
        <w:t xml:space="preserve"> </w:t>
      </w:r>
      <w:r w:rsidRPr="00FB0A12">
        <w:rPr>
          <w:rFonts w:eastAsia="Times New Roman" w:cstheme="minorHAnsi"/>
          <w:szCs w:val="24"/>
          <w:lang w:eastAsia="pl-PL"/>
        </w:rPr>
        <w:br/>
      </w:r>
    </w:p>
    <w:p w:rsidR="00FB0A12" w:rsidRPr="00FB0A12" w:rsidRDefault="00FB0A12" w:rsidP="00FB0A12">
      <w:pPr>
        <w:spacing w:after="0" w:line="240" w:lineRule="auto"/>
        <w:jc w:val="center"/>
        <w:rPr>
          <w:rFonts w:eastAsia="Times New Roman" w:cstheme="minorHAnsi"/>
          <w:szCs w:val="24"/>
          <w:lang w:eastAsia="pl-PL"/>
        </w:rPr>
      </w:pPr>
      <w:r w:rsidRPr="00FB0A12">
        <w:rPr>
          <w:rFonts w:eastAsia="Times New Roman" w:cstheme="minorHAnsi"/>
          <w:szCs w:val="24"/>
          <w:u w:val="single"/>
          <w:lang w:eastAsia="pl-PL"/>
        </w:rPr>
        <w:t xml:space="preserve">ZAŁĄCZNIK I - INFORMACJE DOTYCZĄCE OFERT CZĘŚCIOWYCH </w:t>
      </w:r>
    </w:p>
    <w:p w:rsidR="00FB0A12" w:rsidRPr="00FB0A12" w:rsidRDefault="00FB0A12" w:rsidP="00FB0A12">
      <w:pPr>
        <w:spacing w:after="0" w:line="240" w:lineRule="auto"/>
        <w:rPr>
          <w:rFonts w:eastAsia="Times New Roman" w:cstheme="minorHAnsi"/>
          <w:szCs w:val="24"/>
          <w:lang w:eastAsia="pl-PL"/>
        </w:rPr>
      </w:pPr>
    </w:p>
    <w:p w:rsidR="00FB0A12" w:rsidRPr="00FB0A12" w:rsidRDefault="00FB0A12" w:rsidP="00FB0A12">
      <w:pPr>
        <w:spacing w:after="0" w:line="240" w:lineRule="auto"/>
        <w:rPr>
          <w:rFonts w:eastAsia="Times New Roman" w:cstheme="minorHAnsi"/>
          <w:szCs w:val="24"/>
          <w:lang w:eastAsia="pl-PL"/>
        </w:rPr>
      </w:pPr>
    </w:p>
    <w:p w:rsidR="00FB0A12" w:rsidRPr="00FB0A12" w:rsidRDefault="00FB0A12" w:rsidP="00FB0A12">
      <w:pPr>
        <w:spacing w:after="240" w:line="240" w:lineRule="auto"/>
        <w:rPr>
          <w:rFonts w:eastAsia="Times New Roman" w:cstheme="minorHAnsi"/>
          <w:szCs w:val="24"/>
          <w:lang w:eastAsia="pl-PL"/>
        </w:rPr>
      </w:pPr>
    </w:p>
    <w:p w:rsidR="00FB0A12" w:rsidRPr="00FB0A12" w:rsidRDefault="00FB0A12" w:rsidP="00FB0A12">
      <w:pPr>
        <w:spacing w:after="240" w:line="240" w:lineRule="auto"/>
        <w:rPr>
          <w:rFonts w:eastAsia="Times New Roman" w:cstheme="minorHAnsi"/>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0A12" w:rsidRPr="00FB0A12" w:rsidTr="00FB0A12">
        <w:trPr>
          <w:tblCellSpacing w:w="15" w:type="dxa"/>
        </w:trPr>
        <w:tc>
          <w:tcPr>
            <w:tcW w:w="0" w:type="auto"/>
            <w:vAlign w:val="center"/>
            <w:hideMark/>
          </w:tcPr>
          <w:p w:rsidR="00FB0A12" w:rsidRPr="00FB0A12" w:rsidRDefault="00FB0A12" w:rsidP="00FB0A12">
            <w:pPr>
              <w:spacing w:after="0" w:line="240" w:lineRule="auto"/>
              <w:rPr>
                <w:rFonts w:eastAsia="Times New Roman" w:cstheme="minorHAnsi"/>
                <w:szCs w:val="24"/>
                <w:lang w:eastAsia="pl-PL"/>
              </w:rPr>
            </w:pP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4540" w:rsidTr="007E69EA">
        <w:tc>
          <w:tcPr>
            <w:tcW w:w="4531" w:type="dxa"/>
          </w:tcPr>
          <w:p w:rsidR="00514540" w:rsidRDefault="00514540" w:rsidP="007E69EA">
            <w:pPr>
              <w:rPr>
                <w:rFonts w:cstheme="minorHAnsi"/>
                <w:sz w:val="20"/>
                <w:szCs w:val="20"/>
              </w:rPr>
            </w:pPr>
          </w:p>
          <w:p w:rsidR="00514540" w:rsidRDefault="00514540" w:rsidP="007E69EA">
            <w:pPr>
              <w:rPr>
                <w:rFonts w:cstheme="minorHAnsi"/>
                <w:sz w:val="20"/>
                <w:szCs w:val="20"/>
              </w:rPr>
            </w:pPr>
            <w:r>
              <w:rPr>
                <w:rFonts w:cstheme="minorHAnsi"/>
                <w:sz w:val="20"/>
                <w:szCs w:val="20"/>
              </w:rPr>
              <w:t xml:space="preserve">Zamieszczono na stronie </w:t>
            </w:r>
            <w:hyperlink r:id="rId7" w:history="1">
              <w:r w:rsidRPr="0048025F">
                <w:rPr>
                  <w:rStyle w:val="Hipercze"/>
                  <w:rFonts w:cstheme="minorHAnsi"/>
                  <w:sz w:val="20"/>
                  <w:szCs w:val="20"/>
                </w:rPr>
                <w:t>www.bip.golancz.pl</w:t>
              </w:r>
            </w:hyperlink>
            <w:r>
              <w:rPr>
                <w:rFonts w:cstheme="minorHAnsi"/>
                <w:sz w:val="20"/>
                <w:szCs w:val="20"/>
              </w:rPr>
              <w:t xml:space="preserve"> </w:t>
            </w:r>
          </w:p>
          <w:p w:rsidR="00514540" w:rsidRDefault="00514540" w:rsidP="007E69EA">
            <w:pPr>
              <w:rPr>
                <w:rFonts w:cstheme="minorHAnsi"/>
                <w:sz w:val="20"/>
                <w:szCs w:val="20"/>
              </w:rPr>
            </w:pPr>
            <w:r>
              <w:rPr>
                <w:rFonts w:cstheme="minorHAnsi"/>
                <w:sz w:val="20"/>
                <w:szCs w:val="20"/>
              </w:rPr>
              <w:t>dnia 2019-07-18</w:t>
            </w:r>
          </w:p>
        </w:tc>
        <w:tc>
          <w:tcPr>
            <w:tcW w:w="4531" w:type="dxa"/>
          </w:tcPr>
          <w:p w:rsidR="00514540" w:rsidRPr="00DF64BE" w:rsidRDefault="00514540" w:rsidP="007E69EA">
            <w:pPr>
              <w:jc w:val="center"/>
              <w:rPr>
                <w:rFonts w:cstheme="minorHAnsi"/>
                <w:sz w:val="18"/>
                <w:szCs w:val="20"/>
              </w:rPr>
            </w:pPr>
            <w:r>
              <w:rPr>
                <w:rFonts w:cstheme="minorHAnsi"/>
                <w:sz w:val="18"/>
                <w:szCs w:val="20"/>
              </w:rPr>
              <w:t xml:space="preserve">Z-ca </w:t>
            </w:r>
            <w:r w:rsidRPr="00DF64BE">
              <w:rPr>
                <w:rFonts w:cstheme="minorHAnsi"/>
                <w:sz w:val="18"/>
                <w:szCs w:val="20"/>
              </w:rPr>
              <w:t>BURMISTRZ</w:t>
            </w:r>
            <w:r>
              <w:rPr>
                <w:rFonts w:cstheme="minorHAnsi"/>
                <w:sz w:val="18"/>
                <w:szCs w:val="20"/>
              </w:rPr>
              <w:t>A</w:t>
            </w:r>
          </w:p>
          <w:p w:rsidR="00514540" w:rsidRPr="00DF64BE" w:rsidRDefault="00514540" w:rsidP="007E69EA">
            <w:pPr>
              <w:jc w:val="center"/>
              <w:rPr>
                <w:rFonts w:cstheme="minorHAnsi"/>
                <w:sz w:val="18"/>
                <w:szCs w:val="20"/>
              </w:rPr>
            </w:pPr>
            <w:r w:rsidRPr="00DF64BE">
              <w:rPr>
                <w:rFonts w:cstheme="minorHAnsi"/>
                <w:sz w:val="18"/>
                <w:szCs w:val="20"/>
              </w:rPr>
              <w:t>Miasta i Gminy Gołańcz</w:t>
            </w:r>
          </w:p>
          <w:p w:rsidR="00514540" w:rsidRPr="00DF64BE" w:rsidRDefault="00514540" w:rsidP="007E69EA">
            <w:pPr>
              <w:jc w:val="center"/>
              <w:rPr>
                <w:rFonts w:cstheme="minorHAnsi"/>
                <w:sz w:val="18"/>
                <w:szCs w:val="20"/>
              </w:rPr>
            </w:pPr>
          </w:p>
          <w:p w:rsidR="00514540" w:rsidRPr="00DF64BE" w:rsidRDefault="00514540" w:rsidP="007E69EA">
            <w:pPr>
              <w:jc w:val="center"/>
              <w:rPr>
                <w:rFonts w:cstheme="minorHAnsi"/>
                <w:i/>
                <w:sz w:val="20"/>
                <w:szCs w:val="20"/>
              </w:rPr>
            </w:pPr>
            <w:r w:rsidRPr="00DF64BE">
              <w:rPr>
                <w:rFonts w:cstheme="minorHAnsi"/>
                <w:i/>
                <w:sz w:val="18"/>
                <w:szCs w:val="20"/>
              </w:rPr>
              <w:t xml:space="preserve">mgr </w:t>
            </w:r>
            <w:r>
              <w:rPr>
                <w:rFonts w:cstheme="minorHAnsi"/>
                <w:i/>
                <w:sz w:val="18"/>
                <w:szCs w:val="20"/>
              </w:rPr>
              <w:t>Urszula Wierzbicka</w:t>
            </w:r>
          </w:p>
        </w:tc>
      </w:tr>
    </w:tbl>
    <w:p w:rsidR="00FB0A12" w:rsidRPr="00FB0A12" w:rsidRDefault="00FB0A12" w:rsidP="00FB0A12">
      <w:pPr>
        <w:pBdr>
          <w:top w:val="single" w:sz="6" w:space="1" w:color="auto"/>
        </w:pBdr>
        <w:spacing w:after="0" w:line="240" w:lineRule="auto"/>
        <w:jc w:val="center"/>
        <w:rPr>
          <w:rFonts w:eastAsia="Times New Roman" w:cstheme="minorHAnsi"/>
          <w:vanish/>
          <w:sz w:val="14"/>
          <w:szCs w:val="16"/>
          <w:lang w:eastAsia="pl-PL"/>
        </w:rPr>
      </w:pPr>
      <w:bookmarkStart w:id="0" w:name="_GoBack"/>
      <w:bookmarkEnd w:id="0"/>
      <w:r w:rsidRPr="00FB0A12">
        <w:rPr>
          <w:rFonts w:eastAsia="Times New Roman" w:cstheme="minorHAnsi"/>
          <w:vanish/>
          <w:sz w:val="14"/>
          <w:szCs w:val="16"/>
          <w:lang w:eastAsia="pl-PL"/>
        </w:rPr>
        <w:t>Dół formularza</w:t>
      </w:r>
    </w:p>
    <w:p w:rsidR="00FB0A12" w:rsidRPr="00FB0A12" w:rsidRDefault="00FB0A12" w:rsidP="00FB0A12">
      <w:pPr>
        <w:pBdr>
          <w:bottom w:val="single" w:sz="6" w:space="1" w:color="auto"/>
        </w:pBdr>
        <w:spacing w:after="0" w:line="240" w:lineRule="auto"/>
        <w:jc w:val="center"/>
        <w:rPr>
          <w:rFonts w:eastAsia="Times New Roman" w:cstheme="minorHAnsi"/>
          <w:vanish/>
          <w:sz w:val="14"/>
          <w:szCs w:val="16"/>
          <w:lang w:eastAsia="pl-PL"/>
        </w:rPr>
      </w:pPr>
      <w:r w:rsidRPr="00FB0A12">
        <w:rPr>
          <w:rFonts w:eastAsia="Times New Roman" w:cstheme="minorHAnsi"/>
          <w:vanish/>
          <w:sz w:val="14"/>
          <w:szCs w:val="16"/>
          <w:lang w:eastAsia="pl-PL"/>
        </w:rPr>
        <w:t>Początek formularza</w:t>
      </w:r>
    </w:p>
    <w:p w:rsidR="00FB0A12" w:rsidRPr="00FB0A12" w:rsidRDefault="00FB0A12" w:rsidP="00FB0A12">
      <w:pPr>
        <w:pBdr>
          <w:top w:val="single" w:sz="6" w:space="1" w:color="auto"/>
        </w:pBdr>
        <w:spacing w:after="0" w:line="240" w:lineRule="auto"/>
        <w:jc w:val="center"/>
        <w:rPr>
          <w:rFonts w:eastAsia="Times New Roman" w:cstheme="minorHAnsi"/>
          <w:vanish/>
          <w:sz w:val="14"/>
          <w:szCs w:val="16"/>
          <w:lang w:eastAsia="pl-PL"/>
        </w:rPr>
      </w:pPr>
      <w:r w:rsidRPr="00FB0A12">
        <w:rPr>
          <w:rFonts w:eastAsia="Times New Roman" w:cstheme="minorHAnsi"/>
          <w:vanish/>
          <w:sz w:val="14"/>
          <w:szCs w:val="16"/>
          <w:lang w:eastAsia="pl-PL"/>
        </w:rPr>
        <w:t>Dół formularza</w:t>
      </w:r>
    </w:p>
    <w:p w:rsidR="005F6461" w:rsidRPr="00FB0A12" w:rsidRDefault="002D124E">
      <w:pPr>
        <w:rPr>
          <w:rFonts w:cstheme="minorHAnsi"/>
          <w:sz w:val="20"/>
        </w:rPr>
      </w:pPr>
    </w:p>
    <w:sectPr w:rsidR="005F6461" w:rsidRPr="00FB0A12" w:rsidSect="00FB0A12">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4E" w:rsidRDefault="002D124E" w:rsidP="00FB0A12">
      <w:pPr>
        <w:spacing w:after="0" w:line="240" w:lineRule="auto"/>
      </w:pPr>
      <w:r>
        <w:separator/>
      </w:r>
    </w:p>
  </w:endnote>
  <w:endnote w:type="continuationSeparator" w:id="0">
    <w:p w:rsidR="002D124E" w:rsidRDefault="002D124E" w:rsidP="00FB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81616"/>
      <w:docPartObj>
        <w:docPartGallery w:val="Page Numbers (Bottom of Page)"/>
        <w:docPartUnique/>
      </w:docPartObj>
    </w:sdtPr>
    <w:sdtEndPr>
      <w:rPr>
        <w:color w:val="808080" w:themeColor="background1" w:themeShade="80"/>
        <w:spacing w:val="60"/>
      </w:rPr>
    </w:sdtEndPr>
    <w:sdtContent>
      <w:p w:rsidR="00FB0A12" w:rsidRDefault="00FB0A12">
        <w:pPr>
          <w:pStyle w:val="Stopka"/>
          <w:pBdr>
            <w:top w:val="single" w:sz="4" w:space="1" w:color="D9D9D9" w:themeColor="background1" w:themeShade="D9"/>
          </w:pBdr>
          <w:jc w:val="right"/>
        </w:pPr>
        <w:r>
          <w:fldChar w:fldCharType="begin"/>
        </w:r>
        <w:r>
          <w:instrText>PAGE   \* MERGEFORMAT</w:instrText>
        </w:r>
        <w:r>
          <w:fldChar w:fldCharType="separate"/>
        </w:r>
        <w:r w:rsidR="00514540">
          <w:rPr>
            <w:noProof/>
          </w:rPr>
          <w:t>10</w:t>
        </w:r>
        <w:r>
          <w:fldChar w:fldCharType="end"/>
        </w:r>
        <w:r>
          <w:t xml:space="preserve"> | </w:t>
        </w:r>
        <w:r>
          <w:rPr>
            <w:color w:val="808080" w:themeColor="background1" w:themeShade="80"/>
            <w:spacing w:val="60"/>
          </w:rPr>
          <w:t>Strona</w:t>
        </w:r>
      </w:p>
    </w:sdtContent>
  </w:sdt>
  <w:p w:rsidR="00FB0A12" w:rsidRDefault="00FB0A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4E" w:rsidRDefault="002D124E" w:rsidP="00FB0A12">
      <w:pPr>
        <w:spacing w:after="0" w:line="240" w:lineRule="auto"/>
      </w:pPr>
      <w:r>
        <w:separator/>
      </w:r>
    </w:p>
  </w:footnote>
  <w:footnote w:type="continuationSeparator" w:id="0">
    <w:p w:rsidR="002D124E" w:rsidRDefault="002D124E" w:rsidP="00FB0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12"/>
    <w:rsid w:val="000D299D"/>
    <w:rsid w:val="00133085"/>
    <w:rsid w:val="002D124E"/>
    <w:rsid w:val="004F2380"/>
    <w:rsid w:val="00514540"/>
    <w:rsid w:val="00A21C72"/>
    <w:rsid w:val="00B160FC"/>
    <w:rsid w:val="00E1173F"/>
    <w:rsid w:val="00FB0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B0A1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B0A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B0A1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B0A12"/>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FB0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A12"/>
  </w:style>
  <w:style w:type="paragraph" w:styleId="Stopka">
    <w:name w:val="footer"/>
    <w:basedOn w:val="Normalny"/>
    <w:link w:val="StopkaZnak"/>
    <w:uiPriority w:val="99"/>
    <w:unhideWhenUsed/>
    <w:rsid w:val="00FB0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A12"/>
  </w:style>
  <w:style w:type="character" w:styleId="Hipercze">
    <w:name w:val="Hyperlink"/>
    <w:basedOn w:val="Domylnaczcionkaakapitu"/>
    <w:uiPriority w:val="99"/>
    <w:unhideWhenUsed/>
    <w:rsid w:val="00514540"/>
    <w:rPr>
      <w:color w:val="0000FF" w:themeColor="hyperlink"/>
      <w:u w:val="single"/>
    </w:rPr>
  </w:style>
  <w:style w:type="table" w:styleId="Tabela-Siatka">
    <w:name w:val="Table Grid"/>
    <w:basedOn w:val="Standardowy"/>
    <w:uiPriority w:val="39"/>
    <w:rsid w:val="0051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B0A1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B0A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B0A1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B0A12"/>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FB0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0A12"/>
  </w:style>
  <w:style w:type="paragraph" w:styleId="Stopka">
    <w:name w:val="footer"/>
    <w:basedOn w:val="Normalny"/>
    <w:link w:val="StopkaZnak"/>
    <w:uiPriority w:val="99"/>
    <w:unhideWhenUsed/>
    <w:rsid w:val="00FB0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A12"/>
  </w:style>
  <w:style w:type="character" w:styleId="Hipercze">
    <w:name w:val="Hyperlink"/>
    <w:basedOn w:val="Domylnaczcionkaakapitu"/>
    <w:uiPriority w:val="99"/>
    <w:unhideWhenUsed/>
    <w:rsid w:val="00514540"/>
    <w:rPr>
      <w:color w:val="0000FF" w:themeColor="hyperlink"/>
      <w:u w:val="single"/>
    </w:rPr>
  </w:style>
  <w:style w:type="table" w:styleId="Tabela-Siatka">
    <w:name w:val="Table Grid"/>
    <w:basedOn w:val="Standardowy"/>
    <w:uiPriority w:val="39"/>
    <w:rsid w:val="0051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6363">
      <w:bodyDiv w:val="1"/>
      <w:marLeft w:val="0"/>
      <w:marRight w:val="0"/>
      <w:marTop w:val="0"/>
      <w:marBottom w:val="0"/>
      <w:divBdr>
        <w:top w:val="none" w:sz="0" w:space="0" w:color="auto"/>
        <w:left w:val="none" w:sz="0" w:space="0" w:color="auto"/>
        <w:bottom w:val="none" w:sz="0" w:space="0" w:color="auto"/>
        <w:right w:val="none" w:sz="0" w:space="0" w:color="auto"/>
      </w:divBdr>
      <w:divsChild>
        <w:div w:id="490100111">
          <w:marLeft w:val="0"/>
          <w:marRight w:val="0"/>
          <w:marTop w:val="0"/>
          <w:marBottom w:val="0"/>
          <w:divBdr>
            <w:top w:val="none" w:sz="0" w:space="0" w:color="auto"/>
            <w:left w:val="none" w:sz="0" w:space="0" w:color="auto"/>
            <w:bottom w:val="none" w:sz="0" w:space="0" w:color="auto"/>
            <w:right w:val="none" w:sz="0" w:space="0" w:color="auto"/>
          </w:divBdr>
          <w:divsChild>
            <w:div w:id="657806701">
              <w:marLeft w:val="0"/>
              <w:marRight w:val="0"/>
              <w:marTop w:val="0"/>
              <w:marBottom w:val="0"/>
              <w:divBdr>
                <w:top w:val="none" w:sz="0" w:space="0" w:color="auto"/>
                <w:left w:val="none" w:sz="0" w:space="0" w:color="auto"/>
                <w:bottom w:val="none" w:sz="0" w:space="0" w:color="auto"/>
                <w:right w:val="none" w:sz="0" w:space="0" w:color="auto"/>
              </w:divBdr>
              <w:divsChild>
                <w:div w:id="688726470">
                  <w:marLeft w:val="0"/>
                  <w:marRight w:val="0"/>
                  <w:marTop w:val="0"/>
                  <w:marBottom w:val="0"/>
                  <w:divBdr>
                    <w:top w:val="none" w:sz="0" w:space="0" w:color="auto"/>
                    <w:left w:val="none" w:sz="0" w:space="0" w:color="auto"/>
                    <w:bottom w:val="none" w:sz="0" w:space="0" w:color="auto"/>
                    <w:right w:val="none" w:sz="0" w:space="0" w:color="auto"/>
                  </w:divBdr>
                </w:div>
                <w:div w:id="1161653554">
                  <w:marLeft w:val="0"/>
                  <w:marRight w:val="0"/>
                  <w:marTop w:val="0"/>
                  <w:marBottom w:val="0"/>
                  <w:divBdr>
                    <w:top w:val="none" w:sz="0" w:space="0" w:color="auto"/>
                    <w:left w:val="none" w:sz="0" w:space="0" w:color="auto"/>
                    <w:bottom w:val="none" w:sz="0" w:space="0" w:color="auto"/>
                    <w:right w:val="none" w:sz="0" w:space="0" w:color="auto"/>
                  </w:divBdr>
                </w:div>
                <w:div w:id="271594208">
                  <w:marLeft w:val="0"/>
                  <w:marRight w:val="0"/>
                  <w:marTop w:val="0"/>
                  <w:marBottom w:val="0"/>
                  <w:divBdr>
                    <w:top w:val="none" w:sz="0" w:space="0" w:color="auto"/>
                    <w:left w:val="none" w:sz="0" w:space="0" w:color="auto"/>
                    <w:bottom w:val="none" w:sz="0" w:space="0" w:color="auto"/>
                    <w:right w:val="none" w:sz="0" w:space="0" w:color="auto"/>
                  </w:divBdr>
                  <w:divsChild>
                    <w:div w:id="867137995">
                      <w:marLeft w:val="0"/>
                      <w:marRight w:val="0"/>
                      <w:marTop w:val="0"/>
                      <w:marBottom w:val="0"/>
                      <w:divBdr>
                        <w:top w:val="none" w:sz="0" w:space="0" w:color="auto"/>
                        <w:left w:val="none" w:sz="0" w:space="0" w:color="auto"/>
                        <w:bottom w:val="none" w:sz="0" w:space="0" w:color="auto"/>
                        <w:right w:val="none" w:sz="0" w:space="0" w:color="auto"/>
                      </w:divBdr>
                    </w:div>
                  </w:divsChild>
                </w:div>
                <w:div w:id="463277718">
                  <w:marLeft w:val="0"/>
                  <w:marRight w:val="0"/>
                  <w:marTop w:val="0"/>
                  <w:marBottom w:val="0"/>
                  <w:divBdr>
                    <w:top w:val="none" w:sz="0" w:space="0" w:color="auto"/>
                    <w:left w:val="none" w:sz="0" w:space="0" w:color="auto"/>
                    <w:bottom w:val="none" w:sz="0" w:space="0" w:color="auto"/>
                    <w:right w:val="none" w:sz="0" w:space="0" w:color="auto"/>
                  </w:divBdr>
                  <w:divsChild>
                    <w:div w:id="1633437081">
                      <w:marLeft w:val="0"/>
                      <w:marRight w:val="0"/>
                      <w:marTop w:val="0"/>
                      <w:marBottom w:val="0"/>
                      <w:divBdr>
                        <w:top w:val="none" w:sz="0" w:space="0" w:color="auto"/>
                        <w:left w:val="none" w:sz="0" w:space="0" w:color="auto"/>
                        <w:bottom w:val="none" w:sz="0" w:space="0" w:color="auto"/>
                        <w:right w:val="none" w:sz="0" w:space="0" w:color="auto"/>
                      </w:divBdr>
                    </w:div>
                  </w:divsChild>
                </w:div>
                <w:div w:id="1740324299">
                  <w:marLeft w:val="0"/>
                  <w:marRight w:val="0"/>
                  <w:marTop w:val="0"/>
                  <w:marBottom w:val="0"/>
                  <w:divBdr>
                    <w:top w:val="none" w:sz="0" w:space="0" w:color="auto"/>
                    <w:left w:val="none" w:sz="0" w:space="0" w:color="auto"/>
                    <w:bottom w:val="none" w:sz="0" w:space="0" w:color="auto"/>
                    <w:right w:val="none" w:sz="0" w:space="0" w:color="auto"/>
                  </w:divBdr>
                  <w:divsChild>
                    <w:div w:id="782650976">
                      <w:marLeft w:val="0"/>
                      <w:marRight w:val="0"/>
                      <w:marTop w:val="0"/>
                      <w:marBottom w:val="0"/>
                      <w:divBdr>
                        <w:top w:val="none" w:sz="0" w:space="0" w:color="auto"/>
                        <w:left w:val="none" w:sz="0" w:space="0" w:color="auto"/>
                        <w:bottom w:val="none" w:sz="0" w:space="0" w:color="auto"/>
                        <w:right w:val="none" w:sz="0" w:space="0" w:color="auto"/>
                      </w:divBdr>
                    </w:div>
                    <w:div w:id="1257403560">
                      <w:marLeft w:val="0"/>
                      <w:marRight w:val="0"/>
                      <w:marTop w:val="0"/>
                      <w:marBottom w:val="0"/>
                      <w:divBdr>
                        <w:top w:val="none" w:sz="0" w:space="0" w:color="auto"/>
                        <w:left w:val="none" w:sz="0" w:space="0" w:color="auto"/>
                        <w:bottom w:val="none" w:sz="0" w:space="0" w:color="auto"/>
                        <w:right w:val="none" w:sz="0" w:space="0" w:color="auto"/>
                      </w:divBdr>
                    </w:div>
                    <w:div w:id="132646830">
                      <w:marLeft w:val="0"/>
                      <w:marRight w:val="0"/>
                      <w:marTop w:val="0"/>
                      <w:marBottom w:val="0"/>
                      <w:divBdr>
                        <w:top w:val="none" w:sz="0" w:space="0" w:color="auto"/>
                        <w:left w:val="none" w:sz="0" w:space="0" w:color="auto"/>
                        <w:bottom w:val="none" w:sz="0" w:space="0" w:color="auto"/>
                        <w:right w:val="none" w:sz="0" w:space="0" w:color="auto"/>
                      </w:divBdr>
                    </w:div>
                    <w:div w:id="415904300">
                      <w:marLeft w:val="0"/>
                      <w:marRight w:val="0"/>
                      <w:marTop w:val="0"/>
                      <w:marBottom w:val="0"/>
                      <w:divBdr>
                        <w:top w:val="none" w:sz="0" w:space="0" w:color="auto"/>
                        <w:left w:val="none" w:sz="0" w:space="0" w:color="auto"/>
                        <w:bottom w:val="none" w:sz="0" w:space="0" w:color="auto"/>
                        <w:right w:val="none" w:sz="0" w:space="0" w:color="auto"/>
                      </w:divBdr>
                    </w:div>
                  </w:divsChild>
                </w:div>
                <w:div w:id="1959490518">
                  <w:marLeft w:val="0"/>
                  <w:marRight w:val="0"/>
                  <w:marTop w:val="0"/>
                  <w:marBottom w:val="0"/>
                  <w:divBdr>
                    <w:top w:val="none" w:sz="0" w:space="0" w:color="auto"/>
                    <w:left w:val="none" w:sz="0" w:space="0" w:color="auto"/>
                    <w:bottom w:val="none" w:sz="0" w:space="0" w:color="auto"/>
                    <w:right w:val="none" w:sz="0" w:space="0" w:color="auto"/>
                  </w:divBdr>
                  <w:divsChild>
                    <w:div w:id="783695194">
                      <w:marLeft w:val="0"/>
                      <w:marRight w:val="0"/>
                      <w:marTop w:val="0"/>
                      <w:marBottom w:val="0"/>
                      <w:divBdr>
                        <w:top w:val="none" w:sz="0" w:space="0" w:color="auto"/>
                        <w:left w:val="none" w:sz="0" w:space="0" w:color="auto"/>
                        <w:bottom w:val="none" w:sz="0" w:space="0" w:color="auto"/>
                        <w:right w:val="none" w:sz="0" w:space="0" w:color="auto"/>
                      </w:divBdr>
                    </w:div>
                    <w:div w:id="987586409">
                      <w:marLeft w:val="0"/>
                      <w:marRight w:val="0"/>
                      <w:marTop w:val="0"/>
                      <w:marBottom w:val="0"/>
                      <w:divBdr>
                        <w:top w:val="none" w:sz="0" w:space="0" w:color="auto"/>
                        <w:left w:val="none" w:sz="0" w:space="0" w:color="auto"/>
                        <w:bottom w:val="none" w:sz="0" w:space="0" w:color="auto"/>
                        <w:right w:val="none" w:sz="0" w:space="0" w:color="auto"/>
                      </w:divBdr>
                    </w:div>
                    <w:div w:id="1470510715">
                      <w:marLeft w:val="0"/>
                      <w:marRight w:val="0"/>
                      <w:marTop w:val="0"/>
                      <w:marBottom w:val="0"/>
                      <w:divBdr>
                        <w:top w:val="none" w:sz="0" w:space="0" w:color="auto"/>
                        <w:left w:val="none" w:sz="0" w:space="0" w:color="auto"/>
                        <w:bottom w:val="none" w:sz="0" w:space="0" w:color="auto"/>
                        <w:right w:val="none" w:sz="0" w:space="0" w:color="auto"/>
                      </w:divBdr>
                    </w:div>
                    <w:div w:id="757673319">
                      <w:marLeft w:val="0"/>
                      <w:marRight w:val="0"/>
                      <w:marTop w:val="0"/>
                      <w:marBottom w:val="0"/>
                      <w:divBdr>
                        <w:top w:val="none" w:sz="0" w:space="0" w:color="auto"/>
                        <w:left w:val="none" w:sz="0" w:space="0" w:color="auto"/>
                        <w:bottom w:val="none" w:sz="0" w:space="0" w:color="auto"/>
                        <w:right w:val="none" w:sz="0" w:space="0" w:color="auto"/>
                      </w:divBdr>
                    </w:div>
                    <w:div w:id="1449936909">
                      <w:marLeft w:val="0"/>
                      <w:marRight w:val="0"/>
                      <w:marTop w:val="0"/>
                      <w:marBottom w:val="0"/>
                      <w:divBdr>
                        <w:top w:val="none" w:sz="0" w:space="0" w:color="auto"/>
                        <w:left w:val="none" w:sz="0" w:space="0" w:color="auto"/>
                        <w:bottom w:val="none" w:sz="0" w:space="0" w:color="auto"/>
                        <w:right w:val="none" w:sz="0" w:space="0" w:color="auto"/>
                      </w:divBdr>
                    </w:div>
                    <w:div w:id="704797061">
                      <w:marLeft w:val="0"/>
                      <w:marRight w:val="0"/>
                      <w:marTop w:val="0"/>
                      <w:marBottom w:val="0"/>
                      <w:divBdr>
                        <w:top w:val="none" w:sz="0" w:space="0" w:color="auto"/>
                        <w:left w:val="none" w:sz="0" w:space="0" w:color="auto"/>
                        <w:bottom w:val="none" w:sz="0" w:space="0" w:color="auto"/>
                        <w:right w:val="none" w:sz="0" w:space="0" w:color="auto"/>
                      </w:divBdr>
                    </w:div>
                    <w:div w:id="1607467158">
                      <w:marLeft w:val="0"/>
                      <w:marRight w:val="0"/>
                      <w:marTop w:val="0"/>
                      <w:marBottom w:val="0"/>
                      <w:divBdr>
                        <w:top w:val="none" w:sz="0" w:space="0" w:color="auto"/>
                        <w:left w:val="none" w:sz="0" w:space="0" w:color="auto"/>
                        <w:bottom w:val="none" w:sz="0" w:space="0" w:color="auto"/>
                        <w:right w:val="none" w:sz="0" w:space="0" w:color="auto"/>
                      </w:divBdr>
                    </w:div>
                  </w:divsChild>
                </w:div>
                <w:div w:id="13508230">
                  <w:marLeft w:val="0"/>
                  <w:marRight w:val="0"/>
                  <w:marTop w:val="0"/>
                  <w:marBottom w:val="0"/>
                  <w:divBdr>
                    <w:top w:val="none" w:sz="0" w:space="0" w:color="auto"/>
                    <w:left w:val="none" w:sz="0" w:space="0" w:color="auto"/>
                    <w:bottom w:val="none" w:sz="0" w:space="0" w:color="auto"/>
                    <w:right w:val="none" w:sz="0" w:space="0" w:color="auto"/>
                  </w:divBdr>
                  <w:divsChild>
                    <w:div w:id="82534994">
                      <w:marLeft w:val="0"/>
                      <w:marRight w:val="0"/>
                      <w:marTop w:val="0"/>
                      <w:marBottom w:val="0"/>
                      <w:divBdr>
                        <w:top w:val="none" w:sz="0" w:space="0" w:color="auto"/>
                        <w:left w:val="none" w:sz="0" w:space="0" w:color="auto"/>
                        <w:bottom w:val="none" w:sz="0" w:space="0" w:color="auto"/>
                        <w:right w:val="none" w:sz="0" w:space="0" w:color="auto"/>
                      </w:divBdr>
                    </w:div>
                    <w:div w:id="1725175116">
                      <w:marLeft w:val="0"/>
                      <w:marRight w:val="0"/>
                      <w:marTop w:val="0"/>
                      <w:marBottom w:val="0"/>
                      <w:divBdr>
                        <w:top w:val="none" w:sz="0" w:space="0" w:color="auto"/>
                        <w:left w:val="none" w:sz="0" w:space="0" w:color="auto"/>
                        <w:bottom w:val="none" w:sz="0" w:space="0" w:color="auto"/>
                        <w:right w:val="none" w:sz="0" w:space="0" w:color="auto"/>
                      </w:divBdr>
                    </w:div>
                  </w:divsChild>
                </w:div>
                <w:div w:id="779303481">
                  <w:marLeft w:val="0"/>
                  <w:marRight w:val="0"/>
                  <w:marTop w:val="0"/>
                  <w:marBottom w:val="0"/>
                  <w:divBdr>
                    <w:top w:val="none" w:sz="0" w:space="0" w:color="auto"/>
                    <w:left w:val="none" w:sz="0" w:space="0" w:color="auto"/>
                    <w:bottom w:val="none" w:sz="0" w:space="0" w:color="auto"/>
                    <w:right w:val="none" w:sz="0" w:space="0" w:color="auto"/>
                  </w:divBdr>
                  <w:divsChild>
                    <w:div w:id="269048996">
                      <w:marLeft w:val="0"/>
                      <w:marRight w:val="0"/>
                      <w:marTop w:val="0"/>
                      <w:marBottom w:val="0"/>
                      <w:divBdr>
                        <w:top w:val="none" w:sz="0" w:space="0" w:color="auto"/>
                        <w:left w:val="none" w:sz="0" w:space="0" w:color="auto"/>
                        <w:bottom w:val="none" w:sz="0" w:space="0" w:color="auto"/>
                        <w:right w:val="none" w:sz="0" w:space="0" w:color="auto"/>
                      </w:divBdr>
                    </w:div>
                    <w:div w:id="488442781">
                      <w:marLeft w:val="0"/>
                      <w:marRight w:val="0"/>
                      <w:marTop w:val="0"/>
                      <w:marBottom w:val="0"/>
                      <w:divBdr>
                        <w:top w:val="none" w:sz="0" w:space="0" w:color="auto"/>
                        <w:left w:val="none" w:sz="0" w:space="0" w:color="auto"/>
                        <w:bottom w:val="none" w:sz="0" w:space="0" w:color="auto"/>
                        <w:right w:val="none" w:sz="0" w:space="0" w:color="auto"/>
                      </w:divBdr>
                    </w:div>
                    <w:div w:id="565645377">
                      <w:marLeft w:val="0"/>
                      <w:marRight w:val="0"/>
                      <w:marTop w:val="0"/>
                      <w:marBottom w:val="0"/>
                      <w:divBdr>
                        <w:top w:val="none" w:sz="0" w:space="0" w:color="auto"/>
                        <w:left w:val="none" w:sz="0" w:space="0" w:color="auto"/>
                        <w:bottom w:val="none" w:sz="0" w:space="0" w:color="auto"/>
                        <w:right w:val="none" w:sz="0" w:space="0" w:color="auto"/>
                      </w:divBdr>
                    </w:div>
                    <w:div w:id="650208011">
                      <w:marLeft w:val="0"/>
                      <w:marRight w:val="0"/>
                      <w:marTop w:val="0"/>
                      <w:marBottom w:val="0"/>
                      <w:divBdr>
                        <w:top w:val="none" w:sz="0" w:space="0" w:color="auto"/>
                        <w:left w:val="none" w:sz="0" w:space="0" w:color="auto"/>
                        <w:bottom w:val="none" w:sz="0" w:space="0" w:color="auto"/>
                        <w:right w:val="none" w:sz="0" w:space="0" w:color="auto"/>
                      </w:divBdr>
                    </w:div>
                    <w:div w:id="1262109016">
                      <w:marLeft w:val="0"/>
                      <w:marRight w:val="0"/>
                      <w:marTop w:val="0"/>
                      <w:marBottom w:val="0"/>
                      <w:divBdr>
                        <w:top w:val="none" w:sz="0" w:space="0" w:color="auto"/>
                        <w:left w:val="none" w:sz="0" w:space="0" w:color="auto"/>
                        <w:bottom w:val="none" w:sz="0" w:space="0" w:color="auto"/>
                        <w:right w:val="none" w:sz="0" w:space="0" w:color="auto"/>
                      </w:divBdr>
                    </w:div>
                    <w:div w:id="1607616719">
                      <w:marLeft w:val="0"/>
                      <w:marRight w:val="0"/>
                      <w:marTop w:val="0"/>
                      <w:marBottom w:val="0"/>
                      <w:divBdr>
                        <w:top w:val="none" w:sz="0" w:space="0" w:color="auto"/>
                        <w:left w:val="none" w:sz="0" w:space="0" w:color="auto"/>
                        <w:bottom w:val="none" w:sz="0" w:space="0" w:color="auto"/>
                        <w:right w:val="none" w:sz="0" w:space="0" w:color="auto"/>
                      </w:divBdr>
                    </w:div>
                    <w:div w:id="1344937350">
                      <w:marLeft w:val="0"/>
                      <w:marRight w:val="0"/>
                      <w:marTop w:val="0"/>
                      <w:marBottom w:val="0"/>
                      <w:divBdr>
                        <w:top w:val="none" w:sz="0" w:space="0" w:color="auto"/>
                        <w:left w:val="none" w:sz="0" w:space="0" w:color="auto"/>
                        <w:bottom w:val="none" w:sz="0" w:space="0" w:color="auto"/>
                        <w:right w:val="none" w:sz="0" w:space="0" w:color="auto"/>
                      </w:divBdr>
                    </w:div>
                  </w:divsChild>
                </w:div>
                <w:div w:id="40712803">
                  <w:marLeft w:val="0"/>
                  <w:marRight w:val="0"/>
                  <w:marTop w:val="0"/>
                  <w:marBottom w:val="0"/>
                  <w:divBdr>
                    <w:top w:val="none" w:sz="0" w:space="0" w:color="auto"/>
                    <w:left w:val="none" w:sz="0" w:space="0" w:color="auto"/>
                    <w:bottom w:val="none" w:sz="0" w:space="0" w:color="auto"/>
                    <w:right w:val="none" w:sz="0" w:space="0" w:color="auto"/>
                  </w:divBdr>
                  <w:divsChild>
                    <w:div w:id="864756254">
                      <w:marLeft w:val="0"/>
                      <w:marRight w:val="0"/>
                      <w:marTop w:val="0"/>
                      <w:marBottom w:val="0"/>
                      <w:divBdr>
                        <w:top w:val="none" w:sz="0" w:space="0" w:color="auto"/>
                        <w:left w:val="none" w:sz="0" w:space="0" w:color="auto"/>
                        <w:bottom w:val="none" w:sz="0" w:space="0" w:color="auto"/>
                        <w:right w:val="none" w:sz="0" w:space="0" w:color="auto"/>
                      </w:divBdr>
                    </w:div>
                    <w:div w:id="2107145527">
                      <w:marLeft w:val="0"/>
                      <w:marRight w:val="0"/>
                      <w:marTop w:val="0"/>
                      <w:marBottom w:val="0"/>
                      <w:divBdr>
                        <w:top w:val="none" w:sz="0" w:space="0" w:color="auto"/>
                        <w:left w:val="none" w:sz="0" w:space="0" w:color="auto"/>
                        <w:bottom w:val="none" w:sz="0" w:space="0" w:color="auto"/>
                        <w:right w:val="none" w:sz="0" w:space="0" w:color="auto"/>
                      </w:divBdr>
                    </w:div>
                    <w:div w:id="1676224602">
                      <w:marLeft w:val="0"/>
                      <w:marRight w:val="0"/>
                      <w:marTop w:val="0"/>
                      <w:marBottom w:val="0"/>
                      <w:divBdr>
                        <w:top w:val="none" w:sz="0" w:space="0" w:color="auto"/>
                        <w:left w:val="none" w:sz="0" w:space="0" w:color="auto"/>
                        <w:bottom w:val="none" w:sz="0" w:space="0" w:color="auto"/>
                        <w:right w:val="none" w:sz="0" w:space="0" w:color="auto"/>
                      </w:divBdr>
                    </w:div>
                    <w:div w:id="269821815">
                      <w:marLeft w:val="0"/>
                      <w:marRight w:val="0"/>
                      <w:marTop w:val="0"/>
                      <w:marBottom w:val="0"/>
                      <w:divBdr>
                        <w:top w:val="none" w:sz="0" w:space="0" w:color="auto"/>
                        <w:left w:val="none" w:sz="0" w:space="0" w:color="auto"/>
                        <w:bottom w:val="none" w:sz="0" w:space="0" w:color="auto"/>
                        <w:right w:val="none" w:sz="0" w:space="0" w:color="auto"/>
                      </w:divBdr>
                    </w:div>
                    <w:div w:id="106316373">
                      <w:marLeft w:val="0"/>
                      <w:marRight w:val="0"/>
                      <w:marTop w:val="0"/>
                      <w:marBottom w:val="0"/>
                      <w:divBdr>
                        <w:top w:val="none" w:sz="0" w:space="0" w:color="auto"/>
                        <w:left w:val="none" w:sz="0" w:space="0" w:color="auto"/>
                        <w:bottom w:val="none" w:sz="0" w:space="0" w:color="auto"/>
                        <w:right w:val="none" w:sz="0" w:space="0" w:color="auto"/>
                      </w:divBdr>
                    </w:div>
                    <w:div w:id="1234974529">
                      <w:marLeft w:val="0"/>
                      <w:marRight w:val="0"/>
                      <w:marTop w:val="0"/>
                      <w:marBottom w:val="0"/>
                      <w:divBdr>
                        <w:top w:val="none" w:sz="0" w:space="0" w:color="auto"/>
                        <w:left w:val="none" w:sz="0" w:space="0" w:color="auto"/>
                        <w:bottom w:val="none" w:sz="0" w:space="0" w:color="auto"/>
                        <w:right w:val="none" w:sz="0" w:space="0" w:color="auto"/>
                      </w:divBdr>
                    </w:div>
                    <w:div w:id="1181309658">
                      <w:marLeft w:val="0"/>
                      <w:marRight w:val="0"/>
                      <w:marTop w:val="0"/>
                      <w:marBottom w:val="0"/>
                      <w:divBdr>
                        <w:top w:val="none" w:sz="0" w:space="0" w:color="auto"/>
                        <w:left w:val="none" w:sz="0" w:space="0" w:color="auto"/>
                        <w:bottom w:val="none" w:sz="0" w:space="0" w:color="auto"/>
                        <w:right w:val="none" w:sz="0" w:space="0" w:color="auto"/>
                      </w:divBdr>
                    </w:div>
                    <w:div w:id="1056663599">
                      <w:marLeft w:val="0"/>
                      <w:marRight w:val="0"/>
                      <w:marTop w:val="0"/>
                      <w:marBottom w:val="0"/>
                      <w:divBdr>
                        <w:top w:val="none" w:sz="0" w:space="0" w:color="auto"/>
                        <w:left w:val="none" w:sz="0" w:space="0" w:color="auto"/>
                        <w:bottom w:val="none" w:sz="0" w:space="0" w:color="auto"/>
                        <w:right w:val="none" w:sz="0" w:space="0" w:color="auto"/>
                      </w:divBdr>
                    </w:div>
                    <w:div w:id="2041084830">
                      <w:marLeft w:val="0"/>
                      <w:marRight w:val="0"/>
                      <w:marTop w:val="0"/>
                      <w:marBottom w:val="0"/>
                      <w:divBdr>
                        <w:top w:val="none" w:sz="0" w:space="0" w:color="auto"/>
                        <w:left w:val="none" w:sz="0" w:space="0" w:color="auto"/>
                        <w:bottom w:val="none" w:sz="0" w:space="0" w:color="auto"/>
                        <w:right w:val="none" w:sz="0" w:space="0" w:color="auto"/>
                      </w:divBdr>
                    </w:div>
                  </w:divsChild>
                </w:div>
                <w:div w:id="1202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golancz.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5187</Words>
  <Characters>31123</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Bielecki</dc:creator>
  <cp:lastModifiedBy>Bartek Bielecki</cp:lastModifiedBy>
  <cp:revision>2</cp:revision>
  <dcterms:created xsi:type="dcterms:W3CDTF">2019-07-18T06:37:00Z</dcterms:created>
  <dcterms:modified xsi:type="dcterms:W3CDTF">2019-07-18T06:37:00Z</dcterms:modified>
</cp:coreProperties>
</file>