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CC728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VIII/78/19</w:t>
      </w:r>
      <w:r>
        <w:rPr>
          <w:b/>
          <w:caps/>
        </w:rPr>
        <w:br/>
        <w:t>Rady Miasta i Gminy Gołańcz</w:t>
      </w:r>
    </w:p>
    <w:p w:rsidR="00A77B3E" w:rsidRDefault="00CC7289">
      <w:pPr>
        <w:spacing w:before="280" w:after="280"/>
        <w:jc w:val="center"/>
        <w:rPr>
          <w:b/>
          <w:caps/>
        </w:rPr>
      </w:pPr>
      <w:r>
        <w:t>z dnia 28 maja 2019 r.</w:t>
      </w:r>
    </w:p>
    <w:p w:rsidR="00A77B3E" w:rsidRDefault="00CC7289">
      <w:pPr>
        <w:keepNext/>
        <w:spacing w:after="480"/>
        <w:jc w:val="center"/>
      </w:pPr>
      <w:r>
        <w:rPr>
          <w:b/>
        </w:rPr>
        <w:t>w sprawie uchwalenia miejscowego planu zagospodarowania przestrzennego miasta Gołańczy dla terenu działki o nr. ewidencyjnym 959/1</w:t>
      </w:r>
    </w:p>
    <w:p w:rsidR="00A77B3E" w:rsidRDefault="00CC7289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5 ustawy z dnia 8 </w:t>
      </w:r>
      <w:r>
        <w:t xml:space="preserve">marca 1990 roku o samorządzie gminnym (Dz. U. z 2019 r. poz. 506)  oraz art. 20 ust. 1 ustawy z dnia 27 marca 2003 r. o planowaniu i zagospodarowaniu przestrzennym (Dz. U. z 2018 r. poz. 1945, z 2019 r. poz. 60, poz. 235) oraz po stwierdzeniu, że poniższe </w:t>
      </w:r>
      <w:r>
        <w:t>ustalenia nie naruszają ustaleń uchwalonego studium uwarunkowań i kierunków zagospodarowania przestrzennego Miasta i Gminy Gołańcz przyjętego uchwałą nr VIII/38/95 Rady Miasta i Gminy w Gołańczy z dnia 28 listopada 1995 r. oraz zmienionego uchwałami: nr XL</w:t>
      </w:r>
      <w:r>
        <w:t>/346/10 Rady Miasta i Gminy Gołańcz z dnia 26 marca 2010 r., nr XLIV/407/10 Rady Miasta i Gminy Gołańcz z dnia 20 września 2010 r., nr XXX/288/13 Rady Miasta i Gminy Gołańcz z dnia 26 listopada 2013 r. oraz nr XXIX/296/17 Rady Miasta i Gminy Gołańcz z dnia</w:t>
      </w:r>
      <w:r>
        <w:t xml:space="preserve"> 23 maja 2017 r. </w:t>
      </w:r>
      <w:r>
        <w:rPr>
          <w:b/>
          <w:color w:val="000000"/>
          <w:u w:color="000000"/>
        </w:rPr>
        <w:t xml:space="preserve">Rada Miasta i Gminy Gołańcz uchwala, co następuje: </w:t>
      </w:r>
    </w:p>
    <w:p w:rsidR="00A77B3E" w:rsidRDefault="00CC728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ogólne</w:t>
      </w:r>
    </w:p>
    <w:p w:rsidR="00A77B3E" w:rsidRDefault="00CC7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W związku z uchwałą nr XXX/315/17 Rady Miasta i Gminy Gołańcz z dnia 29 czerwca 2017 r. w sprawie przystąpienia do sporządzenia miejscowego planu zagos</w:t>
      </w:r>
      <w:r>
        <w:rPr>
          <w:color w:val="000000"/>
          <w:u w:color="000000"/>
        </w:rPr>
        <w:t xml:space="preserve">podarowania przestrzennego miasta Gołańczy dla terenu działki o nr. ewid. 959/1 uchwala się </w:t>
      </w:r>
      <w:r>
        <w:rPr>
          <w:b/>
          <w:color w:val="000000"/>
          <w:u w:color="000000"/>
        </w:rPr>
        <w:t xml:space="preserve">miejscowy plan zagospodarowania przestrzennego miasta Gołańczy dla terenu działki o nr. ewid. 959/1 </w:t>
      </w:r>
      <w:r>
        <w:rPr>
          <w:color w:val="000000"/>
          <w:u w:color="000000"/>
        </w:rPr>
        <w:t>zwany dalej „planem”.</w:t>
      </w:r>
    </w:p>
    <w:p w:rsidR="00A77B3E" w:rsidRDefault="00CC728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Integralnymi częściami uchwały są: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</w:t>
      </w:r>
      <w:r>
        <w:rPr>
          <w:color w:val="000000"/>
          <w:u w:color="000000"/>
        </w:rPr>
        <w:t xml:space="preserve">ysunek planu zatytułowany </w:t>
      </w:r>
      <w:r>
        <w:rPr>
          <w:b/>
          <w:color w:val="000000"/>
          <w:u w:color="000000"/>
        </w:rPr>
        <w:t>„Miejscowy plan zagospodarowania przestrzennego miasta Gołańczy dla terenu działki o nr. ewid. 959/1”</w:t>
      </w:r>
      <w:r>
        <w:rPr>
          <w:color w:val="000000"/>
          <w:u w:color="000000"/>
        </w:rPr>
        <w:t xml:space="preserve"> opracowany w skali 1:1000 stanowiący załącznik nr 1 do uchwały;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rozstrzygnięcie o sposobie rozpatrzenia uwag wniesionych do p</w:t>
      </w:r>
      <w:r>
        <w:rPr>
          <w:color w:val="000000"/>
          <w:u w:color="000000"/>
        </w:rPr>
        <w:t>rojektu planu stanowiące załącznik nr 2 do uchwały;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rozstrzygnięcie o sposobie realizacji zapisanych w planie inwestycji z zakresu infrastruktury technicznej, należących do zadań własnych gminy oraz zasadach ich finansowania, zgodnie z przepisami o fina</w:t>
      </w:r>
      <w:r>
        <w:rPr>
          <w:color w:val="000000"/>
          <w:u w:color="000000"/>
        </w:rPr>
        <w:t>nsach publicznych stanowiące załącznik nr 3 do uchwały.</w:t>
      </w:r>
    </w:p>
    <w:p w:rsidR="00A77B3E" w:rsidRDefault="00CC7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uchwale mowa o: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powierzchni zabudowy</w:t>
      </w:r>
      <w:r>
        <w:rPr>
          <w:color w:val="000000"/>
          <w:u w:color="000000"/>
        </w:rPr>
        <w:t xml:space="preserve"> – należy przez to rozumieć sumę powierzchni wyznaczonych przez rzuty pionowe zewnętrznych krawędzi budynków na działce na </w:t>
      </w:r>
      <w:r>
        <w:rPr>
          <w:color w:val="000000"/>
          <w:u w:color="000000"/>
        </w:rPr>
        <w:t>powierzchnię tej działki;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powierzchni całkowitej zabudowy</w:t>
      </w:r>
      <w:r>
        <w:rPr>
          <w:color w:val="000000"/>
          <w:u w:color="000000"/>
        </w:rPr>
        <w:t xml:space="preserve"> – należy przez to rozumieć sumę powierzchni całkowitych wszystkich kondygnacji, w tym piwnic, poddaszy i tarasów, mierzonych po obrysie zewnętrznym ścian wszystkich budynków zlokalizowanych na dz</w:t>
      </w:r>
      <w:r>
        <w:rPr>
          <w:color w:val="000000"/>
          <w:u w:color="000000"/>
        </w:rPr>
        <w:t>iałce budowlanej, z uwzględnieniem tynków, okładzin i balustrad;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szerokości działki budowlanej</w:t>
      </w:r>
      <w:r>
        <w:rPr>
          <w:color w:val="000000"/>
          <w:u w:color="000000"/>
        </w:rPr>
        <w:t xml:space="preserve"> – należy przez to rozumieć szerokość frontową działki budowlanej mierzoną od strony drogi, z której odbywać się będzie obsługa komunikacyjna tej działki;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n</w:t>
      </w:r>
      <w:r>
        <w:rPr>
          <w:b/>
          <w:color w:val="000000"/>
          <w:u w:color="000000"/>
        </w:rPr>
        <w:t>ieprzekraczalnej linii zabudowy</w:t>
      </w:r>
      <w:r>
        <w:rPr>
          <w:color w:val="000000"/>
          <w:u w:color="000000"/>
        </w:rPr>
        <w:t xml:space="preserve"> – należy przez to rozumieć linię, w której może być umieszczona ściana frontowa projektowanego budynku bez prawa jej przekraczania w kierunku linii rozgraniczającej, za wyjątkiem takich elementów architektonicznych, jak: sch</w:t>
      </w:r>
      <w:r>
        <w:rPr>
          <w:color w:val="000000"/>
          <w:u w:color="000000"/>
        </w:rPr>
        <w:t>ody, taras, balkon, gzyms, okap dachu, rynna, wiatrołap oraz innych detali wystroju architektonicznego wysuniętych poza tę linię nie więcej niż 1,5 m;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dachu płaskim</w:t>
      </w:r>
      <w:r>
        <w:rPr>
          <w:color w:val="000000"/>
          <w:u w:color="000000"/>
        </w:rPr>
        <w:t xml:space="preserve"> – należy przez to rozumieć, dach o kącie nachylenia połaci dachowych nie przekraczającyc</w:t>
      </w:r>
      <w:r>
        <w:rPr>
          <w:color w:val="000000"/>
          <w:u w:color="000000"/>
        </w:rPr>
        <w:t>h 10º.</w:t>
      </w:r>
    </w:p>
    <w:p w:rsidR="00A77B3E" w:rsidRDefault="00CC7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Ustaleniami na rysunku planu są: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granica obszaru objętego planem;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linie rozgraniczające tereny o różnym przeznaczeniu lub różnych zasadach zagospodarowania;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nieprzekraczalne linie zabudowy;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przeznaczenie terenu oznaczone symbolem ok</w:t>
      </w:r>
      <w:r>
        <w:rPr>
          <w:color w:val="000000"/>
          <w:u w:color="000000"/>
        </w:rPr>
        <w:t>reślonym w §4;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wymiary charakterystycznych odległości.</w:t>
      </w:r>
    </w:p>
    <w:p w:rsidR="00A77B3E" w:rsidRDefault="00CC7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color="000000"/>
        </w:rPr>
        <w:t xml:space="preserve">W zakresie przeznaczenia terenów ustala się: </w:t>
      </w:r>
      <w:r>
        <w:rPr>
          <w:color w:val="000000"/>
          <w:u w:color="000000"/>
        </w:rPr>
        <w:t xml:space="preserve">teren zabudowy mieszkaniowej jednorodzinnej i usługowej oznaczony na rysunku planu symbolem </w:t>
      </w:r>
      <w:r>
        <w:rPr>
          <w:b/>
          <w:color w:val="000000"/>
          <w:u w:color="000000"/>
        </w:rPr>
        <w:t>MN/U</w:t>
      </w:r>
      <w:r>
        <w:rPr>
          <w:color w:val="000000"/>
          <w:u w:color="000000"/>
        </w:rPr>
        <w:t>.</w:t>
      </w:r>
    </w:p>
    <w:p w:rsidR="00A77B3E" w:rsidRDefault="00CC728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Ustalenia szczegółowe </w:t>
      </w:r>
      <w:r>
        <w:rPr>
          <w:b/>
          <w:color w:val="000000"/>
          <w:u w:color="000000"/>
        </w:rPr>
        <w:t>dotyczące całego obszaru planu</w:t>
      </w:r>
    </w:p>
    <w:p w:rsidR="00A77B3E" w:rsidRDefault="00CC7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b/>
          <w:color w:val="000000"/>
          <w:u w:color="000000"/>
        </w:rPr>
        <w:t>Ustalenia dotyczące zasad ochrony i kształtowania ładu przestrzennego: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zabudowę należy lokalizować zgodnie z nieprzekraczalnymi liniami zabudowy określonymi na rysunku planu;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zezwala się na lokalizację poza nieprze</w:t>
      </w:r>
      <w:r>
        <w:rPr>
          <w:color w:val="000000"/>
          <w:u w:color="000000"/>
        </w:rPr>
        <w:t>kraczalnymi liniami zabudowy jednokondygnacyjnych nowych obiektów infrastruktury technicznej o wysokości nie większej niż 2,0 m;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zezwala się na zachowanie istniejącej zabudowy o parametrach innych niż ustalone w niniejszej uchwale z dopuszczeniem rozbud</w:t>
      </w:r>
      <w:r>
        <w:rPr>
          <w:color w:val="000000"/>
          <w:u w:color="000000"/>
        </w:rPr>
        <w:t>owy, nadbudowy, przebudowy i remontu tych obiektów, na zasadach zgodnych z ustaleniami tego planu;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dla istniejących budynków o dachach posiadających geometrię inną niż wskazana w ustaleniach planu dopuszcza się ich zachowanie przy rozbudowie;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ustala się obowiązek realizacji pokrycia dachu dwuspadowego lub wielospadowego w odcieniach koloru czerwonego, brązowego lub grafitowego;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wysokości ustalone w niniejszej uchwale dotyczą kondygnacji nadziemnych; dopuszcza się realizację kondygnacji podzi</w:t>
      </w:r>
      <w:r>
        <w:rPr>
          <w:color w:val="000000"/>
          <w:u w:color="000000"/>
        </w:rPr>
        <w:t>emnych.</w:t>
      </w:r>
    </w:p>
    <w:p w:rsidR="00A77B3E" w:rsidRDefault="00CC7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b/>
          <w:color w:val="000000"/>
          <w:u w:color="000000"/>
        </w:rPr>
        <w:t xml:space="preserve">Ustalenia dotyczące ochrony środowiska, przyrody i krajobrazu: 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terenie zabudowy mieszkaniowej jednorodzinnej i usługowej (MN/U) zakazuje się lokalizacji nowych przedsięwzięć mogących zawsze znacząco oddziaływać na środowisko, za wyjątki</w:t>
      </w:r>
      <w:r>
        <w:rPr>
          <w:color w:val="000000"/>
          <w:u w:color="000000"/>
        </w:rPr>
        <w:t>em lokalizacji inwestycji celu publicznego;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zakresie ochrony przed hałasem: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dla terenu zabudowy mieszkaniowej jednorodzinnej i usługowej </w:t>
      </w:r>
      <w:r>
        <w:rPr>
          <w:b/>
          <w:color w:val="000000"/>
          <w:u w:color="000000"/>
        </w:rPr>
        <w:t xml:space="preserve">(MN/U) </w:t>
      </w:r>
      <w:r>
        <w:rPr>
          <w:color w:val="000000"/>
          <w:u w:color="000000"/>
        </w:rPr>
        <w:t>należy zachować dopuszczalne poziomy hałasu w środowisku wynikające z przepisów odrębnych jak dla terenó</w:t>
      </w:r>
      <w:r>
        <w:rPr>
          <w:color w:val="000000"/>
          <w:u w:color="000000"/>
        </w:rPr>
        <w:t>w mieszkaniowo - usługowych,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przypadku wystąpienia przekroczenia akustycznych standardów jakości środowiska należy zastosować środki techniczne, technologiczne lub organizacyjne zmniejszające poziom hałasu co najmniej do poziomów dopuszczalnych na ter</w:t>
      </w:r>
      <w:r>
        <w:rPr>
          <w:color w:val="000000"/>
          <w:u w:color="000000"/>
        </w:rPr>
        <w:t>enach wymagających ochrony akustycznej;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wszelkie oddziaływania związane z prowadzoną działalnością lub eksploatacją instalacji nie mogą powodować przekroczenia standardów jakości środowiska, w szczególności w zakresie zanieczyszczeń pyłowych i gazowych </w:t>
      </w:r>
      <w:r>
        <w:rPr>
          <w:color w:val="000000"/>
          <w:u w:color="000000"/>
        </w:rPr>
        <w:t>wprowadzanych do powietrza oraz promieniowania elektromagnetycznego, także poza granicami terenu, do którego inwestor posiada tytuł prawny oraz nie mogą negatywnie oddziaływać na jakość wód podziemnych;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zakresie gospodarowania odpadami: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gospodarkę </w:t>
      </w:r>
      <w:r>
        <w:rPr>
          <w:color w:val="000000"/>
          <w:u w:color="000000"/>
        </w:rPr>
        <w:t>odpadami należy prowadzić zgodnie z obowiązującym w gminie Gołańcz systemem planowej gospodarki odpadami, z uwzględnieniem segregacji odpadów oraz zgodnie z obowiązującymi przepisami o odpadach,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zbędne masy ziemne powstające w czasie realizacji inwestyc</w:t>
      </w:r>
      <w:r>
        <w:rPr>
          <w:color w:val="000000"/>
          <w:u w:color="000000"/>
        </w:rPr>
        <w:t>ji należy zagospodarować zgodnie z przepisami odrębnymi;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dla ochrony powietrza atmosferycznego, dla nowych inwestycji, ustala się zakaz przechowywania na otwartych placach materiałów powodujących wtórne pylenie;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zakresie zaopatrzenia w energię ciep</w:t>
      </w:r>
      <w:r>
        <w:rPr>
          <w:color w:val="000000"/>
          <w:u w:color="000000"/>
        </w:rPr>
        <w:t>lną: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energię cieplną należy pozyskiwać przy zastosowaniu paliw stałych, płynnych i gazowych charakteryzujących się najniższymi wskaźnikami emisyjnymi, spalanych w urządzeniach o wysokim stopniu sprawności,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dopuszcza się wykorzystywanie instalacji odn</w:t>
      </w:r>
      <w:r>
        <w:rPr>
          <w:color w:val="000000"/>
          <w:u w:color="000000"/>
        </w:rPr>
        <w:t>awialnych źródeł energii.</w:t>
      </w:r>
    </w:p>
    <w:p w:rsidR="00A77B3E" w:rsidRDefault="00CC7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b/>
          <w:color w:val="000000"/>
          <w:u w:color="000000"/>
        </w:rPr>
        <w:t xml:space="preserve">Ustalenia dotyczące zasad kształtowania krajobrazu: 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powierzchnię biologicznie czynną należy zagospodarować zielenią w taki sposób, aby zminimalizować negatywne oddziaływanie pochodzące z tego obszaru oraz poprawić walory </w:t>
      </w:r>
      <w:r>
        <w:rPr>
          <w:color w:val="000000"/>
          <w:u w:color="000000"/>
        </w:rPr>
        <w:t>krajobrazowe;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ustala się zakaz lokalizacji miejsc postojowych, dojść i dojazdów na terenach przewidzianych pod powierzchnię biologicznie czynną.</w:t>
      </w:r>
    </w:p>
    <w:p w:rsidR="00A77B3E" w:rsidRDefault="00CC7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b/>
          <w:color w:val="000000"/>
          <w:u w:color="000000"/>
        </w:rPr>
        <w:t>Ustalenia dotyczące ochrony dziedzictwa kulturowego i zabytków, w </w:t>
      </w:r>
      <w:r>
        <w:rPr>
          <w:b/>
          <w:color w:val="000000"/>
          <w:u w:color="000000"/>
        </w:rPr>
        <w:t xml:space="preserve">tym krajobrazów kulturowych, oraz dóbr kultury współczesnej - </w:t>
      </w:r>
      <w:r>
        <w:rPr>
          <w:color w:val="000000"/>
          <w:u w:color="000000"/>
        </w:rPr>
        <w:t>w granicach obszaru objętego planem nie występują obiekty zabytkowe, zewidencjonowane stanowiska archeologiczne ani dobra kultury współczesnej, w związku z tym nie podejmuje się ustaleń w zakres</w:t>
      </w:r>
      <w:r>
        <w:rPr>
          <w:color w:val="000000"/>
          <w:u w:color="000000"/>
        </w:rPr>
        <w:t>ie zasad ochrony dziedzictwa kulturowego i zabytków oraz dóbr kultury współczesnej.</w:t>
      </w:r>
    </w:p>
    <w:p w:rsidR="00A77B3E" w:rsidRDefault="00CC7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b/>
          <w:color w:val="000000"/>
          <w:u w:color="000000"/>
        </w:rPr>
        <w:t xml:space="preserve">Ustalenia w zakresie wymagań wynikających z potrzeb kształtowania przestrzeni publicznych - </w:t>
      </w:r>
      <w:r>
        <w:rPr>
          <w:color w:val="000000"/>
          <w:u w:color="000000"/>
        </w:rPr>
        <w:t xml:space="preserve">w granicach obszaru objętego planem nie występują przestrzenie </w:t>
      </w:r>
      <w:r>
        <w:rPr>
          <w:color w:val="000000"/>
          <w:u w:color="000000"/>
        </w:rPr>
        <w:t>publiczne w myśl przepisów o planowaniu i zagospodarowaniu przestrzennym, w związku z tym nie podejmuje się ustaleń w zakresie wymagań wynikających z potrzeb ich kształtowania.</w:t>
      </w:r>
    </w:p>
    <w:p w:rsidR="00A77B3E" w:rsidRDefault="00CC7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b/>
          <w:color w:val="000000"/>
          <w:u w:color="000000"/>
        </w:rPr>
        <w:t>Ustalenia dotyczące zasad kształtowania zabudowy oraz wskaźników zagospod</w:t>
      </w:r>
      <w:r>
        <w:rPr>
          <w:b/>
          <w:color w:val="000000"/>
          <w:u w:color="000000"/>
        </w:rPr>
        <w:t xml:space="preserve">arowania terenu </w:t>
      </w:r>
      <w:r>
        <w:rPr>
          <w:color w:val="000000"/>
          <w:u w:color="000000"/>
        </w:rPr>
        <w:t xml:space="preserve">dla terenu oznaczonego na rysunku planu symbolem </w:t>
      </w:r>
      <w:r>
        <w:rPr>
          <w:b/>
          <w:color w:val="000000"/>
          <w:u w:color="000000"/>
        </w:rPr>
        <w:t>MN/U: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przeznaczenie terenu: teren zabudowy mieszkaniowej jednorodzinnej i usługowej;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minimalna powierzchnia nowo wydzielonej działki budowlanej: 1000,0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; 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warunki zabudowy i sposób</w:t>
      </w:r>
      <w:r>
        <w:rPr>
          <w:color w:val="000000"/>
          <w:u w:color="000000"/>
        </w:rPr>
        <w:t xml:space="preserve"> zagospodarowania terenu: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dopuszcza się realizację usług w obrębie budynku mieszkalnego lub jako odrębny budynek wolno stojący,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dopuszczalne obiekty towarzyszące – budynki gospodarcze, budynki garażowe,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powierzchnia zabudowy – maks. 40% powierzchn</w:t>
      </w:r>
      <w:r>
        <w:rPr>
          <w:color w:val="000000"/>
          <w:u w:color="000000"/>
        </w:rPr>
        <w:t>i działki budowlanej,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intensywność zabudowy jako wskaźnik powierzchni całkowitej zabudowy w odniesieniu do powierzchni działki budowlanej:</w:t>
      </w:r>
    </w:p>
    <w:p w:rsidR="00A77B3E" w:rsidRDefault="00CC7289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min. 0,1</w:t>
      </w:r>
    </w:p>
    <w:p w:rsidR="00A77B3E" w:rsidRDefault="00CC7289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maks. 1,2,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powierzchnia biologicznie czynna – min. 30% powierzchni działki budowlanej,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wysokość</w:t>
      </w:r>
      <w:r>
        <w:rPr>
          <w:color w:val="000000"/>
          <w:u w:color="000000"/>
        </w:rPr>
        <w:t xml:space="preserve"> zabudowy:</w:t>
      </w:r>
    </w:p>
    <w:p w:rsidR="00A77B3E" w:rsidRDefault="00CC7289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budynku mieszkalnego, usługowego, mieszkalno-usługowego: dwie kondygnacje w tym poddasze użytkowe, jednak nie wyżej niż 9,0 m,</w:t>
      </w:r>
    </w:p>
    <w:p w:rsidR="00A77B3E" w:rsidRDefault="00CC7289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budynku gospodarczego, garażowego: maks. 6,0 m,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geometria dachów:</w:t>
      </w:r>
    </w:p>
    <w:p w:rsidR="00A77B3E" w:rsidRDefault="00CC7289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budynku mieszkalnego, mieszkalno-usługowego</w:t>
      </w:r>
      <w:r>
        <w:rPr>
          <w:color w:val="000000"/>
          <w:u w:color="000000"/>
        </w:rPr>
        <w:t>: dachy dwuspadowe lub wielospadowe o połaciach symetrycznych, o nachyleniu głównych połaci dachowych 20º - 45º,</w:t>
      </w:r>
    </w:p>
    <w:p w:rsidR="00A77B3E" w:rsidRDefault="00CC7289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budynku usługowego: dachy dwuspadowe lub wielospadowe o połaciach symetrycznych, o nachyleniu głównych połaci dachowych 20º - 45º lub </w:t>
      </w:r>
      <w:r>
        <w:rPr>
          <w:color w:val="000000"/>
          <w:u w:color="000000"/>
        </w:rPr>
        <w:t>dachy płaskie,</w:t>
      </w:r>
    </w:p>
    <w:p w:rsidR="00A77B3E" w:rsidRDefault="00CC7289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budynku gospodarczego, garażowego: dachy dwuspadowe o połaciach symetrycznych, o nachyleniu głównych połaci dachowych do 45º lub dachy płaskie;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zasady obsługi w zakresie komunikacji oraz infrastruktury technicznej – zgodnie z §14.</w:t>
      </w:r>
    </w:p>
    <w:p w:rsidR="00A77B3E" w:rsidRDefault="00CC7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11.</w:t>
      </w:r>
      <w:r>
        <w:rPr>
          <w:b/>
        </w:rPr>
        <w:t> </w:t>
      </w:r>
      <w:r>
        <w:rPr>
          <w:b/>
          <w:color w:val="000000"/>
          <w:u w:color="000000"/>
        </w:rPr>
        <w:t>Granice i sposoby zagospodarowania terenów lub obiektów podlegających ochronie, ustalonych na podstawie odrębnych przepisów, w tym terenów górniczych, a także obszarów szczególnego zagrożenia powodzią oraz obszarów osuwania się mas ziemnych, krajobrazów p</w:t>
      </w:r>
      <w:r>
        <w:rPr>
          <w:b/>
          <w:color w:val="000000"/>
          <w:u w:color="000000"/>
        </w:rPr>
        <w:t xml:space="preserve">riorytetowych określonych w audycie krajobrazowym oraz w planach zagospodarowania przestrzennego województwa - </w:t>
      </w:r>
      <w:r>
        <w:rPr>
          <w:color w:val="000000"/>
          <w:u w:color="000000"/>
        </w:rPr>
        <w:t>na terenie objętym planem nie występują tereny górnicze, a także obszary szczególnego zagrożenia powodzią, obszary osuwania się mas ziemnych oraz</w:t>
      </w:r>
      <w:r>
        <w:rPr>
          <w:color w:val="000000"/>
          <w:u w:color="000000"/>
        </w:rPr>
        <w:t xml:space="preserve"> krajobrazy priorytetowe określone w audycie krajobrazowym oraz w planach zagospodarowania przestrzennego województwa w związku z tym nie wyznacza się ich granic oraz nie ustala się sposobów ich zagospodarowania.</w:t>
      </w:r>
    </w:p>
    <w:p w:rsidR="00A77B3E" w:rsidRDefault="00CC7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b/>
          <w:color w:val="000000"/>
          <w:u w:color="000000"/>
        </w:rPr>
        <w:t xml:space="preserve">Ustalenia dotyczące </w:t>
      </w:r>
      <w:r>
        <w:rPr>
          <w:b/>
          <w:color w:val="000000"/>
          <w:u w:color="000000"/>
        </w:rPr>
        <w:t xml:space="preserve">szczegółowych zasad i warunków scalania i podziału nieruchomości: 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przypadku przeprowadzania scalania i podziału nieruchomości w rozumieniu przepisów odrębnych, należy zachować ustalenia zawarte w niniejszej uchwale, w tym w zakresie minimalnych powie</w:t>
      </w:r>
      <w:r>
        <w:rPr>
          <w:color w:val="000000"/>
          <w:u w:color="000000"/>
        </w:rPr>
        <w:t>rzchni działek określonych w niniejszej uchwale;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ustala się minimalne szerokości nowo wydzielanych działek: 25,0 m;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ustala się kąt położenia granic działek budowlanych w stosunku do granicy pasa drogowego w przedziale 60° - 90°.</w:t>
      </w:r>
    </w:p>
    <w:p w:rsidR="00A77B3E" w:rsidRDefault="00CC7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b/>
          <w:color w:val="000000"/>
          <w:u w:color="000000"/>
        </w:rPr>
        <w:t>Ustalenia dotyc</w:t>
      </w:r>
      <w:r>
        <w:rPr>
          <w:b/>
          <w:color w:val="000000"/>
          <w:u w:color="000000"/>
        </w:rPr>
        <w:t xml:space="preserve">zące szczególnych warunków zagospodarowania terenów oraz ograniczenia w ich użytkowaniu, w tym zakaz zabudowy: 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uwagi na położenie obszaru objętego planem w granicach Głównego Zbiornika Wód Podziemnych nr 143 Subzbiornik Inowrocław - Gniezno przy real</w:t>
      </w:r>
      <w:r>
        <w:rPr>
          <w:color w:val="000000"/>
          <w:u w:color="000000"/>
        </w:rPr>
        <w:t>izacji nowych inwestycji należy stosować rozwiązania techniczne i technologiczne uwzględniające wymogi ochrony wód podziemnych;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istniejących w granicach planu napowietrznych linii elektroenergetycznych 15 kV ustala się: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 czasu skablowania zacho</w:t>
      </w:r>
      <w:r>
        <w:rPr>
          <w:color w:val="000000"/>
          <w:u w:color="000000"/>
        </w:rPr>
        <w:t>wanie, w granicach planu, pasa terenu ochronnego o szerokości 6,0 m od osi linii na każdą stronę, w którym obowiązuje zakaz lokalizacji obiektów budowlanych przeznaczonych na stały pobyt ludzi,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dopuszczenie skablowania linii;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należy uwzględnić koniec</w:t>
      </w:r>
      <w:r>
        <w:rPr>
          <w:color w:val="000000"/>
          <w:u w:color="000000"/>
        </w:rPr>
        <w:t>zność zapewnienia właściwych warunków ochrony przeciwpożarowej, zwłaszcza w zakresie zaopatrzenia w wodę, dojazdu pożarowego, lokalizacji obiektów względem siebie oraz możliwości prowadzenia działań ratowniczych, zgodnie z przepisami odrębnymi.</w:t>
      </w:r>
    </w:p>
    <w:p w:rsidR="00A77B3E" w:rsidRDefault="00CC7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b/>
          <w:color w:val="000000"/>
          <w:u w:color="000000"/>
        </w:rPr>
        <w:t>Ustal</w:t>
      </w:r>
      <w:r>
        <w:rPr>
          <w:b/>
          <w:color w:val="000000"/>
          <w:u w:color="000000"/>
        </w:rPr>
        <w:t>enia dotyczące zasad modernizacji, rozbudowy i budowy systemów komunikacji i infrastruktury technicznej: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obsługę komunikacyjną z przyległych dróg publicznych zlokalizowanych poza obszarem planu;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obrębie terenu planu należy zapewnić, odpo</w:t>
      </w:r>
      <w:r>
        <w:rPr>
          <w:color w:val="000000"/>
          <w:u w:color="000000"/>
        </w:rPr>
        <w:t>wiednią liczbę miejsc postojowych oraz garażowych zaspokajającą potrzeby w zakresie parkowania i postoju samochodów z uwzględnieniem warunków technicznych określonych w przepisach odrębnych, jednak nie mniej niż: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lokali mieszkalnych – min. 2 stanowi</w:t>
      </w:r>
      <w:r>
        <w:rPr>
          <w:color w:val="000000"/>
          <w:u w:color="000000"/>
        </w:rPr>
        <w:t>ska na każdy lokal,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dla obiektów i lokali usługowych – min. 1 stanowisko na każde rozpoczęte 50,0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użytkowej, z zastrzeżeniem §14 pkt 2 lit. c,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powierzchnia użytkowa, o której mowa w §14 pkt 2 lit. b dotyczy części budynków, dla </w:t>
      </w:r>
      <w:r>
        <w:rPr>
          <w:color w:val="000000"/>
          <w:u w:color="000000"/>
        </w:rPr>
        <w:t>których realizowana jest podstawowa funkcja, z wyłączeniem powierzchni magazynowych i garaży,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należy uwzględnić przepisy odrębne w zakresie realizacji miejsc parkingowych przeznaczonych na parkowanie pojazdów zaopatrzonych w kartę parkingową;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zezwala</w:t>
      </w:r>
      <w:r>
        <w:rPr>
          <w:color w:val="000000"/>
          <w:u w:color="000000"/>
        </w:rPr>
        <w:t xml:space="preserve"> się na lokalizację na obszarze planu sieci i urządzeń infrastruktury technicznej niezwiązanych z obsługą terenu objętego planem;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zakresie zaopatrzenia w wodę – ustala się powiązanie terenu objętego planem z istniejącym i projektowanym układem sieci w</w:t>
      </w:r>
      <w:r>
        <w:rPr>
          <w:color w:val="000000"/>
          <w:u w:color="000000"/>
        </w:rPr>
        <w:t>odociągowej; dopuszcza się przebudowę, rozbudowę, wymianę, modernizację istniejącej sieci wodociągowej;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dla odprowadzania i unieszkodliwiania ścieków plan: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ustala się docelowe odprowadzanie ścieków bytowych do sieci kanalizacji sanitarnej,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 czas</w:t>
      </w:r>
      <w:r>
        <w:rPr>
          <w:color w:val="000000"/>
          <w:u w:color="000000"/>
        </w:rPr>
        <w:t>u realizacji sieci kanalizacyjnej lub w przypadku braku możliwości technicznych podłączenia do sieci zezwala się na lokalizację zbiorników bezodpływowych,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odprowadzenie ścieków komunalnych z obiektów usługowych może nastąpić do sieci kanalizacji sanitar</w:t>
      </w:r>
      <w:r>
        <w:rPr>
          <w:color w:val="000000"/>
          <w:u w:color="000000"/>
        </w:rPr>
        <w:t>nej po spełnieniu wymogów wynikających z przepisów odrębnych, w tym ewentualnej konieczności podczyszczenia ścieków do odpowiednich parametrów;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zakresie odprowadzania wód opadowych i roztopowych: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ustala się docelowe odprowadzanie wód opadowych i ro</w:t>
      </w:r>
      <w:r>
        <w:rPr>
          <w:color w:val="000000"/>
          <w:u w:color="000000"/>
        </w:rPr>
        <w:t>ztopowych do sieci kanalizacji deszczowej,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 czasu podłączenia do sieci lub w przypadku braku możliwości technicznych podłączenia do sieci dopuszcza się odprowadzanie wód opadowych i roztopowych na własny teren nieutwardzony,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wody opadowe i </w:t>
      </w:r>
      <w:r>
        <w:rPr>
          <w:color w:val="000000"/>
          <w:u w:color="000000"/>
        </w:rPr>
        <w:t>roztopowe z terenów dojazdów, placów manewrowych i innych terenów określonych obowiązującymi przepisami może nastąpić do sieci kanalizacji deszczowej lub do gruntu po spełnieniu wymogów wynikających z przepisów odrębnych, w tym ewentualnej konieczności pod</w:t>
      </w:r>
      <w:r>
        <w:rPr>
          <w:color w:val="000000"/>
          <w:u w:color="000000"/>
        </w:rPr>
        <w:t>czyszczenia ścieków do odpowiednich parametrów;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zakresie zaopatrzenia w energię elektryczną: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ustala się powiązanie terenu objętego planem z istniejącym systemem zasilania poprzez napowietrzne i kablowe linie średniego i niskiego napięcia oraz stacj</w:t>
      </w:r>
      <w:r>
        <w:rPr>
          <w:color w:val="000000"/>
          <w:u w:color="000000"/>
        </w:rPr>
        <w:t>e transformatorowe; dopuszcza się przebudowę, rozbudowę, wymianę, modernizację istniejącej sieci elektroenergetycznej,</w:t>
      </w:r>
    </w:p>
    <w:p w:rsidR="00A77B3E" w:rsidRDefault="00CC728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dopuszcza się stosowanie odnawialnych źródeł energii o mocy nie przekraczającej</w:t>
      </w:r>
      <w:r>
        <w:rPr>
          <w:color w:val="000000"/>
          <w:u w:color="000000"/>
        </w:rPr>
        <w:br/>
        <w:t>100 kW;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 zakresie sieci telekomunikacyjnej – ustal</w:t>
      </w:r>
      <w:r>
        <w:rPr>
          <w:color w:val="000000"/>
          <w:u w:color="000000"/>
        </w:rPr>
        <w:t>a się adaptację i rozbudowę istniejącej sieci telekomunikacyjnej;</w:t>
      </w:r>
    </w:p>
    <w:p w:rsidR="00A77B3E" w:rsidRDefault="00CC7289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dla zaopatrzenia w energię cieplną dopuszcza się wykorzystanie źródeł grzewczych na paliwo stałe, płynne i gazowe z zastrzeżeniem §6 pkt 6.</w:t>
      </w:r>
    </w:p>
    <w:p w:rsidR="00A77B3E" w:rsidRDefault="00CC7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b/>
          <w:color w:val="000000"/>
          <w:u w:color="000000"/>
        </w:rPr>
        <w:t>Ustalenia dotyczące sposobów i terminów t</w:t>
      </w:r>
      <w:r>
        <w:rPr>
          <w:b/>
          <w:color w:val="000000"/>
          <w:u w:color="000000"/>
        </w:rPr>
        <w:t xml:space="preserve">ymczasowego zagospodarowania i użytkowania terenów - </w:t>
      </w:r>
      <w:r>
        <w:rPr>
          <w:color w:val="000000"/>
          <w:u w:color="000000"/>
        </w:rPr>
        <w:t>na obszarze opracowania planu nie występują obszary tymczasowego zagospodarowania i użytkowania, w związku z tym nie ustala się sposobów i terminów ich zagospodarowania.</w:t>
      </w:r>
    </w:p>
    <w:p w:rsidR="00A77B3E" w:rsidRDefault="00CC728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Ustalenia </w:t>
      </w:r>
      <w:r>
        <w:rPr>
          <w:b/>
          <w:color w:val="000000"/>
          <w:u w:color="000000"/>
        </w:rPr>
        <w:t>końcowe</w:t>
      </w:r>
    </w:p>
    <w:p w:rsidR="00A77B3E" w:rsidRDefault="00CC7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Stawka procentowa dla ustalenia opłat z tytułu wzrostu wartości nieruchomości, o której mowa w art. 36 ust. 4 ustawy o planowaniu i zagospodarowaniu przestrzennym wynosi:</w:t>
      </w:r>
      <w:r>
        <w:rPr>
          <w:b/>
          <w:color w:val="000000"/>
          <w:u w:color="000000"/>
        </w:rPr>
        <w:t xml:space="preserve">  1%</w:t>
      </w:r>
      <w:r>
        <w:rPr>
          <w:color w:val="000000"/>
          <w:u w:color="000000"/>
        </w:rPr>
        <w:t>.</w:t>
      </w:r>
    </w:p>
    <w:p w:rsidR="00A77B3E" w:rsidRDefault="00CC7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Na obszarze objętym opracowaniem planu tracą moc ustalenia z</w:t>
      </w:r>
      <w:r>
        <w:rPr>
          <w:color w:val="000000"/>
          <w:u w:color="000000"/>
        </w:rPr>
        <w:t>miany miejscowego planu zagospodarowania przestrzennego miasta Gołańcz uchwalonego uchwałą nr XXIII/112/2000 Rady Miasta i Gminy Gołańcz z dnia 22 listopada 2000 r.</w:t>
      </w:r>
    </w:p>
    <w:p w:rsidR="00A77B3E" w:rsidRDefault="00CC728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Wykonanie uchwały powierza się Burmistrzowi Miasta i Gminy Gołańcz.</w:t>
      </w:r>
    </w:p>
    <w:p w:rsidR="00A77B3E" w:rsidRDefault="00CC728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>Uchwała wch</w:t>
      </w:r>
      <w:r>
        <w:rPr>
          <w:color w:val="000000"/>
          <w:u w:color="000000"/>
        </w:rPr>
        <w:t>odzi w życie po upływie 14 dni od dnia jej ogłoszenia w Dzienniku Urzędowym Województwa Wielkopolskiego.</w:t>
      </w:r>
    </w:p>
    <w:p w:rsidR="00A77B3E" w:rsidRDefault="00CC7289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CC728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55B6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B60" w:rsidRDefault="00955B6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B60" w:rsidRDefault="00CC728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i Gminy Gołańcz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Karol Brzeziński</w:t>
            </w:r>
          </w:p>
        </w:tc>
      </w:tr>
    </w:tbl>
    <w:p w:rsidR="00A77B3E" w:rsidRDefault="00CC7289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CC7289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VIII/78/19</w:t>
      </w:r>
      <w:r>
        <w:rPr>
          <w:color w:val="000000"/>
          <w:u w:color="000000"/>
        </w:rPr>
        <w:br/>
      </w:r>
      <w:r>
        <w:t>Rady Miasta i Gminy Gołańcz</w:t>
      </w:r>
      <w:r>
        <w:rPr>
          <w:color w:val="000000"/>
          <w:u w:color="000000"/>
        </w:rPr>
        <w:br/>
      </w:r>
      <w:r>
        <w:t xml:space="preserve">z dnia 28 </w:t>
      </w:r>
      <w:r>
        <w:t>maja 2019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955B60" w:rsidRDefault="00955B60">
      <w:pPr>
        <w:pStyle w:val="Normal0"/>
      </w:pPr>
    </w:p>
    <w:p w:rsidR="00955B60" w:rsidRDefault="00CC7289">
      <w:pPr>
        <w:pStyle w:val="Normal0"/>
        <w:spacing w:before="120" w:after="120" w:line="360" w:lineRule="auto"/>
        <w:ind w:left="6582"/>
        <w:jc w:val="left"/>
        <w:rPr>
          <w:lang w:bidi="pl-PL"/>
        </w:rPr>
      </w:pPr>
      <w:r>
        <w:t xml:space="preserve">Załącznik </w:t>
      </w:r>
      <w:r>
        <w:rPr>
          <w:lang w:bidi="pl-PL"/>
        </w:rPr>
        <w:t xml:space="preserve">nr 2 </w:t>
      </w:r>
    </w:p>
    <w:p w:rsidR="00955B60" w:rsidRDefault="00CC7289">
      <w:pPr>
        <w:pStyle w:val="Normal0"/>
        <w:spacing w:before="120" w:after="120" w:line="360" w:lineRule="auto"/>
        <w:ind w:left="6582"/>
        <w:jc w:val="left"/>
      </w:pPr>
      <w:r>
        <w:t xml:space="preserve">do uchwały </w:t>
      </w:r>
      <w:r>
        <w:rPr>
          <w:lang w:bidi="pl-PL"/>
        </w:rPr>
        <w:t>n</w:t>
      </w:r>
      <w:r>
        <w:t>r VIII/78/19</w:t>
      </w:r>
      <w:r>
        <w:br/>
        <w:t>Rady Miasta i Gminy Gołańcz</w:t>
      </w:r>
      <w:r>
        <w:br/>
        <w:t>z dnia 28 maja 2019 r.</w:t>
      </w:r>
    </w:p>
    <w:p w:rsidR="00955B60" w:rsidRDefault="00955B60">
      <w:pPr>
        <w:pStyle w:val="Normal0"/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955B60" w:rsidRDefault="00CC7289">
      <w:pPr>
        <w:pStyle w:val="Normal0"/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Rozstrzygnięcie o sposobie rozpatrzenia uwag do projektu planu</w:t>
      </w:r>
    </w:p>
    <w:p w:rsidR="00955B60" w:rsidRDefault="00955B60">
      <w:pPr>
        <w:pStyle w:val="Normal0"/>
        <w:spacing w:before="120" w:after="120"/>
        <w:ind w:left="283" w:firstLine="227"/>
        <w:jc w:val="center"/>
        <w:rPr>
          <w:color w:val="000000"/>
          <w:u w:color="000000"/>
        </w:rPr>
      </w:pPr>
    </w:p>
    <w:p w:rsidR="00955B60" w:rsidRDefault="00CC7289">
      <w:pPr>
        <w:pStyle w:val="Normal0"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</w:t>
      </w:r>
      <w:r>
        <w:rPr>
          <w:color w:val="000000"/>
          <w:u w:color="000000"/>
        </w:rPr>
        <w:t>art. 20 ust. 1 ustawy z dnia 27 marca 2003 r. o planowaniu i zagospodarowaniu przestrzennym (Dz. U. z 2018 r., poz. 1945 ze zm.) Rada Miasta i Gminy Gołańcz rozstrzyga o sposobie rozpatrzenia uwag do projektu planu.</w:t>
      </w:r>
    </w:p>
    <w:p w:rsidR="00955B60" w:rsidRDefault="00CC7289">
      <w:pPr>
        <w:pStyle w:val="Normal0"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 miejscowego planu zagospodarowan</w:t>
      </w:r>
      <w:r>
        <w:rPr>
          <w:color w:val="000000"/>
          <w:u w:color="000000"/>
        </w:rPr>
        <w:t>ia przestrzennego miejscowego planu zagospodarowania przestrzennego miasta Gołańczy dla terenu działki o nr</w:t>
      </w:r>
      <w:r>
        <w:rPr>
          <w:color w:val="000000"/>
          <w:u w:color="000000"/>
          <w:lang w:bidi="pl-PL"/>
        </w:rPr>
        <w:t>.</w:t>
      </w:r>
      <w:r>
        <w:rPr>
          <w:color w:val="000000"/>
          <w:u w:color="000000"/>
        </w:rPr>
        <w:t xml:space="preserve"> ewid. 959/1 wyłożono do publicznego wglądu w dniach od 21.02.2019 r. do 15.03.2019 r. Dnia 07.03.2019 r. odbyła się dyskusja publiczna nad rozwiąza</w:t>
      </w:r>
      <w:r>
        <w:rPr>
          <w:color w:val="000000"/>
          <w:u w:color="000000"/>
        </w:rPr>
        <w:t>niami przyjętymi w tym projekcie. Uwagi do projektu planu przyjmowano do dnia 29.03.2019 r.</w:t>
      </w:r>
    </w:p>
    <w:p w:rsidR="00955B60" w:rsidRDefault="00CC7289">
      <w:pPr>
        <w:pStyle w:val="Normal0"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ustawowym terminie</w:t>
      </w:r>
      <w:r>
        <w:rPr>
          <w:color w:val="000000"/>
          <w:u w:color="000000"/>
          <w:lang w:bidi="pl-PL"/>
        </w:rPr>
        <w:t>,</w:t>
      </w:r>
      <w:r>
        <w:rPr>
          <w:color w:val="000000"/>
          <w:u w:color="000000"/>
        </w:rPr>
        <w:t xml:space="preserve"> w związku z art. 18 ustawy o planowaniu i zagospodarowaniu przestrzennym z dnia 27 marca 2003 r. (Dz. U. z 2018 r., poz. 1945 ze zm.)</w:t>
      </w:r>
      <w:r>
        <w:rPr>
          <w:color w:val="000000"/>
          <w:u w:color="000000"/>
          <w:lang w:bidi="pl-PL"/>
        </w:rPr>
        <w:t>,</w:t>
      </w:r>
      <w:r>
        <w:rPr>
          <w:color w:val="000000"/>
          <w:u w:color="000000"/>
        </w:rPr>
        <w:t xml:space="preserve"> do projektu miejscowego planu zagospodarowania przestrzennego miejscowego planu zagospodarowania przestrzennego miasta Gołańczy dla terenu działki o nr</w:t>
      </w:r>
      <w:r>
        <w:rPr>
          <w:color w:val="000000"/>
          <w:u w:color="000000"/>
          <w:lang w:bidi="pl-PL"/>
        </w:rPr>
        <w:t>.</w:t>
      </w:r>
      <w:r>
        <w:rPr>
          <w:color w:val="000000"/>
          <w:u w:color="000000"/>
        </w:rPr>
        <w:t xml:space="preserve"> ewid. 959/1 nie wniesiono uwag.</w:t>
      </w:r>
    </w:p>
    <w:p w:rsidR="00955B60" w:rsidRDefault="00CC7289">
      <w:pPr>
        <w:pStyle w:val="Normal0"/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nie rozstrzyga się o sposobie ich rozpatrzenia.</w:t>
      </w:r>
    </w:p>
    <w:p w:rsidR="00955B60" w:rsidRDefault="00CC7289">
      <w:pPr>
        <w:pStyle w:val="Normal0"/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55B60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B60" w:rsidRDefault="00955B60">
            <w:pPr>
              <w:pStyle w:val="Normal0"/>
              <w:jc w:val="left"/>
              <w:rPr>
                <w:color w:val="00000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B60" w:rsidRDefault="00CC7289">
            <w:pPr>
              <w:pStyle w:val="Normal0"/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Miasta i Gminy Gołańcz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>MERGEFIELD SIGNATURE_0_0_FIRSTNAME \* MERGEFORMAT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color w:val="000000"/>
              </w:rPr>
              <w:t>Karol</w:t>
            </w:r>
            <w:r>
              <w:rPr>
                <w:b/>
                <w:color w:val="000000"/>
              </w:rPr>
              <w:fldChar w:fldCharType="end"/>
            </w:r>
            <w:r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>MERGEFIELD SIGNATURE_0_0_LASTNAME \* MERGEFORMAT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color w:val="000000"/>
              </w:rPr>
              <w:t>Brzeziński</w:t>
            </w:r>
            <w:r>
              <w:rPr>
                <w:b/>
                <w:color w:val="000000"/>
              </w:rPr>
              <w:fldChar w:fldCharType="end"/>
            </w:r>
            <w:r>
              <w:rPr>
                <w:b/>
                <w:color w:val="000000"/>
              </w:rPr>
              <w:t> </w:t>
            </w:r>
          </w:p>
        </w:tc>
      </w:tr>
    </w:tbl>
    <w:p w:rsidR="00955B60" w:rsidRDefault="00955B60">
      <w:pPr>
        <w:pStyle w:val="Normal0"/>
        <w:keepNext/>
        <w:rPr>
          <w:color w:val="000000"/>
          <w:u w:color="000000"/>
        </w:rPr>
        <w:sectPr w:rsidR="00955B60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</w:sectPr>
      </w:pPr>
    </w:p>
    <w:p w:rsidR="00955B60" w:rsidRDefault="00955B60">
      <w:pPr>
        <w:pStyle w:val="Normal1"/>
      </w:pPr>
    </w:p>
    <w:p w:rsidR="00955B60" w:rsidRDefault="00CC7289">
      <w:pPr>
        <w:pStyle w:val="Normal1"/>
        <w:spacing w:before="120" w:after="120" w:line="360" w:lineRule="auto"/>
        <w:ind w:left="6130"/>
        <w:jc w:val="left"/>
      </w:pPr>
      <w:r>
        <w:t xml:space="preserve">Załącznik </w:t>
      </w:r>
      <w:r>
        <w:rPr>
          <w:lang w:bidi="pl-PL"/>
        </w:rPr>
        <w:t>n</w:t>
      </w:r>
      <w:r>
        <w:t>r 3 </w:t>
      </w:r>
    </w:p>
    <w:p w:rsidR="00955B60" w:rsidRDefault="00CC7289">
      <w:pPr>
        <w:pStyle w:val="Normal1"/>
        <w:spacing w:before="120" w:after="120" w:line="360" w:lineRule="auto"/>
        <w:ind w:left="6130"/>
        <w:jc w:val="left"/>
      </w:pPr>
      <w:r>
        <w:t xml:space="preserve">do uchwały </w:t>
      </w:r>
      <w:r>
        <w:rPr>
          <w:lang w:bidi="pl-PL"/>
        </w:rPr>
        <w:t>n</w:t>
      </w:r>
      <w:r>
        <w:t>r VIII/78/19</w:t>
      </w:r>
      <w:r>
        <w:br/>
        <w:t>Rady Miasta i Gminy Gołańcz</w:t>
      </w:r>
      <w:r>
        <w:br/>
        <w:t>z dnia 28 maja 2019 r.</w:t>
      </w:r>
    </w:p>
    <w:p w:rsidR="00955B60" w:rsidRDefault="00955B60">
      <w:pPr>
        <w:pStyle w:val="Normal1"/>
        <w:spacing w:before="120" w:after="120"/>
        <w:ind w:left="283" w:firstLine="227"/>
        <w:jc w:val="center"/>
        <w:rPr>
          <w:b/>
        </w:rPr>
      </w:pPr>
    </w:p>
    <w:p w:rsidR="00955B60" w:rsidRDefault="00955B60">
      <w:pPr>
        <w:pStyle w:val="Normal1"/>
        <w:spacing w:before="120" w:after="120"/>
        <w:ind w:left="283" w:firstLine="227"/>
        <w:jc w:val="center"/>
        <w:rPr>
          <w:b/>
        </w:rPr>
      </w:pPr>
    </w:p>
    <w:p w:rsidR="00955B60" w:rsidRDefault="00CC7289">
      <w:pPr>
        <w:pStyle w:val="Normal1"/>
        <w:spacing w:before="120" w:after="120"/>
        <w:ind w:left="283" w:firstLine="227"/>
        <w:jc w:val="center"/>
        <w:rPr>
          <w:b/>
        </w:rPr>
      </w:pPr>
      <w:r>
        <w:rPr>
          <w:b/>
        </w:rPr>
        <w:t xml:space="preserve">Rozstrzygnięcie o sposobie realizacji, zapisanych w planie, </w:t>
      </w:r>
    </w:p>
    <w:p w:rsidR="00955B60" w:rsidRDefault="00CC7289">
      <w:pPr>
        <w:pStyle w:val="Normal1"/>
        <w:spacing w:before="120" w:after="120"/>
        <w:ind w:left="283" w:firstLine="227"/>
        <w:jc w:val="center"/>
        <w:rPr>
          <w:b/>
        </w:rPr>
      </w:pPr>
      <w:r>
        <w:rPr>
          <w:b/>
        </w:rPr>
        <w:t xml:space="preserve">inwestycji z zakresu infrastruktury technicznej, </w:t>
      </w:r>
    </w:p>
    <w:p w:rsidR="00955B60" w:rsidRDefault="00CC7289">
      <w:pPr>
        <w:pStyle w:val="Normal1"/>
        <w:spacing w:before="120" w:after="120"/>
        <w:ind w:left="283" w:firstLine="227"/>
        <w:jc w:val="center"/>
        <w:rPr>
          <w:b/>
        </w:rPr>
      </w:pPr>
      <w:r>
        <w:rPr>
          <w:b/>
        </w:rPr>
        <w:t xml:space="preserve">które należą do zadań własnych gminy </w:t>
      </w:r>
    </w:p>
    <w:p w:rsidR="00955B60" w:rsidRDefault="00CC7289">
      <w:pPr>
        <w:pStyle w:val="Normal1"/>
        <w:spacing w:before="120" w:after="120"/>
        <w:ind w:left="283" w:firstLine="227"/>
        <w:jc w:val="center"/>
        <w:rPr>
          <w:b/>
        </w:rPr>
      </w:pPr>
      <w:r>
        <w:rPr>
          <w:b/>
        </w:rPr>
        <w:t>oraz zasadach ich finansowania, zgodnie z przepisami o finansach publicznych</w:t>
      </w:r>
    </w:p>
    <w:p w:rsidR="00955B60" w:rsidRDefault="00955B60">
      <w:pPr>
        <w:pStyle w:val="Normal1"/>
        <w:spacing w:before="120" w:after="120"/>
        <w:ind w:left="283" w:firstLine="227"/>
        <w:jc w:val="center"/>
        <w:rPr>
          <w:b/>
        </w:rPr>
      </w:pPr>
    </w:p>
    <w:p w:rsidR="00955B60" w:rsidRDefault="00955B60">
      <w:pPr>
        <w:pStyle w:val="Normal1"/>
        <w:spacing w:before="120" w:after="120"/>
        <w:ind w:left="283" w:firstLine="227"/>
        <w:jc w:val="center"/>
        <w:rPr>
          <w:color w:val="000000"/>
          <w:u w:color="000000"/>
        </w:rPr>
      </w:pPr>
    </w:p>
    <w:p w:rsidR="00955B60" w:rsidRDefault="00CC7289">
      <w:pPr>
        <w:pStyle w:val="Normal1"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</w:t>
      </w:r>
      <w:r>
        <w:rPr>
          <w:color w:val="000000"/>
          <w:u w:color="000000"/>
        </w:rPr>
        <w:t>art. 20 ust. 1 ustawy z dnia 27 marca 2003 r. o planowaniu i zagospodarowaniu przestrzennym (Dz. U. z 2018 r. poz. 1945 ze zm.) Rada Miasta i Gminy Gołańcz rozstrzyga o sposobie realizacji inwestycji z zakresu infrastruktury technicznej, które należą do za</w:t>
      </w:r>
      <w:r>
        <w:rPr>
          <w:color w:val="000000"/>
          <w:u w:color="000000"/>
        </w:rPr>
        <w:t>dań własnych gminy oraz zasadach ich finansowania, zgodnie z przepisami o finansach publicznych.</w:t>
      </w:r>
    </w:p>
    <w:p w:rsidR="00955B60" w:rsidRDefault="00CC7289">
      <w:pPr>
        <w:pStyle w:val="Normal1"/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Inwestycje z zakresu infrastruktury technicznej na obszarze objętym opracowaniem miejscowego planu zagospodarowania przestrzennego nie zostały zaliczone do zad</w:t>
      </w:r>
      <w:r>
        <w:rPr>
          <w:color w:val="000000"/>
          <w:u w:color="000000"/>
        </w:rPr>
        <w:t>ań własnych gminy, a ich realizacja nie stanowi obciążenia dla budżetu gminy Gołańcz.</w:t>
      </w:r>
    </w:p>
    <w:p w:rsidR="00955B60" w:rsidRDefault="00CC7289">
      <w:pPr>
        <w:pStyle w:val="Normal1"/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55B60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B60" w:rsidRDefault="00955B60">
            <w:pPr>
              <w:pStyle w:val="Normal1"/>
              <w:jc w:val="left"/>
              <w:rPr>
                <w:color w:val="00000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B60" w:rsidRDefault="00CC7289">
            <w:pPr>
              <w:pStyle w:val="Normal1"/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Miasta i Gminy Gołańcz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>MERGEFIELD SIGNATURE_0_0_FIRSTNAME \* MERGEFORMAT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color w:val="000000"/>
              </w:rPr>
              <w:t>Karol</w:t>
            </w:r>
            <w:r>
              <w:rPr>
                <w:b/>
                <w:color w:val="000000"/>
              </w:rPr>
              <w:fldChar w:fldCharType="end"/>
            </w:r>
            <w:r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>MERGEFIELD SIGNATURE_0_0_LASTNAME \* MERGEFORMAT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color w:val="000000"/>
              </w:rPr>
              <w:t>Brzeziński</w:t>
            </w:r>
            <w:r>
              <w:rPr>
                <w:b/>
                <w:color w:val="000000"/>
              </w:rPr>
              <w:fldChar w:fldCharType="end"/>
            </w:r>
            <w:r>
              <w:rPr>
                <w:b/>
                <w:color w:val="000000"/>
              </w:rPr>
              <w:t> </w:t>
            </w:r>
          </w:p>
        </w:tc>
      </w:tr>
    </w:tbl>
    <w:p w:rsidR="00955B60" w:rsidRDefault="00955B60">
      <w:pPr>
        <w:pStyle w:val="Normal1"/>
        <w:keepNext/>
        <w:rPr>
          <w:color w:val="000000"/>
          <w:u w:color="000000"/>
        </w:rPr>
        <w:sectPr w:rsidR="00955B60">
          <w:footerReference w:type="default" r:id="rId10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</w:sectPr>
      </w:pPr>
    </w:p>
    <w:p w:rsidR="00955B60" w:rsidRDefault="00955B60">
      <w:pPr>
        <w:pStyle w:val="Normal2"/>
      </w:pPr>
    </w:p>
    <w:p w:rsidR="00955B60" w:rsidRDefault="00CC7289">
      <w:pPr>
        <w:pStyle w:val="Normal2"/>
        <w:jc w:val="center"/>
      </w:pPr>
      <w:r>
        <w:rPr>
          <w:b/>
        </w:rPr>
        <w:t>Uzasadnienie</w:t>
      </w:r>
    </w:p>
    <w:p w:rsidR="00955B60" w:rsidRDefault="00CC7289">
      <w:pPr>
        <w:pStyle w:val="Normal2"/>
        <w:spacing w:before="120" w:after="120"/>
        <w:ind w:left="283" w:firstLine="227"/>
      </w:pPr>
      <w:r>
        <w:t xml:space="preserve">Uchwałą nr XXX/315/17 Rady Miasta i Gminy Gołańcz z dnia 29 czerwca 2017 r. w sprawie </w:t>
      </w:r>
      <w:r>
        <w:t>przystąpienia do sporządzenia miejscowego planu zagospodarowania przestrzennego miasta Gołańczy dla terenu działki o nr</w:t>
      </w:r>
      <w:r>
        <w:rPr>
          <w:lang w:bidi="pl-PL"/>
        </w:rPr>
        <w:t>.</w:t>
      </w:r>
      <w:r>
        <w:t xml:space="preserve"> ewid. 959/1 przystąpiono do opracowania niniejszego planu.  Celem opracowania planu dla dz. nr 959/1 w Gołańczy jest uzupełnienie istni</w:t>
      </w:r>
      <w:r>
        <w:t>ejącej funkcji mieszkaniowej o funkcję usługową.</w:t>
      </w:r>
    </w:p>
    <w:p w:rsidR="00955B60" w:rsidRDefault="00CC7289">
      <w:pPr>
        <w:pStyle w:val="Normal2"/>
        <w:spacing w:before="120" w:after="120"/>
        <w:ind w:left="283" w:firstLine="227"/>
      </w:pPr>
      <w:r>
        <w:tab/>
        <w:t>Procedura sporządzania planu miejscowego przeprowadzona została w trybie ustawy z dnia 27 marca 2003 r. o planowaniu i zagospodarowaniu przestrzennym (Dz. U. z 2018 r., poz. 1945). W trakcie ww. procedury B</w:t>
      </w:r>
      <w:r>
        <w:t xml:space="preserve">urmistrz Miasta i Gminy Gołańcz wystąpił na podstawie art. 53 oraz art. 54 ustawy z dnia 3 października 2008 r. o udostępnianiu informacji o środowisku i jego ochronie, udziale społeczeństwa w ochronie środowiska oraz o ocenach oddziaływania na środowisko </w:t>
      </w:r>
      <w:r>
        <w:t>(Dz. U. z 2018 r., poz. 2081 ze zm.) do Regionalnego Dyrektora Ochrony Środowiska w Poznaniu oraz Państwowego Powiatowego Inspektora Sanitarnego w Wągrowcu o uzgodnienie zakresu i stopnia szczegółowości informacji zawartych w prognozie oddziaływania projek</w:t>
      </w:r>
      <w:r>
        <w:t>tu planu na środowisko. Następnie wystąpił do ww. organów oraz pozostałych organów wymienionych w art. 17 pkt 5 i 6 ustawy o planowaniu i zagospodarowaniu przestrzennym o zaopiniowanie i uzgodnienie sporządzanego projektu planu wraz z prognozą oddziaływani</w:t>
      </w:r>
      <w:r>
        <w:t>a na środowisko.</w:t>
      </w:r>
    </w:p>
    <w:p w:rsidR="00955B60" w:rsidRDefault="00CC7289">
      <w:pPr>
        <w:pStyle w:val="Normal2"/>
        <w:spacing w:before="120" w:after="120"/>
        <w:ind w:left="283" w:firstLine="227"/>
      </w:pPr>
      <w:r>
        <w:tab/>
        <w:t>Obszar opracowania planu obejmuje działkę położoną we wschodniej części teren</w:t>
      </w:r>
      <w:r>
        <w:rPr>
          <w:lang w:bidi="pl-PL"/>
        </w:rPr>
        <w:t>ó</w:t>
      </w:r>
      <w:r>
        <w:t>w zabudowanych miasta Gołańczy, zagospodarowaną zabudową mieszkaniową. Dla obszaru objętego planem ustalono przeznaczenie terenu MN/U - teren zabudowy mieszkani</w:t>
      </w:r>
      <w:r>
        <w:t>owej jednorodzinnej i usługowej. Przeznaczenie to nie narusza ustaleń studium uwarunkowań i kierunków zagospodarowania przestrzennego Miasta i Gminy Gołańcz ze zmianami.</w:t>
      </w:r>
    </w:p>
    <w:p w:rsidR="00955B60" w:rsidRDefault="00CC7289">
      <w:pPr>
        <w:pStyle w:val="Normal2"/>
        <w:spacing w:before="120" w:after="120"/>
        <w:ind w:left="283" w:firstLine="227"/>
      </w:pPr>
      <w:r>
        <w:tab/>
        <w:t>Wymagania ładu przestrzennego, w tym urbanistyki i architektury oraz walory architekt</w:t>
      </w:r>
      <w:r>
        <w:t>oniczne i krajobrazowe zostały uwzględnione poprzez określenie powierzchni zabudowy, intensywności zabudowy, udziału powierzchni biologicznie czynnej. Ustalono również wysokości dla projektowanej zabudowy, rodzaj i geometrię dachów i ich pokrycie. Parametr</w:t>
      </w:r>
      <w:r>
        <w:t>y dla nowej zabudowy zostały określone w nawiązaniu do istniejącej zabudowy mieszkaniowo–usługowej zlokalizowanej w najbliższym sąsiedztwie. W ten sposób projekt zapewnia efektywne wykorzystanie przestrzeni oraz jej walorów ekonomicznych.</w:t>
      </w:r>
    </w:p>
    <w:p w:rsidR="00955B60" w:rsidRDefault="00CC7289">
      <w:pPr>
        <w:pStyle w:val="Normal2"/>
        <w:spacing w:before="120" w:after="120"/>
        <w:ind w:left="283" w:firstLine="227"/>
      </w:pPr>
      <w:r>
        <w:tab/>
        <w:t>Wymagania ochron</w:t>
      </w:r>
      <w:r>
        <w:t>y środowiska, w tym gospodarowania wodami i ochrony gruntów rolnych i leśnych</w:t>
      </w:r>
      <w:r>
        <w:rPr>
          <w:lang w:bidi="pl-PL"/>
        </w:rPr>
        <w:t>,</w:t>
      </w:r>
      <w:r>
        <w:t xml:space="preserve"> zachowano poprzez ustalenia dotyczące zaopatrzenia w energię cieplną, w tym dopuszczenie stosowania systemów wykorzystujących źródła odnawialne. Zapisy odnoszące się do zachowania dopuszczalnych poziomów hałasu również stanowią wypełnienie wymogów środowi</w:t>
      </w:r>
      <w:r>
        <w:t>skowych. Ponadto, w planie zawarto ustalenia zapewniające ochronę gleby i powierzchni ziemi poprzez odpowiednie ustalenia dotyczące gospodarki odpadami.</w:t>
      </w:r>
    </w:p>
    <w:p w:rsidR="00955B60" w:rsidRDefault="00CC7289">
      <w:pPr>
        <w:pStyle w:val="Normal2"/>
        <w:spacing w:before="120" w:after="120"/>
        <w:ind w:left="283" w:firstLine="227"/>
      </w:pPr>
      <w:r>
        <w:tab/>
        <w:t>Na terenie opracowania planu nie występują obiekty i obszary objęte ochroną konserwatorską w związku z</w:t>
      </w:r>
      <w:r>
        <w:t> tym nie było konieczności uwzględnienia wymagań ochrony dziedzictwa kulturowego.</w:t>
      </w:r>
    </w:p>
    <w:p w:rsidR="00955B60" w:rsidRDefault="00CC7289">
      <w:pPr>
        <w:pStyle w:val="Normal2"/>
        <w:spacing w:before="120" w:after="120"/>
        <w:ind w:left="283" w:firstLine="227"/>
      </w:pPr>
      <w:r>
        <w:tab/>
        <w:t xml:space="preserve">Potrzeby obronności i bezpieczeństwa państwa uwzględniono poprzez uwzględnienie wniosków oraz dokonanie uzgodnienia projektu planu z właściwymi instytucjami zajmującymi się </w:t>
      </w:r>
      <w:r>
        <w:t>obronnością i bezpieczeństw</w:t>
      </w:r>
      <w:r>
        <w:rPr>
          <w:lang w:bidi="pl-PL"/>
        </w:rPr>
        <w:t>em</w:t>
      </w:r>
      <w:r>
        <w:t xml:space="preserve"> państwa.</w:t>
      </w:r>
    </w:p>
    <w:p w:rsidR="00955B60" w:rsidRDefault="00CC7289">
      <w:pPr>
        <w:pStyle w:val="Normal2"/>
        <w:spacing w:before="120" w:after="120"/>
        <w:ind w:left="283" w:firstLine="227"/>
      </w:pPr>
      <w:r>
        <w:tab/>
        <w:t>Potrzeby w zakresie rozwoju infrastruktury technicznej zostały zrealizowane poprzez uwzględnienie przebiegu istniejących sieci uzbrojenia terenu oraz określenie zasad ich modernizacji, a także rozbudowy i budowy nowy</w:t>
      </w:r>
      <w:r>
        <w:t>ch sieci infrastruktury technicznej.</w:t>
      </w:r>
    </w:p>
    <w:p w:rsidR="00955B60" w:rsidRDefault="00CC7289">
      <w:pPr>
        <w:pStyle w:val="Normal2"/>
        <w:spacing w:before="120" w:after="120"/>
        <w:ind w:left="283" w:firstLine="227"/>
      </w:pPr>
      <w:r>
        <w:tab/>
        <w:t>Poprzez ogłoszenie w miejscowej prasie oraz poprzez zamieszczenie obwieszczenia na urzędowej tablicy ogłoszeń oraz stronie internetowej urzędu zrealizowano wymóg zapewnienia udziału społeczeństwa w pracach nad miejscow</w:t>
      </w:r>
      <w:r>
        <w:t>ym planem zagospodarowania przestrzennego, w tym przy użyciu środków komunikacji elektronicznej. Działania te zapewniły jasność i przejrzystość procedur planistycznych.</w:t>
      </w:r>
    </w:p>
    <w:p w:rsidR="00955B60" w:rsidRDefault="00CC7289">
      <w:pPr>
        <w:pStyle w:val="Normal2"/>
        <w:spacing w:before="120" w:after="120"/>
        <w:ind w:left="283" w:firstLine="227"/>
      </w:pPr>
      <w:r>
        <w:tab/>
        <w:t>Przy sporządzaniu projektu planu wzięto pod uwagę potrzeby</w:t>
      </w:r>
      <w:r>
        <w:rPr>
          <w:lang w:bidi="pl-PL"/>
        </w:rPr>
        <w:t xml:space="preserve"> i</w:t>
      </w:r>
      <w:r>
        <w:t xml:space="preserve"> interesy prywatne, w tym </w:t>
      </w:r>
      <w:r>
        <w:t>prawo własności. Opracowanie miejscowego planu zagospodarowania przestrzennego dla terenu działki o nr. ewid. 959/1 umożliwi określenie dla niego funkcji zgodnej z zamierzeniami inwestycyjnymi właściciela terenu. W przedmiotowym przypadku nie zaistniała po</w:t>
      </w:r>
      <w:r>
        <w:t>trzeba uwzględniania interesów publicznych.</w:t>
      </w:r>
    </w:p>
    <w:p w:rsidR="00955B60" w:rsidRDefault="00CC7289">
      <w:pPr>
        <w:pStyle w:val="Normal2"/>
        <w:spacing w:before="120" w:after="120"/>
        <w:ind w:left="283" w:firstLine="227"/>
      </w:pPr>
      <w:r>
        <w:t>Projekt planu przewiduje zmianę przeznaczenia terenu polegającą na dopuszczeniu realizacji funkcji usługowej na terenach zabudowy mieszkaniowej. W związku z tym jego uchwalenie będzie miało wpływ na finanse publi</w:t>
      </w:r>
      <w:r>
        <w:t>czne gminy, w szczególności polegające na wzroście podatku od nieruchomości.</w:t>
      </w:r>
    </w:p>
    <w:p w:rsidR="00955B60" w:rsidRDefault="00CC7289">
      <w:pPr>
        <w:pStyle w:val="Normal2"/>
        <w:spacing w:before="120" w:after="120"/>
        <w:ind w:left="283" w:firstLine="227"/>
      </w:pPr>
      <w:r>
        <w:lastRenderedPageBreak/>
        <w:t>Plan nie wyznacza również terenów przeznaczonych pod inwestycje celu publicznego, które należą do zadań własnych gminy.</w:t>
      </w:r>
    </w:p>
    <w:p w:rsidR="00955B60" w:rsidRDefault="00CC7289">
      <w:pPr>
        <w:pStyle w:val="Normal2"/>
        <w:spacing w:before="120" w:after="120"/>
        <w:ind w:left="283" w:firstLine="227"/>
      </w:pPr>
      <w:r>
        <w:t xml:space="preserve">Analiza zmian w zagospodarowaniu przestrzennym miasta </w:t>
      </w:r>
      <w:r>
        <w:t>i gminy Gołańcz przyjęta Uchwałą nr XVII/205/16 Rady Miasta i Gminy Gołańcz z dnia 28 kwietnia 2016 r. w sprawie stwierdzenia aktualności studium uwarunkowań i kierunków zagospodarowania przestrzennego gminy Gołańcz oraz miejscowych planów zagospodarowania</w:t>
      </w:r>
      <w:r>
        <w:t xml:space="preserve"> przestrzennego wskazała, że obowiązująca dla przedmiotowego terenu „Zmiana miejscowego planu zagospodarowania przestrzennego miasta Gołańcz” uchwalona uchwałą nr XXIII/112/2000 Rady Miasta i Gminy Gołańcz z dnia 22 listopada 2000 r. wykazuje częściową nie</w:t>
      </w:r>
      <w:r>
        <w:t>aktualność, gdyż zawiera zbyt ogólne ustalenia dotyczące przeznaczenia terenu. Ww. analiza wskazuje na koni</w:t>
      </w:r>
      <w:r>
        <w:rPr>
          <w:lang w:bidi="pl-PL"/>
        </w:rPr>
        <w:t>e</w:t>
      </w:r>
      <w:r>
        <w:t>czność sukcesywnego opracowywania nowych planów dla terenów przewidzianych pod zabudowę, które będą zawierały aktualne i odpowiednio szczegółowe zap</w:t>
      </w:r>
      <w:r>
        <w:t>isy. Sporządzenie przedmiotowego planu jest więc zasadne i zgodnie z ustaleniami analizy w zagospodarowaniu przestrzennym miasta i gminy Gołańcz.</w:t>
      </w:r>
    </w:p>
    <w:p w:rsidR="00955B60" w:rsidRDefault="00CC7289">
      <w:pPr>
        <w:pStyle w:val="Normal2"/>
        <w:spacing w:before="120" w:after="120"/>
        <w:ind w:left="283" w:firstLine="227"/>
      </w:pPr>
      <w:r>
        <w:t>Projekt miejscowego planu zagospodarowania przestrzennego miasta Gołańczy dla terenu działki o nr. ewid. 959/1</w:t>
      </w:r>
      <w:r>
        <w:t xml:space="preserve"> wyłożono do publicznego wglądu w dniach od 21.02.2019 r. do 15.03.2019 r. Dnia 07.03.2019 r. odbyła się dyskusja publiczna nad rozwiązaniami przyjętymi w tym projekcie. Uwagi do projektu planu przyjmowano do dnia 29.03.2019 r. W przewidzianym terminie nie</w:t>
      </w:r>
      <w:r>
        <w:t> wpłynęła żadna uwaga.</w:t>
      </w:r>
    </w:p>
    <w:p w:rsidR="00955B60" w:rsidRDefault="00CC7289">
      <w:pPr>
        <w:pStyle w:val="Normal2"/>
        <w:spacing w:before="120" w:after="120"/>
        <w:ind w:left="283" w:firstLine="227"/>
      </w:pPr>
      <w:r>
        <w:tab/>
        <w:t>W związku z powyższym projekt planu przedłożono Radzie Miasta i Gminy Gołańcz do uchwalenia.</w:t>
      </w: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55B60">
        <w:tc>
          <w:tcPr>
            <w:tcW w:w="2500" w:type="pct"/>
            <w:tcBorders>
              <w:right w:val="nil"/>
            </w:tcBorders>
          </w:tcPr>
          <w:p w:rsidR="00955B60" w:rsidRDefault="00955B60">
            <w:pPr>
              <w:pStyle w:val="Normal2"/>
              <w:spacing w:before="120" w:after="120"/>
            </w:pPr>
          </w:p>
        </w:tc>
        <w:tc>
          <w:tcPr>
            <w:tcW w:w="2500" w:type="pct"/>
            <w:tcBorders>
              <w:left w:val="nil"/>
            </w:tcBorders>
          </w:tcPr>
          <w:p w:rsidR="00955B60" w:rsidRDefault="00CC7289">
            <w:pPr>
              <w:pStyle w:val="Normal2"/>
              <w:spacing w:before="120" w:after="120"/>
              <w:jc w:val="center"/>
            </w:pPr>
            <w:r>
              <w:fldChar w:fldCharType="begin"/>
            </w:r>
            <w:r>
              <w:instrText>SIGNATURE_0_1_FUNCTION</w:instrText>
            </w:r>
            <w:r>
              <w:fldChar w:fldCharType="separate"/>
            </w:r>
            <w:r>
              <w:t>Przewodniczący Rady Miasta i Gminy Gołańcz</w:t>
            </w:r>
            <w:r>
              <w:fldChar w:fldCharType="end"/>
            </w:r>
          </w:p>
          <w:p w:rsidR="00955B60" w:rsidRDefault="00CC7289">
            <w:pPr>
              <w:pStyle w:val="Normal2"/>
              <w:spacing w:before="120" w:after="120"/>
              <w:jc w:val="center"/>
            </w:pPr>
            <w:r>
              <w:t xml:space="preserve"> </w:t>
            </w:r>
          </w:p>
          <w:p w:rsidR="00955B60" w:rsidRDefault="00CC7289">
            <w:pPr>
              <w:pStyle w:val="Normal2"/>
              <w:spacing w:before="120" w:after="120"/>
              <w:jc w:val="center"/>
            </w:pPr>
            <w:r>
              <w:fldChar w:fldCharType="begin"/>
            </w:r>
            <w:r>
              <w:instrText>SIGNATURE_0_1_FIRSTNAME</w:instrText>
            </w:r>
            <w:r>
              <w:fldChar w:fldCharType="separate"/>
            </w:r>
            <w:r>
              <w:rPr>
                <w:b/>
              </w:rPr>
              <w:t xml:space="preserve">Karol </w:t>
            </w:r>
            <w:r>
              <w:fldChar w:fldCharType="end"/>
            </w:r>
            <w:r>
              <w:fldChar w:fldCharType="begin"/>
            </w:r>
            <w:r>
              <w:instrText>SIGNATURE_0_1_LASTNAME</w:instrText>
            </w:r>
            <w:r>
              <w:fldChar w:fldCharType="separate"/>
            </w:r>
            <w:r>
              <w:rPr>
                <w:b/>
              </w:rPr>
              <w:t>Brzeziński</w:t>
            </w:r>
            <w:r>
              <w:fldChar w:fldCharType="end"/>
            </w:r>
          </w:p>
        </w:tc>
      </w:tr>
    </w:tbl>
    <w:p w:rsidR="00955B60" w:rsidRDefault="00955B60">
      <w:pPr>
        <w:pStyle w:val="Normal2"/>
        <w:spacing w:before="120" w:after="120"/>
        <w:ind w:left="283"/>
      </w:pPr>
    </w:p>
    <w:sectPr w:rsidR="00955B60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289" w:rsidRDefault="00CC7289">
      <w:r>
        <w:separator/>
      </w:r>
    </w:p>
  </w:endnote>
  <w:endnote w:type="continuationSeparator" w:id="0">
    <w:p w:rsidR="00CC7289" w:rsidRDefault="00C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55B60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55B60" w:rsidRDefault="00CC728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3B981FE4-213F-47CA-B274-90CE9E553995.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55B60" w:rsidRDefault="00CC72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F4B51">
            <w:rPr>
              <w:sz w:val="18"/>
            </w:rPr>
            <w:fldChar w:fldCharType="separate"/>
          </w:r>
          <w:r w:rsidR="005F4B5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55B60" w:rsidRDefault="00955B6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55B60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55B60" w:rsidRDefault="00CC7289">
          <w:pPr>
            <w:jc w:val="left"/>
            <w:rPr>
              <w:sz w:val="18"/>
            </w:rPr>
          </w:pPr>
          <w:r>
            <w:rPr>
              <w:sz w:val="18"/>
            </w:rPr>
            <w:t>Id: 3B981FE4-213F-47CA-B274-90CE9E553995.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55B60" w:rsidRDefault="00CC72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F4B51">
            <w:rPr>
              <w:sz w:val="18"/>
            </w:rPr>
            <w:fldChar w:fldCharType="separate"/>
          </w:r>
          <w:r w:rsidR="005F4B5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55B60" w:rsidRDefault="00955B6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55B60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55B60" w:rsidRDefault="00CC728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3B981FE4-213F-47CA-B274-90CE9E553995.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55B60" w:rsidRDefault="00CC72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F4B51">
            <w:rPr>
              <w:sz w:val="18"/>
            </w:rPr>
            <w:fldChar w:fldCharType="separate"/>
          </w:r>
          <w:r w:rsidR="005F4B5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55B60" w:rsidRDefault="00955B60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55B60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55B60" w:rsidRDefault="00CC7289">
          <w:pPr>
            <w:jc w:val="left"/>
            <w:rPr>
              <w:sz w:val="18"/>
            </w:rPr>
          </w:pPr>
          <w:r>
            <w:rPr>
              <w:sz w:val="18"/>
            </w:rPr>
            <w:t>Id: 3B981FE4-213F-47CA-B274-90CE9E553995.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55B60" w:rsidRDefault="00CC72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F4B51">
            <w:rPr>
              <w:sz w:val="18"/>
            </w:rPr>
            <w:fldChar w:fldCharType="separate"/>
          </w:r>
          <w:r w:rsidR="005F4B51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955B60" w:rsidRDefault="00955B60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55B60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55B60" w:rsidRDefault="00CC7289">
          <w:pPr>
            <w:jc w:val="left"/>
            <w:rPr>
              <w:sz w:val="18"/>
            </w:rPr>
          </w:pPr>
          <w:r>
            <w:rPr>
              <w:sz w:val="18"/>
            </w:rPr>
            <w:t>Id: 3B981FE4-213F-47CA-B274-90CE9E553995.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55B60" w:rsidRDefault="00CC72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F4B51">
            <w:rPr>
              <w:sz w:val="18"/>
            </w:rPr>
            <w:fldChar w:fldCharType="separate"/>
          </w:r>
          <w:r w:rsidR="005F4B51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955B60" w:rsidRDefault="00955B6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289" w:rsidRDefault="00CC7289">
      <w:r>
        <w:separator/>
      </w:r>
    </w:p>
  </w:footnote>
  <w:footnote w:type="continuationSeparator" w:id="0">
    <w:p w:rsidR="00CC7289" w:rsidRDefault="00CC7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60"/>
    <w:rsid w:val="005F4B51"/>
    <w:rsid w:val="00955B60"/>
    <w:rsid w:val="00CC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51E8E9-2B43-450B-9B3C-4BE445FA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pPr>
      <w:jc w:val="both"/>
    </w:pPr>
    <w:rPr>
      <w:sz w:val="22"/>
    </w:rPr>
  </w:style>
  <w:style w:type="paragraph" w:customStyle="1" w:styleId="Normal1">
    <w:name w:val="Normal_1"/>
    <w:qFormat/>
    <w:pPr>
      <w:jc w:val="both"/>
    </w:pPr>
    <w:rPr>
      <w:sz w:val="22"/>
    </w:rPr>
  </w:style>
  <w:style w:type="paragraph" w:customStyle="1" w:styleId="Normal2">
    <w:name w:val="Normal_2"/>
    <w:qFormat/>
    <w:pPr>
      <w:jc w:val="both"/>
    </w:pPr>
    <w:rPr>
      <w:sz w:val="22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ugeniusz%20Majchrzak\AppData\Local\Microsoft\Windows\INetCache\Content.Outlook\VZ0J5JV0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3612</Words>
  <Characters>21672</Characters>
  <Application>Microsoft Office Word</Application>
  <DocSecurity>0</DocSecurity>
  <Lines>180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VIII/78/19 z dnia 28 maja 2019 r.</vt:lpstr>
      <vt:lpstr/>
    </vt:vector>
  </TitlesOfParts>
  <Company>Rada Miasta i Gminy Gołańcz</Company>
  <LinksUpToDate>false</LinksUpToDate>
  <CharactersWithSpaces>25234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VIII/78/19 z dnia 28 maja 2019 r.</dc:title>
  <dc:subject>w sprawie uchwalenia miejscowego planu zagospodarowania przestrzennego miasta Gołańczy dla terenu działki o^nr. ewidencyjnym 959/1</dc:subject>
  <dc:creator>Alina Wachowiak</dc:creator>
  <cp:lastModifiedBy>Eugeniusz Majchrzak</cp:lastModifiedBy>
  <cp:revision>2</cp:revision>
  <dcterms:created xsi:type="dcterms:W3CDTF">2019-06-03T05:28:00Z</dcterms:created>
  <dcterms:modified xsi:type="dcterms:W3CDTF">2019-06-03T05:28:00Z</dcterms:modified>
  <cp:category>Akt prawny</cp:category>
</cp:coreProperties>
</file>