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507EFB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AD5B35">
        <w:rPr>
          <w:b/>
          <w:bCs/>
          <w:color w:val="auto"/>
          <w:sz w:val="24"/>
          <w:szCs w:val="24"/>
          <w:lang w:val="pl-PL"/>
        </w:rPr>
        <w:t>48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507EFB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AD5B35">
        <w:rPr>
          <w:b/>
          <w:bCs/>
          <w:spacing w:val="-1"/>
        </w:rPr>
        <w:t>0</w:t>
      </w:r>
      <w:r w:rsidR="007403C1">
        <w:rPr>
          <w:b/>
          <w:bCs/>
          <w:spacing w:val="-1"/>
        </w:rPr>
        <w:t>7</w:t>
      </w:r>
      <w:r w:rsidR="00AD5B35">
        <w:rPr>
          <w:b/>
          <w:bCs/>
          <w:spacing w:val="-1"/>
        </w:rPr>
        <w:t xml:space="preserve"> maja</w:t>
      </w:r>
      <w:r w:rsidR="0012614D">
        <w:rPr>
          <w:b/>
          <w:bCs/>
          <w:spacing w:val="-1"/>
        </w:rPr>
        <w:t xml:space="preserve"> </w:t>
      </w:r>
      <w:r w:rsidR="005B0EC3">
        <w:rPr>
          <w:b/>
          <w:bCs/>
          <w:spacing w:val="-1"/>
        </w:rPr>
        <w:t>2019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07EFB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F0258C" w:rsidRDefault="002D0E56" w:rsidP="00F0258C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</w:t>
      </w:r>
      <w:r w:rsidR="00CF05BF">
        <w:rPr>
          <w:b w:val="0"/>
          <w:bCs w:val="0"/>
          <w:szCs w:val="24"/>
          <w:lang w:val="pl-PL" w:eastAsia="pl-PL"/>
        </w:rPr>
        <w:t>z 2019 r. poz. 506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DE4801">
        <w:rPr>
          <w:b w:val="0"/>
          <w:lang w:val="pl-PL"/>
        </w:rPr>
        <w:t xml:space="preserve"> </w:t>
      </w:r>
      <w:r w:rsidR="00B64C4B">
        <w:rPr>
          <w:b w:val="0"/>
          <w:lang w:val="pl-PL"/>
        </w:rPr>
        <w:t>1</w:t>
      </w:r>
      <w:r w:rsidR="005465E8">
        <w:rPr>
          <w:b w:val="0"/>
          <w:lang w:val="pl-PL"/>
        </w:rPr>
        <w:t xml:space="preserve"> i 3</w:t>
      </w:r>
      <w:r w:rsidR="00287A83">
        <w:rPr>
          <w:b w:val="0"/>
          <w:lang w:val="pl-PL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</w:t>
      </w:r>
      <w:r w:rsidR="00ED48B0">
        <w:rPr>
          <w:b w:val="0"/>
          <w:szCs w:val="24"/>
          <w:lang w:val="pl-PL"/>
        </w:rPr>
        <w:t>0</w:t>
      </w:r>
      <w:r w:rsidR="007B5A53">
        <w:rPr>
          <w:b w:val="0"/>
          <w:szCs w:val="24"/>
          <w:lang w:val="pl-PL"/>
        </w:rPr>
        <w:t xml:space="preserve">, poz. 1366, </w:t>
      </w:r>
      <w:r w:rsidR="00ED48B0">
        <w:rPr>
          <w:b w:val="0"/>
          <w:szCs w:val="24"/>
          <w:lang w:val="pl-PL"/>
        </w:rPr>
        <w:t xml:space="preserve">poz. 1669, </w:t>
      </w:r>
      <w:r w:rsidR="007B5A53">
        <w:rPr>
          <w:b w:val="0"/>
          <w:szCs w:val="24"/>
          <w:lang w:val="pl-PL"/>
        </w:rPr>
        <w:t>poz. 1693</w:t>
      </w:r>
      <w:r w:rsidR="009A4EED">
        <w:rPr>
          <w:b w:val="0"/>
          <w:szCs w:val="24"/>
          <w:lang w:val="pl-PL"/>
        </w:rPr>
        <w:t xml:space="preserve">, poz. 2354, poz. </w:t>
      </w:r>
      <w:r w:rsidR="009A4EED" w:rsidRPr="009A4EED">
        <w:rPr>
          <w:b w:val="0"/>
          <w:szCs w:val="24"/>
          <w:lang w:val="pl-PL"/>
        </w:rPr>
        <w:t>2500</w:t>
      </w:r>
      <w:r w:rsidR="00F0258C">
        <w:rPr>
          <w:b w:val="0"/>
          <w:szCs w:val="24"/>
          <w:lang w:val="pl-PL"/>
        </w:rPr>
        <w:t>, z 2019 r. poz. 303, poz. 326</w:t>
      </w:r>
      <w:r w:rsidR="00CF05BF">
        <w:rPr>
          <w:b w:val="0"/>
          <w:szCs w:val="24"/>
          <w:lang w:val="pl-PL"/>
        </w:rPr>
        <w:t>, poz. 534</w:t>
      </w:r>
      <w:r w:rsidR="00BB3D18" w:rsidRPr="009A4EED">
        <w:rPr>
          <w:b w:val="0"/>
          <w:szCs w:val="24"/>
        </w:rPr>
        <w:t>)</w:t>
      </w:r>
      <w:r w:rsidR="00BB3D18" w:rsidRPr="009A4EED">
        <w:rPr>
          <w:b w:val="0"/>
          <w:szCs w:val="24"/>
          <w:lang w:val="pl-PL"/>
        </w:rPr>
        <w:t xml:space="preserve"> </w:t>
      </w:r>
      <w:r w:rsidR="00AC10EB">
        <w:rPr>
          <w:b w:val="0"/>
          <w:szCs w:val="24"/>
          <w:lang w:val="pl-PL"/>
        </w:rPr>
        <w:t xml:space="preserve"> </w:t>
      </w:r>
      <w:r w:rsidR="00431490" w:rsidRPr="009A4EED">
        <w:rPr>
          <w:b w:val="0"/>
        </w:rPr>
        <w:t>Burmistrz Miasta i Gminy Gołańcz zarządza, co następuje</w:t>
      </w:r>
      <w:r w:rsidR="004201BF">
        <w:rPr>
          <w:b w:val="0"/>
          <w:lang w:val="pl-PL"/>
        </w:rPr>
        <w:t>:</w:t>
      </w:r>
    </w:p>
    <w:p w:rsidR="009C4F72" w:rsidRPr="00C823BA" w:rsidRDefault="009C4F72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Zarządzeniem Burmistrza Miasta i Gminy Gołańcz nr OA 0050.5.2019 z dnia 22 stycznia 2019 r.; Zarządzeniem Burmistrza Miasta i Gminy Gołańcz nr OA 0050.11.2019 z dnia 30 stycznia 2019 r., Uchwałą Rady Miasta i Gminy Gołańcz nr V/3</w:t>
      </w:r>
      <w:r>
        <w:rPr>
          <w:spacing w:val="2"/>
        </w:rPr>
        <w:t>0</w:t>
      </w:r>
      <w:r w:rsidRPr="0012614D">
        <w:rPr>
          <w:spacing w:val="2"/>
        </w:rPr>
        <w:t>/1</w:t>
      </w:r>
      <w:r>
        <w:rPr>
          <w:spacing w:val="2"/>
        </w:rPr>
        <w:t>9</w:t>
      </w:r>
      <w:r w:rsidRPr="0012614D">
        <w:rPr>
          <w:spacing w:val="2"/>
        </w:rPr>
        <w:t xml:space="preserve"> z dnia 2</w:t>
      </w:r>
      <w:r>
        <w:rPr>
          <w:spacing w:val="2"/>
        </w:rPr>
        <w:t>2</w:t>
      </w:r>
      <w:r w:rsidRPr="0012614D">
        <w:rPr>
          <w:spacing w:val="2"/>
        </w:rPr>
        <w:t xml:space="preserve"> lutego 201</w:t>
      </w:r>
      <w:r>
        <w:rPr>
          <w:spacing w:val="2"/>
        </w:rPr>
        <w:t>9</w:t>
      </w:r>
      <w:r w:rsidRPr="0012614D">
        <w:rPr>
          <w:spacing w:val="2"/>
        </w:rPr>
        <w:t xml:space="preserve"> r</w:t>
      </w:r>
      <w:r w:rsidR="004051A6">
        <w:rPr>
          <w:spacing w:val="2"/>
        </w:rPr>
        <w:t>.</w:t>
      </w:r>
      <w:r w:rsidR="003D0304">
        <w:rPr>
          <w:spacing w:val="2"/>
        </w:rPr>
        <w:t xml:space="preserve">,  </w:t>
      </w:r>
      <w:r w:rsidR="003D0304" w:rsidRPr="0012614D">
        <w:rPr>
          <w:spacing w:val="2"/>
        </w:rPr>
        <w:t>Zarządzeniem Burmistrza Mia</w:t>
      </w:r>
      <w:r w:rsidR="003D0304">
        <w:rPr>
          <w:spacing w:val="2"/>
        </w:rPr>
        <w:t>sta i Gminy Gołańcz nr OA 0050.29</w:t>
      </w:r>
      <w:r w:rsidR="003D0304" w:rsidRPr="0012614D">
        <w:rPr>
          <w:spacing w:val="2"/>
        </w:rPr>
        <w:t xml:space="preserve">.2019 z dnia </w:t>
      </w:r>
      <w:r w:rsidR="003D0304">
        <w:rPr>
          <w:spacing w:val="2"/>
        </w:rPr>
        <w:t>12</w:t>
      </w:r>
      <w:r w:rsidR="003D0304" w:rsidRPr="0012614D">
        <w:rPr>
          <w:spacing w:val="2"/>
        </w:rPr>
        <w:t xml:space="preserve"> </w:t>
      </w:r>
      <w:r w:rsidR="003D0304">
        <w:rPr>
          <w:spacing w:val="2"/>
        </w:rPr>
        <w:t>marca</w:t>
      </w:r>
      <w:r w:rsidR="003D0304" w:rsidRPr="0012614D">
        <w:rPr>
          <w:spacing w:val="2"/>
        </w:rPr>
        <w:t xml:space="preserve"> 2019 r.,</w:t>
      </w:r>
      <w:r w:rsidR="003D0304">
        <w:rPr>
          <w:spacing w:val="2"/>
        </w:rPr>
        <w:t xml:space="preserve"> </w:t>
      </w:r>
      <w:r w:rsidR="003D0304" w:rsidRPr="0012614D">
        <w:rPr>
          <w:spacing w:val="2"/>
        </w:rPr>
        <w:t>Uchwałą Rady Miasta i Gminy Gołańcz nr V</w:t>
      </w:r>
      <w:r w:rsidR="003D0304">
        <w:rPr>
          <w:spacing w:val="2"/>
        </w:rPr>
        <w:t>I/61</w:t>
      </w:r>
      <w:r w:rsidR="003D0304" w:rsidRPr="0012614D">
        <w:rPr>
          <w:spacing w:val="2"/>
        </w:rPr>
        <w:t>/1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z dnia 2</w:t>
      </w:r>
      <w:r w:rsidR="003D0304">
        <w:rPr>
          <w:spacing w:val="2"/>
        </w:rPr>
        <w:t>6</w:t>
      </w:r>
      <w:r w:rsidR="003D0304" w:rsidRPr="0012614D">
        <w:rPr>
          <w:spacing w:val="2"/>
        </w:rPr>
        <w:t xml:space="preserve"> </w:t>
      </w:r>
      <w:r w:rsidR="006C785B">
        <w:rPr>
          <w:spacing w:val="2"/>
        </w:rPr>
        <w:t xml:space="preserve">marca </w:t>
      </w:r>
      <w:r w:rsidR="003D0304" w:rsidRPr="0012614D">
        <w:rPr>
          <w:spacing w:val="2"/>
        </w:rPr>
        <w:t>201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r</w:t>
      </w:r>
      <w:r w:rsidR="003D0304">
        <w:rPr>
          <w:spacing w:val="2"/>
        </w:rPr>
        <w:t>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Zarządzeniem Burmistrza Mia</w:t>
      </w:r>
      <w:r w:rsidR="00AE7CB8">
        <w:rPr>
          <w:spacing w:val="2"/>
        </w:rPr>
        <w:t>sta i Gminy Gołańcz nr OA 0050.39</w:t>
      </w:r>
      <w:r w:rsidR="00AE7CB8" w:rsidRPr="0012614D">
        <w:rPr>
          <w:spacing w:val="2"/>
        </w:rPr>
        <w:t xml:space="preserve">.2019 z dnia </w:t>
      </w:r>
      <w:r w:rsidR="00317252">
        <w:rPr>
          <w:spacing w:val="2"/>
        </w:rPr>
        <w:t>10</w:t>
      </w:r>
      <w:r w:rsidR="00AE7CB8">
        <w:rPr>
          <w:spacing w:val="2"/>
        </w:rPr>
        <w:t xml:space="preserve"> kwietnia</w:t>
      </w:r>
      <w:r w:rsidR="00AE7CB8" w:rsidRPr="0012614D">
        <w:rPr>
          <w:spacing w:val="2"/>
        </w:rPr>
        <w:t xml:space="preserve"> 2019 r.,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Uchwałą Rady Miasta i Gminy Gołańcz nr V</w:t>
      </w:r>
      <w:r w:rsidR="00AE7CB8">
        <w:rPr>
          <w:spacing w:val="2"/>
        </w:rPr>
        <w:t>II/71</w:t>
      </w:r>
      <w:r w:rsidR="00AE7CB8" w:rsidRPr="0012614D">
        <w:rPr>
          <w:spacing w:val="2"/>
        </w:rPr>
        <w:t>/1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z dnia </w:t>
      </w:r>
      <w:r w:rsidR="00AE7CB8">
        <w:rPr>
          <w:spacing w:val="2"/>
        </w:rPr>
        <w:t xml:space="preserve">30 kwietnia </w:t>
      </w:r>
      <w:r w:rsidR="00AE7CB8" w:rsidRPr="0012614D">
        <w:rPr>
          <w:spacing w:val="2"/>
        </w:rPr>
        <w:t>201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r</w:t>
      </w:r>
      <w:r w:rsidR="00AE7CB8">
        <w:rPr>
          <w:spacing w:val="2"/>
        </w:rPr>
        <w:t>.,</w:t>
      </w: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wprowadza się następujące zmiany:</w:t>
      </w:r>
    </w:p>
    <w:p w:rsidR="009C4F72" w:rsidRPr="00292A31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C02306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</w:t>
      </w:r>
      <w:r w:rsidRPr="009A4EED">
        <w:t>201</w:t>
      </w:r>
      <w:r w:rsidR="001F3BA0" w:rsidRPr="009A4EED">
        <w:t>9</w:t>
      </w:r>
      <w:r w:rsidRPr="008E6B53">
        <w:t xml:space="preserve"> o kwotę </w:t>
      </w:r>
      <w:r w:rsidR="00DD74BD">
        <w:rPr>
          <w:b/>
        </w:rPr>
        <w:t>847.</w:t>
      </w:r>
      <w:r w:rsidR="009148F3">
        <w:rPr>
          <w:b/>
        </w:rPr>
        <w:t>5</w:t>
      </w:r>
      <w:r w:rsidR="00DD74BD">
        <w:rPr>
          <w:b/>
        </w:rPr>
        <w:t>38,10</w:t>
      </w:r>
      <w:r w:rsidRPr="008E6B53">
        <w:rPr>
          <w:b/>
        </w:rPr>
        <w:t xml:space="preserve"> zł, </w:t>
      </w:r>
      <w:r w:rsidRPr="008E6B53">
        <w:t xml:space="preserve">tj. do kwoty </w:t>
      </w:r>
      <w:r w:rsidR="00DD74BD">
        <w:rPr>
          <w:b/>
        </w:rPr>
        <w:t>39.376.</w:t>
      </w:r>
      <w:r w:rsidR="009148F3">
        <w:rPr>
          <w:b/>
        </w:rPr>
        <w:t>5</w:t>
      </w:r>
      <w:r w:rsidR="00DD74BD">
        <w:rPr>
          <w:b/>
        </w:rPr>
        <w:t>17,07</w:t>
      </w:r>
      <w:r w:rsidRPr="008E6B53">
        <w:rPr>
          <w:b/>
        </w:rPr>
        <w:t xml:space="preserve"> zł, </w:t>
      </w:r>
      <w:r w:rsidRPr="008E6B53">
        <w:t xml:space="preserve">zgodnie z załącznikami nr 1  i 3 do niniejszego zarządzenia, zmieniającymi  załączniki  nr 1 i 3 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 Gminy Gołańcz z dnia 28 grudnia 201</w:t>
      </w:r>
      <w:r w:rsidR="009A4EED">
        <w:t>8</w:t>
      </w:r>
      <w:r w:rsidRPr="008E6B53">
        <w:t> roku;</w:t>
      </w:r>
    </w:p>
    <w:p w:rsidR="009C4F72" w:rsidRPr="00292A31" w:rsidRDefault="009C4F72" w:rsidP="008E6B53">
      <w:pPr>
        <w:ind w:left="340" w:hanging="227"/>
        <w:jc w:val="both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  <w:jc w:val="both"/>
      </w:pPr>
      <w:r w:rsidRPr="008E6B53">
        <w:t>2) dochody budżetu na rok 201</w:t>
      </w:r>
      <w:r w:rsidR="009A4EED">
        <w:t>9</w:t>
      </w:r>
      <w:r w:rsidRPr="008E6B53">
        <w:t> to:</w:t>
      </w:r>
    </w:p>
    <w:p w:rsidR="008E6B53" w:rsidRPr="008E6B53" w:rsidRDefault="008E6B53" w:rsidP="008E6B53">
      <w:pPr>
        <w:keepLines/>
        <w:ind w:left="567" w:hanging="227"/>
        <w:jc w:val="both"/>
      </w:pPr>
      <w:r w:rsidRPr="008E6B53">
        <w:t xml:space="preserve">a) dochody bieżące, po zmianach wynoszą </w:t>
      </w:r>
      <w:r w:rsidR="00DD74BD">
        <w:rPr>
          <w:b/>
        </w:rPr>
        <w:t>38.53</w:t>
      </w:r>
      <w:r w:rsidR="009148F3">
        <w:rPr>
          <w:b/>
        </w:rPr>
        <w:t>6</w:t>
      </w:r>
      <w:r w:rsidR="00DD74BD">
        <w:rPr>
          <w:b/>
        </w:rPr>
        <w:t>.</w:t>
      </w:r>
      <w:r w:rsidR="009148F3">
        <w:rPr>
          <w:b/>
        </w:rPr>
        <w:t>4</w:t>
      </w:r>
      <w:r w:rsidR="00DD74BD">
        <w:rPr>
          <w:b/>
        </w:rPr>
        <w:t>17,07</w:t>
      </w:r>
      <w:r w:rsidRPr="008E6B53">
        <w:rPr>
          <w:b/>
        </w:rPr>
        <w:t xml:space="preserve"> zł,</w:t>
      </w:r>
    </w:p>
    <w:p w:rsidR="008E6B53" w:rsidRPr="00C02306" w:rsidRDefault="008E6B53" w:rsidP="00C02306">
      <w:pPr>
        <w:keepLines/>
        <w:ind w:left="567" w:hanging="227"/>
        <w:rPr>
          <w:b/>
        </w:rPr>
      </w:pPr>
      <w:r w:rsidRPr="008E6B53">
        <w:t xml:space="preserve">b) dochody majątkowe, po zmianach wynoszą </w:t>
      </w:r>
      <w:r w:rsidR="009A4EED">
        <w:rPr>
          <w:b/>
        </w:rPr>
        <w:t>840.100,00</w:t>
      </w:r>
      <w:r w:rsidRPr="008E6B53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3) zwiększa się wydatki budżetu Miasta i Gminy Gołańcz na rok 201</w:t>
      </w:r>
      <w:r w:rsidR="000101D7">
        <w:t>9</w:t>
      </w:r>
      <w:r w:rsidRPr="008E6B53">
        <w:t xml:space="preserve"> o kwotę </w:t>
      </w:r>
      <w:r w:rsidR="00DD74BD">
        <w:rPr>
          <w:b/>
        </w:rPr>
        <w:t>847.</w:t>
      </w:r>
      <w:r w:rsidR="009148F3">
        <w:rPr>
          <w:b/>
        </w:rPr>
        <w:t>5</w:t>
      </w:r>
      <w:r w:rsidR="00DD74BD">
        <w:rPr>
          <w:b/>
        </w:rPr>
        <w:t>38,10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DD74BD">
        <w:rPr>
          <w:b/>
        </w:rPr>
        <w:t>41.164.</w:t>
      </w:r>
      <w:r w:rsidR="009148F3">
        <w:rPr>
          <w:b/>
        </w:rPr>
        <w:t>7</w:t>
      </w:r>
      <w:r w:rsidR="00DD74BD">
        <w:rPr>
          <w:b/>
        </w:rPr>
        <w:t>72,07</w:t>
      </w:r>
      <w:r w:rsidRPr="008E6B53">
        <w:rPr>
          <w:b/>
        </w:rPr>
        <w:t xml:space="preserve"> zł, </w:t>
      </w:r>
      <w:r w:rsidRPr="008E6B53">
        <w:t xml:space="preserve">zgodnie z załącznikami nr 2 i 3 do niniejszego zarządzenia, zmieniającymi  załączniki nr 2 i 3 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 Gminy Gołańcz z dnia 28 grudnia 201</w:t>
      </w:r>
      <w:r w:rsidR="009A4EED">
        <w:t>8</w:t>
      </w:r>
      <w:r w:rsidRPr="008E6B53">
        <w:t xml:space="preserve"> roku;</w:t>
      </w:r>
    </w:p>
    <w:p w:rsidR="008E6B53" w:rsidRPr="00292A31" w:rsidRDefault="008E6B53" w:rsidP="008E6B53">
      <w:pPr>
        <w:ind w:left="340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</w:t>
      </w:r>
      <w:r w:rsidR="009A4EED">
        <w:t>9</w:t>
      </w:r>
      <w:r w:rsidRPr="008E6B53">
        <w:t xml:space="preserve">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DD74BD">
        <w:rPr>
          <w:b/>
        </w:rPr>
        <w:t>37.</w:t>
      </w:r>
      <w:r w:rsidR="009148F3">
        <w:rPr>
          <w:b/>
        </w:rPr>
        <w:t>800.203,07</w:t>
      </w:r>
      <w:r w:rsidRPr="008E6B53">
        <w:rPr>
          <w:b/>
        </w:rPr>
        <w:t xml:space="preserve"> zł,</w:t>
      </w:r>
    </w:p>
    <w:p w:rsidR="00493313" w:rsidRDefault="008E6B53" w:rsidP="008E6B53">
      <w:pPr>
        <w:keepLines/>
        <w:ind w:left="567" w:hanging="227"/>
      </w:pPr>
      <w:r w:rsidRPr="008E6B53">
        <w:t xml:space="preserve">b) wydatki majątkowe, po zmianach wynoszą </w:t>
      </w:r>
      <w:r w:rsidR="00DD74BD">
        <w:rPr>
          <w:b/>
        </w:rPr>
        <w:t>3.364.569,00</w:t>
      </w:r>
      <w:r w:rsidRPr="008E6B53">
        <w:rPr>
          <w:b/>
        </w:rPr>
        <w:t xml:space="preserve"> zł</w:t>
      </w:r>
      <w:r w:rsidRPr="008E6B53">
        <w:t>.</w:t>
      </w:r>
    </w:p>
    <w:p w:rsidR="003F4D52" w:rsidRDefault="003F4D52" w:rsidP="00AA67FB">
      <w:pPr>
        <w:keepLines/>
      </w:pPr>
    </w:p>
    <w:p w:rsidR="00C91593" w:rsidRDefault="00C91593" w:rsidP="00AA67FB">
      <w:pPr>
        <w:keepLines/>
      </w:pPr>
    </w:p>
    <w:p w:rsidR="009C4F72" w:rsidRPr="00C02306" w:rsidRDefault="000101D7" w:rsidP="00C02306">
      <w:pPr>
        <w:keepNext/>
        <w:keepLines/>
        <w:spacing w:before="120" w:after="120"/>
      </w:pPr>
      <w:r>
        <w:t xml:space="preserve">      </w:t>
      </w:r>
      <w:r w:rsidR="005C6A21" w:rsidRPr="000101D7">
        <w:t>§ </w:t>
      </w:r>
      <w:r w:rsidR="000B3F19">
        <w:t>2</w:t>
      </w:r>
      <w:r w:rsidR="005C6A21" w:rsidRPr="005C6A21">
        <w:rPr>
          <w:b/>
        </w:rPr>
        <w:t>. </w:t>
      </w:r>
      <w:r w:rsidR="005C6A21"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F0258C" w:rsidRDefault="00F0258C" w:rsidP="009148F3">
      <w:pPr>
        <w:spacing w:line="240" w:lineRule="exact"/>
        <w:ind w:right="23"/>
        <w:rPr>
          <w:b/>
          <w:bCs/>
        </w:rPr>
      </w:pPr>
    </w:p>
    <w:p w:rsidR="003705CB" w:rsidRDefault="003705CB" w:rsidP="008B225E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7403C1">
        <w:rPr>
          <w:b/>
        </w:rPr>
        <w:t>48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A10A03">
        <w:rPr>
          <w:b/>
        </w:rPr>
        <w:t>9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403C1">
        <w:rPr>
          <w:b/>
          <w:bCs/>
        </w:rPr>
        <w:t>07 maja</w:t>
      </w:r>
      <w:r w:rsidR="00A10A03">
        <w:rPr>
          <w:b/>
          <w:bCs/>
        </w:rPr>
        <w:t xml:space="preserve"> 2019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6F7F68" w:rsidRDefault="006972A4" w:rsidP="006972A4">
      <w:pPr>
        <w:jc w:val="both"/>
      </w:pPr>
      <w:r>
        <w:t xml:space="preserve">- na podstawie pisma </w:t>
      </w:r>
      <w:r w:rsidR="001A48B2">
        <w:t xml:space="preserve">Wojewody Wielkopolskiego nr FB-I.3111.142.2019.6 z dnia 25 kwietnia 2019 r. w sprawie zwiększenia planu dotacji celowych na rok 2019 z przeznaczeniem na </w:t>
      </w:r>
      <w:r w:rsidR="00062190">
        <w:t xml:space="preserve">zwrot części podatku akcyzowego zawartego w cenie oleju </w:t>
      </w:r>
      <w:r w:rsidR="006F7F68">
        <w:t>napędowego</w:t>
      </w:r>
      <w:r w:rsidR="00062190">
        <w:t xml:space="preserve"> wykorzystywanego do produkcji rolnej przez producentów rolnych oraz na pokrycie kosztów postepowania w sprawie jego </w:t>
      </w:r>
      <w:r w:rsidR="006F7F68">
        <w:t>zwrotu</w:t>
      </w:r>
      <w:r w:rsidR="00062190">
        <w:t xml:space="preserve">, poniesionych w tym zakresie przez gminy województwa wielkopolskiego w I </w:t>
      </w:r>
      <w:r w:rsidR="006F7F68">
        <w:t xml:space="preserve">terminie płatniczym 2019 r. </w:t>
      </w:r>
    </w:p>
    <w:p w:rsidR="001B172E" w:rsidRDefault="001B172E" w:rsidP="006972A4">
      <w:pPr>
        <w:jc w:val="both"/>
        <w:rPr>
          <w:b/>
        </w:rPr>
      </w:pPr>
      <w:r w:rsidRPr="001B172E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6"/>
        <w:gridCol w:w="942"/>
        <w:gridCol w:w="4584"/>
        <w:gridCol w:w="1922"/>
      </w:tblGrid>
      <w:tr w:rsidR="001F4CA5" w:rsidRPr="001F4CA5" w:rsidTr="001A48B2">
        <w:trPr>
          <w:trHeight w:val="2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Zmiana</w:t>
            </w:r>
          </w:p>
        </w:tc>
      </w:tr>
      <w:tr w:rsidR="001F4CA5" w:rsidRPr="001F4CA5" w:rsidTr="001A48B2">
        <w:trPr>
          <w:trHeight w:val="2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010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Rolnictwo i łowiectwo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841 329,10</w:t>
            </w:r>
          </w:p>
        </w:tc>
      </w:tr>
      <w:tr w:rsidR="001F4CA5" w:rsidRPr="001F4CA5" w:rsidTr="001A48B2">
        <w:trPr>
          <w:trHeight w:val="2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A5">
              <w:rPr>
                <w:color w:val="000000"/>
              </w:rPr>
              <w:t>01095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4CA5">
              <w:rPr>
                <w:color w:val="000000"/>
              </w:rPr>
              <w:t>Pozostała działalność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4CA5">
              <w:rPr>
                <w:color w:val="000000"/>
              </w:rPr>
              <w:t>841 329,10</w:t>
            </w:r>
          </w:p>
        </w:tc>
      </w:tr>
      <w:tr w:rsidR="001F4CA5" w:rsidRPr="001F4CA5" w:rsidTr="001A48B2">
        <w:trPr>
          <w:trHeight w:val="2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A5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4CA5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4CA5">
              <w:rPr>
                <w:color w:val="000000"/>
              </w:rPr>
              <w:t>841 329,10</w:t>
            </w:r>
          </w:p>
        </w:tc>
      </w:tr>
    </w:tbl>
    <w:p w:rsidR="001F4CA5" w:rsidRDefault="001F4CA5" w:rsidP="001F4CA5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0"/>
        <w:gridCol w:w="1070"/>
        <w:gridCol w:w="3861"/>
        <w:gridCol w:w="1789"/>
      </w:tblGrid>
      <w:tr w:rsidR="001A48B2" w:rsidRPr="001A48B2" w:rsidTr="001A48B2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Zmiana</w:t>
            </w:r>
          </w:p>
        </w:tc>
      </w:tr>
      <w:tr w:rsidR="001A48B2" w:rsidRPr="001A48B2" w:rsidTr="001A48B2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Rolnictwo i łowiectwo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841 329,10</w:t>
            </w:r>
          </w:p>
        </w:tc>
      </w:tr>
      <w:tr w:rsidR="001A48B2" w:rsidRPr="001A48B2" w:rsidTr="001A48B2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01095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Pozostała działalność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841 329,10</w:t>
            </w:r>
          </w:p>
        </w:tc>
      </w:tr>
      <w:tr w:rsidR="001A48B2" w:rsidRPr="001A48B2" w:rsidTr="001A48B2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4010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Wynagrodzenia osobowe pracowników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5 000,00</w:t>
            </w:r>
          </w:p>
        </w:tc>
      </w:tr>
      <w:tr w:rsidR="001A48B2" w:rsidRPr="001A48B2" w:rsidTr="001A48B2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4110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Składki na ubezpieczenia społeczne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860,00</w:t>
            </w:r>
          </w:p>
        </w:tc>
      </w:tr>
      <w:tr w:rsidR="001A48B2" w:rsidRPr="001A48B2" w:rsidTr="001A48B2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4120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62,00</w:t>
            </w:r>
          </w:p>
        </w:tc>
      </w:tr>
      <w:tr w:rsidR="001A48B2" w:rsidRPr="001A48B2" w:rsidTr="001A48B2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4210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7 389,10</w:t>
            </w:r>
          </w:p>
        </w:tc>
      </w:tr>
      <w:tr w:rsidR="001A48B2" w:rsidRPr="001A48B2" w:rsidTr="001A48B2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3 185,00</w:t>
            </w:r>
          </w:p>
        </w:tc>
      </w:tr>
      <w:tr w:rsidR="001A48B2" w:rsidRPr="001A48B2" w:rsidTr="001A48B2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4430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Różne opłaty i składki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824 833,00</w:t>
            </w:r>
          </w:p>
        </w:tc>
      </w:tr>
    </w:tbl>
    <w:p w:rsidR="001A48B2" w:rsidRDefault="001A48B2" w:rsidP="001F4CA5">
      <w:pPr>
        <w:jc w:val="both"/>
        <w:rPr>
          <w:b/>
        </w:rPr>
      </w:pPr>
    </w:p>
    <w:p w:rsidR="00C3744D" w:rsidRDefault="00C3744D" w:rsidP="00C3744D">
      <w:pPr>
        <w:jc w:val="both"/>
      </w:pPr>
      <w:r>
        <w:t>- na podstawie pisma Wojewody Wielkopolskiego nr FB-I.3111.130.2019.8 z dnia 25 kwietnia 2019 r. w sprawie zwiększenia planu dotacji celowych na rok 2019 z przeznaczeniem na realizację zadań w zakresie wychowania przedszkolnego w roku 2019.</w:t>
      </w:r>
    </w:p>
    <w:p w:rsidR="00C3744D" w:rsidRDefault="00C3744D" w:rsidP="00C3744D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1F4CA5" w:rsidRPr="001F4CA5" w:rsidTr="001A48B2">
        <w:trPr>
          <w:trHeight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801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4 209,00</w:t>
            </w:r>
          </w:p>
        </w:tc>
      </w:tr>
      <w:tr w:rsidR="001F4CA5" w:rsidRPr="001F4CA5" w:rsidTr="001A48B2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A5">
              <w:rPr>
                <w:color w:val="000000"/>
              </w:rPr>
              <w:t>80103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4CA5">
              <w:rPr>
                <w:color w:val="000000"/>
              </w:rPr>
              <w:t>Oddziały przedszkolne w szkołach podstawowych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4CA5">
              <w:rPr>
                <w:color w:val="000000"/>
              </w:rPr>
              <w:t>4 209,00</w:t>
            </w:r>
          </w:p>
        </w:tc>
      </w:tr>
      <w:tr w:rsidR="001F4CA5" w:rsidRPr="001F4CA5" w:rsidTr="001A48B2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A5">
              <w:rPr>
                <w:color w:val="000000"/>
              </w:rPr>
              <w:t>2030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4CA5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4CA5">
              <w:rPr>
                <w:color w:val="000000"/>
              </w:rPr>
              <w:t>4 209,00</w:t>
            </w:r>
          </w:p>
        </w:tc>
      </w:tr>
    </w:tbl>
    <w:p w:rsidR="009D59E5" w:rsidRDefault="009D59E5" w:rsidP="00C3744D">
      <w:pPr>
        <w:jc w:val="both"/>
        <w:rPr>
          <w:b/>
        </w:rPr>
      </w:pPr>
    </w:p>
    <w:p w:rsidR="009D59E5" w:rsidRDefault="009D59E5" w:rsidP="00C3744D">
      <w:pPr>
        <w:jc w:val="both"/>
        <w:rPr>
          <w:b/>
        </w:rPr>
      </w:pPr>
    </w:p>
    <w:p w:rsidR="00C3744D" w:rsidRDefault="00C3744D" w:rsidP="00C3744D">
      <w:pPr>
        <w:jc w:val="both"/>
        <w:rPr>
          <w:b/>
        </w:rPr>
      </w:pPr>
      <w:r>
        <w:rPr>
          <w:b/>
        </w:rPr>
        <w:lastRenderedPageBreak/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AC25FC" w:rsidRPr="001A48B2" w:rsidTr="00F402E4">
        <w:trPr>
          <w:trHeight w:hRule="exact" w:val="283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4 209,00</w:t>
            </w:r>
          </w:p>
        </w:tc>
      </w:tr>
      <w:tr w:rsidR="00AC25FC" w:rsidRPr="001A48B2" w:rsidTr="00F402E4">
        <w:trPr>
          <w:trHeight w:hRule="exact"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80103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Oddziały przedszkolne w szkołach podstawowych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4 209,00</w:t>
            </w:r>
          </w:p>
        </w:tc>
      </w:tr>
      <w:tr w:rsidR="00AC25FC" w:rsidRPr="001A48B2" w:rsidTr="00F402E4">
        <w:trPr>
          <w:trHeight w:hRule="exact"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4010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Wynagrodzenia osobowe pracowników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5FC" w:rsidRPr="001A48B2" w:rsidRDefault="00AC25FC" w:rsidP="00F402E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4 209,00</w:t>
            </w:r>
          </w:p>
        </w:tc>
      </w:tr>
    </w:tbl>
    <w:p w:rsidR="00C3744D" w:rsidRDefault="00C3744D"/>
    <w:p w:rsidR="00C3744D" w:rsidRDefault="00C3744D" w:rsidP="00C3744D">
      <w:pPr>
        <w:jc w:val="both"/>
      </w:pPr>
      <w:r>
        <w:t>- na podstawie pisma Wojewody Wielkopolskiego nr FB-I.311</w:t>
      </w:r>
      <w:r w:rsidR="009D59E5">
        <w:t>1</w:t>
      </w:r>
      <w:r>
        <w:t>.1</w:t>
      </w:r>
      <w:r w:rsidR="009D59E5">
        <w:t>12</w:t>
      </w:r>
      <w:r>
        <w:t>.2019.8 z dnia 1</w:t>
      </w:r>
      <w:r w:rsidR="009D59E5">
        <w:t>2</w:t>
      </w:r>
      <w:r>
        <w:t xml:space="preserve"> kwietnia 2019 r. w sprawie zwiększenia planu dotacji celowych na rok 2019</w:t>
      </w:r>
      <w:r w:rsidR="00A7717A">
        <w:t xml:space="preserve"> stanowiących</w:t>
      </w:r>
      <w:bookmarkStart w:id="0" w:name="_GoBack"/>
      <w:bookmarkEnd w:id="0"/>
      <w:r w:rsidR="00A7717A">
        <w:t xml:space="preserve"> dotację na II kwartał 2019 </w:t>
      </w:r>
      <w:r>
        <w:t xml:space="preserve"> z przeznaczeniem na sfinansowanie wypłat zryczałtowanych dodatków energetycznych dla odbiorców wrażliwych energii elektrycznej oraz kosztów obsługi tego zadania realizowanego przez gminy w wysokości 2% łącznej kwoty dotacji wypłacanych w gminie.</w:t>
      </w:r>
    </w:p>
    <w:p w:rsidR="00C3744D" w:rsidRDefault="00C3744D" w:rsidP="00C3744D">
      <w:pPr>
        <w:jc w:val="both"/>
        <w:rPr>
          <w:b/>
        </w:rPr>
      </w:pPr>
      <w:r w:rsidRPr="001B172E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1F4CA5" w:rsidRPr="001F4CA5" w:rsidTr="001A48B2">
        <w:trPr>
          <w:trHeight w:val="2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F4CA5">
              <w:rPr>
                <w:b/>
                <w:bCs/>
                <w:color w:val="000000"/>
              </w:rPr>
              <w:t>1 500,00</w:t>
            </w:r>
          </w:p>
        </w:tc>
      </w:tr>
      <w:tr w:rsidR="001F4CA5" w:rsidRPr="001F4CA5" w:rsidTr="001A48B2">
        <w:trPr>
          <w:trHeight w:val="2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A5">
              <w:rPr>
                <w:color w:val="000000"/>
              </w:rPr>
              <w:t>85215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4CA5">
              <w:rPr>
                <w:color w:val="000000"/>
              </w:rPr>
              <w:t>Dodatki mieszkaniowe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4CA5">
              <w:rPr>
                <w:color w:val="000000"/>
              </w:rPr>
              <w:t>1 500,00</w:t>
            </w:r>
          </w:p>
        </w:tc>
      </w:tr>
      <w:tr w:rsidR="001F4CA5" w:rsidRPr="001F4CA5" w:rsidTr="001A48B2">
        <w:trPr>
          <w:trHeight w:val="2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A5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4CA5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4CA5" w:rsidRPr="001F4CA5" w:rsidRDefault="001F4CA5" w:rsidP="001F4CA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4CA5">
              <w:rPr>
                <w:color w:val="000000"/>
              </w:rPr>
              <w:t>1 500,00</w:t>
            </w:r>
          </w:p>
        </w:tc>
      </w:tr>
    </w:tbl>
    <w:p w:rsidR="00C3744D" w:rsidRPr="00AC25FC" w:rsidRDefault="00C3744D" w:rsidP="00AC25FC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1A48B2" w:rsidRPr="001A48B2" w:rsidTr="00507483">
        <w:trPr>
          <w:trHeight w:hRule="exact" w:val="283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1A48B2">
              <w:rPr>
                <w:b/>
                <w:bCs/>
                <w:color w:val="000000"/>
              </w:rPr>
              <w:t>1 500,00</w:t>
            </w:r>
          </w:p>
        </w:tc>
      </w:tr>
      <w:tr w:rsidR="001A48B2" w:rsidRPr="001A48B2" w:rsidTr="00507483">
        <w:trPr>
          <w:trHeight w:hRule="exact"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85215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Dodatki mieszkaniowe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1 500,00</w:t>
            </w:r>
          </w:p>
        </w:tc>
      </w:tr>
      <w:tr w:rsidR="001A48B2" w:rsidRPr="001A48B2" w:rsidTr="00507483">
        <w:trPr>
          <w:trHeight w:hRule="exact"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3110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Świadczenia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1 471,00</w:t>
            </w:r>
          </w:p>
        </w:tc>
      </w:tr>
      <w:tr w:rsidR="001A48B2" w:rsidRPr="001A48B2" w:rsidTr="00507483">
        <w:trPr>
          <w:trHeight w:hRule="exact"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A48B2">
              <w:rPr>
                <w:color w:val="000000"/>
              </w:rPr>
              <w:t>4210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A48B2">
              <w:rPr>
                <w:color w:val="000000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B2" w:rsidRPr="001A48B2" w:rsidRDefault="001A48B2" w:rsidP="001A48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A48B2">
              <w:rPr>
                <w:color w:val="000000"/>
              </w:rPr>
              <w:t>29,00</w:t>
            </w:r>
          </w:p>
        </w:tc>
      </w:tr>
    </w:tbl>
    <w:p w:rsidR="00507483" w:rsidRDefault="00507483" w:rsidP="00507483">
      <w:pPr>
        <w:jc w:val="both"/>
      </w:pPr>
    </w:p>
    <w:p w:rsidR="006C785B" w:rsidRDefault="00507483" w:rsidP="001B172E">
      <w:pPr>
        <w:jc w:val="both"/>
        <w:rPr>
          <w:b/>
        </w:rPr>
      </w:pPr>
      <w:r>
        <w:t>- na podstawie pisma Wojewody Wielkopolskiego nr FB-I.3111.135.2019.8 z dnia 30 kwietnia 2019 r. w sprawie zwiększenia planu dotacji celowych na rok 2019 z przeznaczeniem na realizację zadań związanych z przyznawaniem Karty Dużej Rodziny wynikających z ustawy o Karcie Dużej Rodziny.</w:t>
      </w:r>
    </w:p>
    <w:p w:rsidR="00507483" w:rsidRDefault="00507483" w:rsidP="001B172E">
      <w:pPr>
        <w:jc w:val="both"/>
        <w:rPr>
          <w:b/>
        </w:rPr>
      </w:pPr>
      <w:r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507483" w:rsidRPr="00507483" w:rsidTr="00507483">
        <w:trPr>
          <w:trHeight w:val="2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7483">
              <w:rPr>
                <w:b/>
                <w:bCs/>
                <w:color w:val="000000"/>
              </w:rPr>
              <w:t>855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07483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07483">
              <w:rPr>
                <w:b/>
                <w:bCs/>
                <w:color w:val="000000"/>
              </w:rPr>
              <w:t>500,00</w:t>
            </w:r>
          </w:p>
        </w:tc>
      </w:tr>
      <w:tr w:rsidR="00507483" w:rsidRPr="00507483" w:rsidTr="00507483">
        <w:trPr>
          <w:trHeight w:val="2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483">
              <w:rPr>
                <w:color w:val="000000"/>
              </w:rPr>
              <w:t>85503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07483">
              <w:rPr>
                <w:color w:val="000000"/>
              </w:rPr>
              <w:t>Karta Dużej Rodziny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7483">
              <w:rPr>
                <w:color w:val="000000"/>
              </w:rPr>
              <w:t>500,00</w:t>
            </w:r>
          </w:p>
        </w:tc>
      </w:tr>
      <w:tr w:rsidR="00507483" w:rsidRPr="00507483" w:rsidTr="00507483">
        <w:trPr>
          <w:trHeight w:val="2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483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07483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483" w:rsidRPr="00507483" w:rsidRDefault="00507483" w:rsidP="0050748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7483">
              <w:rPr>
                <w:color w:val="000000"/>
              </w:rPr>
              <w:t>500,00</w:t>
            </w:r>
          </w:p>
        </w:tc>
      </w:tr>
    </w:tbl>
    <w:p w:rsidR="004617B7" w:rsidRDefault="004617B7" w:rsidP="001B172E">
      <w:pPr>
        <w:jc w:val="both"/>
        <w:rPr>
          <w:b/>
        </w:rPr>
      </w:pPr>
      <w:r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1"/>
        <w:gridCol w:w="1071"/>
        <w:gridCol w:w="3859"/>
        <w:gridCol w:w="1789"/>
      </w:tblGrid>
      <w:tr w:rsidR="009148F3" w:rsidRPr="009148F3" w:rsidTr="009148F3">
        <w:trPr>
          <w:trHeight w:hRule="exact" w:val="34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9148F3">
              <w:rPr>
                <w:b/>
                <w:bCs/>
                <w:color w:val="000000"/>
              </w:rPr>
              <w:t>855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9148F3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9148F3">
              <w:rPr>
                <w:b/>
                <w:bCs/>
                <w:color w:val="000000"/>
              </w:rPr>
              <w:t>500,00</w:t>
            </w:r>
          </w:p>
        </w:tc>
      </w:tr>
      <w:tr w:rsidR="009148F3" w:rsidRPr="009148F3" w:rsidTr="009148F3">
        <w:trPr>
          <w:trHeight w:hRule="exact"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9148F3">
              <w:rPr>
                <w:color w:val="000000"/>
              </w:rPr>
              <w:t>85503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9148F3">
              <w:rPr>
                <w:color w:val="000000"/>
              </w:rPr>
              <w:t>Karta Dużej Rodziny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9148F3">
              <w:rPr>
                <w:color w:val="000000"/>
              </w:rPr>
              <w:t>500,00</w:t>
            </w:r>
          </w:p>
        </w:tc>
      </w:tr>
      <w:tr w:rsidR="009148F3" w:rsidRPr="009148F3" w:rsidTr="009148F3">
        <w:trPr>
          <w:trHeight w:hRule="exact"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9148F3">
              <w:rPr>
                <w:color w:val="000000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9148F3">
              <w:rPr>
                <w:color w:val="000000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8F3" w:rsidRPr="009148F3" w:rsidRDefault="009148F3" w:rsidP="009148F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9148F3">
              <w:rPr>
                <w:color w:val="000000"/>
              </w:rPr>
              <w:t>500,00</w:t>
            </w:r>
          </w:p>
        </w:tc>
      </w:tr>
    </w:tbl>
    <w:p w:rsidR="009148F3" w:rsidRDefault="00AB2995" w:rsidP="001B172E">
      <w:pPr>
        <w:jc w:val="both"/>
      </w:pPr>
      <w:r w:rsidRPr="00AB2995">
        <w:t xml:space="preserve"> Dodatkowe zmiany w </w:t>
      </w:r>
      <w:r>
        <w:t>budżecie to: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1"/>
        <w:gridCol w:w="1071"/>
        <w:gridCol w:w="3859"/>
        <w:gridCol w:w="1789"/>
      </w:tblGrid>
      <w:tr w:rsidR="006D689A" w:rsidRPr="006D689A" w:rsidTr="006D689A">
        <w:trPr>
          <w:trHeight w:val="34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6D689A">
              <w:rPr>
                <w:b/>
                <w:bCs/>
                <w:color w:val="000000"/>
              </w:rPr>
              <w:t>751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6D689A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6D689A">
              <w:rPr>
                <w:b/>
                <w:bCs/>
                <w:color w:val="000000"/>
              </w:rPr>
              <w:t>0,00</w:t>
            </w:r>
          </w:p>
        </w:tc>
      </w:tr>
      <w:tr w:rsidR="006D689A" w:rsidRPr="006D689A" w:rsidTr="006D689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6D689A">
              <w:rPr>
                <w:color w:val="000000"/>
              </w:rPr>
              <w:t>75113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6D689A">
              <w:rPr>
                <w:color w:val="000000"/>
              </w:rPr>
              <w:t>Wybory do Parlamentu Europejskiego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6D689A">
              <w:rPr>
                <w:color w:val="000000"/>
              </w:rPr>
              <w:t>0,00</w:t>
            </w:r>
          </w:p>
        </w:tc>
      </w:tr>
      <w:tr w:rsidR="006D689A" w:rsidRPr="006D689A" w:rsidTr="006D689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6D689A">
              <w:rPr>
                <w:color w:val="000000"/>
              </w:rPr>
              <w:t>4110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6D689A">
              <w:rPr>
                <w:color w:val="000000"/>
              </w:rPr>
              <w:t>Składki na ubezpieczenia społeczne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6D689A">
              <w:rPr>
                <w:color w:val="000000"/>
              </w:rPr>
              <w:t>119,00</w:t>
            </w:r>
          </w:p>
        </w:tc>
      </w:tr>
      <w:tr w:rsidR="006D689A" w:rsidRPr="006D689A" w:rsidTr="006D689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6D689A">
              <w:rPr>
                <w:color w:val="000000"/>
              </w:rPr>
              <w:t>4120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6D689A">
              <w:rPr>
                <w:color w:val="000000"/>
              </w:rPr>
              <w:t xml:space="preserve">Składki na Fundusz Pracy oraz </w:t>
            </w:r>
            <w:r w:rsidRPr="006D689A">
              <w:rPr>
                <w:color w:val="000000"/>
              </w:rPr>
              <w:lastRenderedPageBreak/>
              <w:t>Solidarnościowy Fundusz Wsparcia Osób Niepełnosprawnych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6D689A">
              <w:rPr>
                <w:color w:val="000000"/>
              </w:rPr>
              <w:lastRenderedPageBreak/>
              <w:t>18,00</w:t>
            </w:r>
          </w:p>
        </w:tc>
      </w:tr>
      <w:tr w:rsidR="006D689A" w:rsidRPr="006D689A" w:rsidTr="006D689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6D689A">
              <w:rPr>
                <w:color w:val="000000"/>
              </w:rPr>
              <w:t>4170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6D689A">
              <w:rPr>
                <w:color w:val="000000"/>
              </w:rPr>
              <w:t>Wynagrodzenia bezosobowe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6D689A">
              <w:rPr>
                <w:color w:val="000000"/>
              </w:rPr>
              <w:t>690,00</w:t>
            </w:r>
          </w:p>
        </w:tc>
      </w:tr>
      <w:tr w:rsidR="006D689A" w:rsidRPr="006D689A" w:rsidTr="006D689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6D689A">
              <w:rPr>
                <w:color w:val="000000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6D689A">
              <w:rPr>
                <w:color w:val="000000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6D689A">
              <w:rPr>
                <w:color w:val="000000"/>
              </w:rPr>
              <w:t>-147,00</w:t>
            </w:r>
          </w:p>
        </w:tc>
      </w:tr>
      <w:tr w:rsidR="006D689A" w:rsidRPr="006D689A" w:rsidTr="006D689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6D689A">
              <w:rPr>
                <w:color w:val="000000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6D689A">
              <w:rPr>
                <w:color w:val="000000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6D689A">
              <w:rPr>
                <w:color w:val="000000"/>
              </w:rPr>
              <w:t>-380,00</w:t>
            </w:r>
          </w:p>
        </w:tc>
      </w:tr>
      <w:tr w:rsidR="006D689A" w:rsidRPr="006D689A" w:rsidTr="006D689A">
        <w:trPr>
          <w:trHeight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6D689A">
              <w:rPr>
                <w:color w:val="000000"/>
              </w:rPr>
              <w:t>4410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6D689A">
              <w:rPr>
                <w:color w:val="000000"/>
              </w:rPr>
              <w:t>Podróże służbowe krajowe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89A" w:rsidRPr="006D689A" w:rsidRDefault="006D689A" w:rsidP="006D689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6D689A">
              <w:rPr>
                <w:color w:val="000000"/>
              </w:rPr>
              <w:t>-300,00</w:t>
            </w:r>
          </w:p>
        </w:tc>
      </w:tr>
    </w:tbl>
    <w:p w:rsidR="004771F1" w:rsidRPr="004771F1" w:rsidRDefault="006D689A" w:rsidP="004771F1">
      <w:r>
        <w:t xml:space="preserve">W rozdziale wybory do Parlamentu </w:t>
      </w:r>
      <w:r w:rsidR="004771F1">
        <w:t xml:space="preserve">Europejskiego </w:t>
      </w:r>
      <w:r>
        <w:t>dokonuje przeniesień pomiędzy paragrafami w ramach rozdziału</w:t>
      </w:r>
      <w:r w:rsidR="004771F1">
        <w:t>.</w:t>
      </w:r>
    </w:p>
    <w:p w:rsidR="004771F1" w:rsidRPr="004771F1" w:rsidRDefault="004771F1" w:rsidP="004771F1"/>
    <w:p w:rsidR="004771F1" w:rsidRDefault="004771F1" w:rsidP="004771F1"/>
    <w:p w:rsidR="004771F1" w:rsidRDefault="004771F1" w:rsidP="004771F1"/>
    <w:sectPr w:rsidR="004771F1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64" w:rsidRDefault="005C7664" w:rsidP="00FB2ECD">
      <w:r>
        <w:separator/>
      </w:r>
    </w:p>
  </w:endnote>
  <w:endnote w:type="continuationSeparator" w:id="0">
    <w:p w:rsidR="005C7664" w:rsidRDefault="005C7664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17A">
          <w:rPr>
            <w:noProof/>
          </w:rPr>
          <w:t>3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64" w:rsidRDefault="005C7664" w:rsidP="00FB2ECD">
      <w:r>
        <w:separator/>
      </w:r>
    </w:p>
  </w:footnote>
  <w:footnote w:type="continuationSeparator" w:id="0">
    <w:p w:rsidR="005C7664" w:rsidRDefault="005C7664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1AE4"/>
    <w:rsid w:val="000322FD"/>
    <w:rsid w:val="0003324A"/>
    <w:rsid w:val="00033486"/>
    <w:rsid w:val="00037911"/>
    <w:rsid w:val="00043427"/>
    <w:rsid w:val="0004487B"/>
    <w:rsid w:val="00046511"/>
    <w:rsid w:val="00051C8F"/>
    <w:rsid w:val="00051E56"/>
    <w:rsid w:val="00053488"/>
    <w:rsid w:val="0005521C"/>
    <w:rsid w:val="000569AF"/>
    <w:rsid w:val="00057779"/>
    <w:rsid w:val="000602FC"/>
    <w:rsid w:val="00062190"/>
    <w:rsid w:val="00064890"/>
    <w:rsid w:val="00070BCF"/>
    <w:rsid w:val="00073464"/>
    <w:rsid w:val="00075B95"/>
    <w:rsid w:val="00076E20"/>
    <w:rsid w:val="0009185C"/>
    <w:rsid w:val="000971EC"/>
    <w:rsid w:val="000A2C9C"/>
    <w:rsid w:val="000A5041"/>
    <w:rsid w:val="000A6A52"/>
    <w:rsid w:val="000B0B2C"/>
    <w:rsid w:val="000B21AE"/>
    <w:rsid w:val="000B3F19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10AD"/>
    <w:rsid w:val="001655A4"/>
    <w:rsid w:val="00180023"/>
    <w:rsid w:val="00183DC5"/>
    <w:rsid w:val="00184411"/>
    <w:rsid w:val="0018478D"/>
    <w:rsid w:val="0018754B"/>
    <w:rsid w:val="00187657"/>
    <w:rsid w:val="00192156"/>
    <w:rsid w:val="001A48B2"/>
    <w:rsid w:val="001A5C10"/>
    <w:rsid w:val="001B0ECD"/>
    <w:rsid w:val="001B172E"/>
    <w:rsid w:val="001B61F7"/>
    <w:rsid w:val="001B7854"/>
    <w:rsid w:val="001C182B"/>
    <w:rsid w:val="001D0B7D"/>
    <w:rsid w:val="001F360E"/>
    <w:rsid w:val="001F3BA0"/>
    <w:rsid w:val="001F4CA5"/>
    <w:rsid w:val="002003F3"/>
    <w:rsid w:val="00207795"/>
    <w:rsid w:val="00207F21"/>
    <w:rsid w:val="00215284"/>
    <w:rsid w:val="00215C00"/>
    <w:rsid w:val="00217586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E1A83"/>
    <w:rsid w:val="002F1800"/>
    <w:rsid w:val="002F2902"/>
    <w:rsid w:val="002F442A"/>
    <w:rsid w:val="002F49C6"/>
    <w:rsid w:val="0031063E"/>
    <w:rsid w:val="00313156"/>
    <w:rsid w:val="00317252"/>
    <w:rsid w:val="00324C64"/>
    <w:rsid w:val="00335773"/>
    <w:rsid w:val="00343384"/>
    <w:rsid w:val="0034360D"/>
    <w:rsid w:val="00353FF6"/>
    <w:rsid w:val="00354F42"/>
    <w:rsid w:val="00356643"/>
    <w:rsid w:val="00367266"/>
    <w:rsid w:val="003705CB"/>
    <w:rsid w:val="00370BAF"/>
    <w:rsid w:val="00371145"/>
    <w:rsid w:val="0037579A"/>
    <w:rsid w:val="003838FB"/>
    <w:rsid w:val="00385184"/>
    <w:rsid w:val="003871F2"/>
    <w:rsid w:val="00387A55"/>
    <w:rsid w:val="003911AB"/>
    <w:rsid w:val="00391EF8"/>
    <w:rsid w:val="003937D5"/>
    <w:rsid w:val="003B0A3F"/>
    <w:rsid w:val="003B500F"/>
    <w:rsid w:val="003B5ED7"/>
    <w:rsid w:val="003C42D9"/>
    <w:rsid w:val="003C4FA9"/>
    <w:rsid w:val="003D0304"/>
    <w:rsid w:val="003D3E06"/>
    <w:rsid w:val="003E00E0"/>
    <w:rsid w:val="003E23EB"/>
    <w:rsid w:val="003E33B0"/>
    <w:rsid w:val="003E5198"/>
    <w:rsid w:val="003F2733"/>
    <w:rsid w:val="003F4D52"/>
    <w:rsid w:val="003F6024"/>
    <w:rsid w:val="003F6F89"/>
    <w:rsid w:val="004044C1"/>
    <w:rsid w:val="004051A6"/>
    <w:rsid w:val="00406BAD"/>
    <w:rsid w:val="00410819"/>
    <w:rsid w:val="00410A72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51DDE"/>
    <w:rsid w:val="004617B7"/>
    <w:rsid w:val="00466362"/>
    <w:rsid w:val="00470379"/>
    <w:rsid w:val="0047289D"/>
    <w:rsid w:val="00473B96"/>
    <w:rsid w:val="00474F0B"/>
    <w:rsid w:val="004763AC"/>
    <w:rsid w:val="004771F1"/>
    <w:rsid w:val="00483FAB"/>
    <w:rsid w:val="00486375"/>
    <w:rsid w:val="004871D1"/>
    <w:rsid w:val="004873E1"/>
    <w:rsid w:val="004900FC"/>
    <w:rsid w:val="00492512"/>
    <w:rsid w:val="0049309C"/>
    <w:rsid w:val="00493313"/>
    <w:rsid w:val="004966AE"/>
    <w:rsid w:val="004A0126"/>
    <w:rsid w:val="004A2B54"/>
    <w:rsid w:val="004B5683"/>
    <w:rsid w:val="004B7CA3"/>
    <w:rsid w:val="004D1EB9"/>
    <w:rsid w:val="004E15D7"/>
    <w:rsid w:val="004E24A4"/>
    <w:rsid w:val="004F0DAD"/>
    <w:rsid w:val="004F5213"/>
    <w:rsid w:val="00502142"/>
    <w:rsid w:val="00505100"/>
    <w:rsid w:val="00507483"/>
    <w:rsid w:val="00507EFB"/>
    <w:rsid w:val="00512D67"/>
    <w:rsid w:val="00512F56"/>
    <w:rsid w:val="00513E98"/>
    <w:rsid w:val="00520C42"/>
    <w:rsid w:val="00531DA3"/>
    <w:rsid w:val="00536921"/>
    <w:rsid w:val="0054479D"/>
    <w:rsid w:val="00545B84"/>
    <w:rsid w:val="005465E8"/>
    <w:rsid w:val="00546636"/>
    <w:rsid w:val="005570EB"/>
    <w:rsid w:val="005614B0"/>
    <w:rsid w:val="005639FB"/>
    <w:rsid w:val="0057128E"/>
    <w:rsid w:val="00575B0E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B0EC3"/>
    <w:rsid w:val="005B5328"/>
    <w:rsid w:val="005B6CDA"/>
    <w:rsid w:val="005C1AC5"/>
    <w:rsid w:val="005C5258"/>
    <w:rsid w:val="005C670F"/>
    <w:rsid w:val="005C6A21"/>
    <w:rsid w:val="005C7292"/>
    <w:rsid w:val="005C7664"/>
    <w:rsid w:val="005C7793"/>
    <w:rsid w:val="005D1220"/>
    <w:rsid w:val="005D69F6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972A4"/>
    <w:rsid w:val="006A2853"/>
    <w:rsid w:val="006A5F5B"/>
    <w:rsid w:val="006B1025"/>
    <w:rsid w:val="006C0B39"/>
    <w:rsid w:val="006C3AEB"/>
    <w:rsid w:val="006C5070"/>
    <w:rsid w:val="006C785B"/>
    <w:rsid w:val="006C7D98"/>
    <w:rsid w:val="006D689A"/>
    <w:rsid w:val="006E2C15"/>
    <w:rsid w:val="006E5D3F"/>
    <w:rsid w:val="006E6F7F"/>
    <w:rsid w:val="006F1478"/>
    <w:rsid w:val="006F66A2"/>
    <w:rsid w:val="006F7F68"/>
    <w:rsid w:val="00700E1E"/>
    <w:rsid w:val="0072396B"/>
    <w:rsid w:val="00730A7E"/>
    <w:rsid w:val="00735513"/>
    <w:rsid w:val="0073698D"/>
    <w:rsid w:val="007403C1"/>
    <w:rsid w:val="007419E2"/>
    <w:rsid w:val="007423DA"/>
    <w:rsid w:val="007430EF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249BE"/>
    <w:rsid w:val="0083339E"/>
    <w:rsid w:val="008350B0"/>
    <w:rsid w:val="00845CB4"/>
    <w:rsid w:val="00846915"/>
    <w:rsid w:val="00846B6F"/>
    <w:rsid w:val="00882333"/>
    <w:rsid w:val="00890318"/>
    <w:rsid w:val="00893F6C"/>
    <w:rsid w:val="00895846"/>
    <w:rsid w:val="00897F9A"/>
    <w:rsid w:val="008A1A35"/>
    <w:rsid w:val="008A3C3D"/>
    <w:rsid w:val="008B0823"/>
    <w:rsid w:val="008B225E"/>
    <w:rsid w:val="008C174D"/>
    <w:rsid w:val="008C79B4"/>
    <w:rsid w:val="008C7A70"/>
    <w:rsid w:val="008D5C51"/>
    <w:rsid w:val="008D7C96"/>
    <w:rsid w:val="008E1170"/>
    <w:rsid w:val="008E47CA"/>
    <w:rsid w:val="008E4896"/>
    <w:rsid w:val="008E6B53"/>
    <w:rsid w:val="008F0602"/>
    <w:rsid w:val="008F28E3"/>
    <w:rsid w:val="008F4504"/>
    <w:rsid w:val="008F5D87"/>
    <w:rsid w:val="0090682D"/>
    <w:rsid w:val="0090732F"/>
    <w:rsid w:val="00907705"/>
    <w:rsid w:val="009112C2"/>
    <w:rsid w:val="009148F3"/>
    <w:rsid w:val="0091789B"/>
    <w:rsid w:val="00921994"/>
    <w:rsid w:val="00921B96"/>
    <w:rsid w:val="00921F21"/>
    <w:rsid w:val="00926514"/>
    <w:rsid w:val="009378A3"/>
    <w:rsid w:val="009379CD"/>
    <w:rsid w:val="009449D6"/>
    <w:rsid w:val="00950DD6"/>
    <w:rsid w:val="00953625"/>
    <w:rsid w:val="00956886"/>
    <w:rsid w:val="00956BB9"/>
    <w:rsid w:val="00957F21"/>
    <w:rsid w:val="00967E63"/>
    <w:rsid w:val="00975CB9"/>
    <w:rsid w:val="00981783"/>
    <w:rsid w:val="0098731E"/>
    <w:rsid w:val="00992253"/>
    <w:rsid w:val="00992916"/>
    <w:rsid w:val="00992C6F"/>
    <w:rsid w:val="0099660C"/>
    <w:rsid w:val="009A4EED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59E5"/>
    <w:rsid w:val="009D768D"/>
    <w:rsid w:val="009E661F"/>
    <w:rsid w:val="009F4147"/>
    <w:rsid w:val="00A00385"/>
    <w:rsid w:val="00A10A03"/>
    <w:rsid w:val="00A22C19"/>
    <w:rsid w:val="00A31B03"/>
    <w:rsid w:val="00A34AEF"/>
    <w:rsid w:val="00A41BA5"/>
    <w:rsid w:val="00A42501"/>
    <w:rsid w:val="00A42DD7"/>
    <w:rsid w:val="00A47A61"/>
    <w:rsid w:val="00A53D90"/>
    <w:rsid w:val="00A60677"/>
    <w:rsid w:val="00A6576C"/>
    <w:rsid w:val="00A660B3"/>
    <w:rsid w:val="00A70F49"/>
    <w:rsid w:val="00A71A43"/>
    <w:rsid w:val="00A72ADF"/>
    <w:rsid w:val="00A769AC"/>
    <w:rsid w:val="00A77075"/>
    <w:rsid w:val="00A7717A"/>
    <w:rsid w:val="00A81401"/>
    <w:rsid w:val="00A94F62"/>
    <w:rsid w:val="00AA374A"/>
    <w:rsid w:val="00AA6086"/>
    <w:rsid w:val="00AA67FB"/>
    <w:rsid w:val="00AA7BC1"/>
    <w:rsid w:val="00AA7CD3"/>
    <w:rsid w:val="00AB2995"/>
    <w:rsid w:val="00AB2B42"/>
    <w:rsid w:val="00AB3833"/>
    <w:rsid w:val="00AB5F75"/>
    <w:rsid w:val="00AB767A"/>
    <w:rsid w:val="00AC10EB"/>
    <w:rsid w:val="00AC25FC"/>
    <w:rsid w:val="00AC6B97"/>
    <w:rsid w:val="00AD5B35"/>
    <w:rsid w:val="00AD74FB"/>
    <w:rsid w:val="00AE4070"/>
    <w:rsid w:val="00AE6ECB"/>
    <w:rsid w:val="00AE7CB8"/>
    <w:rsid w:val="00AF14C5"/>
    <w:rsid w:val="00AF5FDB"/>
    <w:rsid w:val="00B0326A"/>
    <w:rsid w:val="00B04DAB"/>
    <w:rsid w:val="00B10B43"/>
    <w:rsid w:val="00B13846"/>
    <w:rsid w:val="00B15717"/>
    <w:rsid w:val="00B174D7"/>
    <w:rsid w:val="00B21305"/>
    <w:rsid w:val="00B21B3C"/>
    <w:rsid w:val="00B42AE4"/>
    <w:rsid w:val="00B43F4E"/>
    <w:rsid w:val="00B55BE8"/>
    <w:rsid w:val="00B5763C"/>
    <w:rsid w:val="00B61692"/>
    <w:rsid w:val="00B64C4B"/>
    <w:rsid w:val="00B66B5D"/>
    <w:rsid w:val="00B80BCC"/>
    <w:rsid w:val="00B8284E"/>
    <w:rsid w:val="00B832B6"/>
    <w:rsid w:val="00B84318"/>
    <w:rsid w:val="00B874B6"/>
    <w:rsid w:val="00B95FA4"/>
    <w:rsid w:val="00BA29D8"/>
    <w:rsid w:val="00BA3881"/>
    <w:rsid w:val="00BA5697"/>
    <w:rsid w:val="00BB08E4"/>
    <w:rsid w:val="00BB206E"/>
    <w:rsid w:val="00BB3D18"/>
    <w:rsid w:val="00BB422C"/>
    <w:rsid w:val="00BB516C"/>
    <w:rsid w:val="00BC2381"/>
    <w:rsid w:val="00BC6E90"/>
    <w:rsid w:val="00BC7E34"/>
    <w:rsid w:val="00BD2934"/>
    <w:rsid w:val="00BD53EB"/>
    <w:rsid w:val="00BD57B4"/>
    <w:rsid w:val="00BD77E2"/>
    <w:rsid w:val="00BE13E7"/>
    <w:rsid w:val="00BE4098"/>
    <w:rsid w:val="00BE56BB"/>
    <w:rsid w:val="00BF1E47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6127"/>
    <w:rsid w:val="00C269B4"/>
    <w:rsid w:val="00C3744D"/>
    <w:rsid w:val="00C460E7"/>
    <w:rsid w:val="00C47074"/>
    <w:rsid w:val="00C541A8"/>
    <w:rsid w:val="00C56184"/>
    <w:rsid w:val="00C6177F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63D3"/>
    <w:rsid w:val="00CD0311"/>
    <w:rsid w:val="00CD4103"/>
    <w:rsid w:val="00CE430E"/>
    <w:rsid w:val="00CE456B"/>
    <w:rsid w:val="00CE73E3"/>
    <w:rsid w:val="00CF05BF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780E"/>
    <w:rsid w:val="00D97EBB"/>
    <w:rsid w:val="00DA13FA"/>
    <w:rsid w:val="00DA1B85"/>
    <w:rsid w:val="00DB1192"/>
    <w:rsid w:val="00DB37F4"/>
    <w:rsid w:val="00DB5133"/>
    <w:rsid w:val="00DB62BA"/>
    <w:rsid w:val="00DC2A8B"/>
    <w:rsid w:val="00DC3877"/>
    <w:rsid w:val="00DC5DEA"/>
    <w:rsid w:val="00DD1610"/>
    <w:rsid w:val="00DD1F12"/>
    <w:rsid w:val="00DD1FE5"/>
    <w:rsid w:val="00DD74BD"/>
    <w:rsid w:val="00DE2F5F"/>
    <w:rsid w:val="00DE4801"/>
    <w:rsid w:val="00DF0F4C"/>
    <w:rsid w:val="00DF582E"/>
    <w:rsid w:val="00DF61FE"/>
    <w:rsid w:val="00DF63C0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210A3"/>
    <w:rsid w:val="00E237D8"/>
    <w:rsid w:val="00E31449"/>
    <w:rsid w:val="00E340CA"/>
    <w:rsid w:val="00E36B0C"/>
    <w:rsid w:val="00E37C82"/>
    <w:rsid w:val="00E40416"/>
    <w:rsid w:val="00E41C5F"/>
    <w:rsid w:val="00E4608B"/>
    <w:rsid w:val="00E467F3"/>
    <w:rsid w:val="00E47FF9"/>
    <w:rsid w:val="00E6136B"/>
    <w:rsid w:val="00E66A2B"/>
    <w:rsid w:val="00E7478F"/>
    <w:rsid w:val="00E824A3"/>
    <w:rsid w:val="00E863BE"/>
    <w:rsid w:val="00E94142"/>
    <w:rsid w:val="00E96C27"/>
    <w:rsid w:val="00EA52E9"/>
    <w:rsid w:val="00EA5A85"/>
    <w:rsid w:val="00EB362A"/>
    <w:rsid w:val="00EB754F"/>
    <w:rsid w:val="00EC5390"/>
    <w:rsid w:val="00EC54F6"/>
    <w:rsid w:val="00EC748A"/>
    <w:rsid w:val="00ED0EDF"/>
    <w:rsid w:val="00ED1FFA"/>
    <w:rsid w:val="00ED48B0"/>
    <w:rsid w:val="00EE2617"/>
    <w:rsid w:val="00EE3815"/>
    <w:rsid w:val="00EE7D9E"/>
    <w:rsid w:val="00F00903"/>
    <w:rsid w:val="00F0258C"/>
    <w:rsid w:val="00F03EE5"/>
    <w:rsid w:val="00F14FC1"/>
    <w:rsid w:val="00F231D8"/>
    <w:rsid w:val="00F3421F"/>
    <w:rsid w:val="00F3481E"/>
    <w:rsid w:val="00F402D7"/>
    <w:rsid w:val="00F459CC"/>
    <w:rsid w:val="00F46CBA"/>
    <w:rsid w:val="00F50FD4"/>
    <w:rsid w:val="00F57731"/>
    <w:rsid w:val="00F62D33"/>
    <w:rsid w:val="00F67F11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6F50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B058-C843-4082-9A7B-AB15FB71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321</cp:revision>
  <cp:lastPrinted>2019-05-07T12:08:00Z</cp:lastPrinted>
  <dcterms:created xsi:type="dcterms:W3CDTF">2017-02-01T12:39:00Z</dcterms:created>
  <dcterms:modified xsi:type="dcterms:W3CDTF">2019-05-09T08:51:00Z</dcterms:modified>
</cp:coreProperties>
</file>