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844" w:rsidRPr="0033470C" w:rsidRDefault="00037844" w:rsidP="0033470C">
      <w:pPr>
        <w:pStyle w:val="Nagwek2"/>
        <w:jc w:val="center"/>
        <w:rPr>
          <w:b/>
        </w:rPr>
      </w:pPr>
      <w:bookmarkStart w:id="0" w:name="_Toc184008296"/>
      <w:bookmarkStart w:id="1" w:name="_Toc184008302"/>
      <w:r w:rsidRPr="0033470C">
        <w:rPr>
          <w:b/>
        </w:rPr>
        <w:t xml:space="preserve">Ocena wdrożenia „Programu Ochrony środowiska dla Miasta i Gminy Gołańcz na lata 2016-2019 z perspektywą do roku 2025 – uchwała rady XXV/264/17 </w:t>
      </w:r>
      <w:proofErr w:type="spellStart"/>
      <w:r w:rsidRPr="0033470C">
        <w:rPr>
          <w:b/>
        </w:rPr>
        <w:t>RMiG</w:t>
      </w:r>
      <w:proofErr w:type="spellEnd"/>
      <w:r w:rsidRPr="0033470C">
        <w:rPr>
          <w:b/>
        </w:rPr>
        <w:t xml:space="preserve"> z 24.01.2017 r.</w:t>
      </w:r>
    </w:p>
    <w:p w:rsidR="00037844" w:rsidRPr="0033470C" w:rsidRDefault="00037844" w:rsidP="0033470C">
      <w:pPr>
        <w:jc w:val="center"/>
        <w:rPr>
          <w:b/>
        </w:rPr>
      </w:pPr>
    </w:p>
    <w:p w:rsidR="00494C66" w:rsidRPr="00037844" w:rsidRDefault="00037844" w:rsidP="00037844">
      <w:pPr>
        <w:pStyle w:val="Nagwek2"/>
      </w:pPr>
      <w:r w:rsidRPr="00037844">
        <w:t>W wyniku wprowadzenia do realizacji Programu Ochrony Środowiska dla Miasta i Gminy Gołańcz zrealizowano szereg działań</w:t>
      </w:r>
      <w:r w:rsidR="001002A9">
        <w:t xml:space="preserve">, </w:t>
      </w:r>
      <w:r w:rsidR="001002A9" w:rsidRPr="00037844">
        <w:t>wymienionych w harmonogramie realizacyjnym Programu ochrony środowiska</w:t>
      </w:r>
      <w:r w:rsidR="001002A9">
        <w:t>, które przyczyniają się do poprawy stanu środowiska na terenie Gminy</w:t>
      </w:r>
      <w:r w:rsidRPr="00037844">
        <w:t>. Działania przeprowadzono w 10 obszarach mających wpływ na jakość środowiska. Są to:</w:t>
      </w:r>
    </w:p>
    <w:p w:rsidR="00037844" w:rsidRPr="00037844" w:rsidRDefault="00037844" w:rsidP="00037844"/>
    <w:p w:rsidR="00037844" w:rsidRPr="00037844" w:rsidRDefault="00037844" w:rsidP="0003784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37844">
        <w:rPr>
          <w:rFonts w:ascii="Times New Roman" w:hAnsi="Times New Roman" w:cs="Times New Roman"/>
        </w:rPr>
        <w:t>Obszar ochrony klimatu i jakości powietrza,</w:t>
      </w:r>
    </w:p>
    <w:p w:rsidR="00037844" w:rsidRPr="00037844" w:rsidRDefault="00037844" w:rsidP="0003784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37844">
        <w:rPr>
          <w:rFonts w:ascii="Times New Roman" w:hAnsi="Times New Roman" w:cs="Times New Roman"/>
        </w:rPr>
        <w:t>Obszar zagrożenia hałasem,</w:t>
      </w:r>
    </w:p>
    <w:p w:rsidR="00037844" w:rsidRPr="00037844" w:rsidRDefault="00037844" w:rsidP="0003784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37844">
        <w:rPr>
          <w:rFonts w:ascii="Times New Roman" w:hAnsi="Times New Roman" w:cs="Times New Roman"/>
        </w:rPr>
        <w:t>Obszar pola elektromagnetycznego,</w:t>
      </w:r>
    </w:p>
    <w:p w:rsidR="00037844" w:rsidRPr="00037844" w:rsidRDefault="00037844" w:rsidP="0003784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37844">
        <w:rPr>
          <w:rFonts w:ascii="Times New Roman" w:hAnsi="Times New Roman" w:cs="Times New Roman"/>
        </w:rPr>
        <w:t>Obszar gospodarowania wodami,</w:t>
      </w:r>
    </w:p>
    <w:p w:rsidR="00037844" w:rsidRPr="00037844" w:rsidRDefault="00037844" w:rsidP="0003784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37844">
        <w:rPr>
          <w:rFonts w:ascii="Times New Roman" w:hAnsi="Times New Roman" w:cs="Times New Roman"/>
        </w:rPr>
        <w:t>Obszar gospodarki wodno-ściekowej,</w:t>
      </w:r>
    </w:p>
    <w:p w:rsidR="00037844" w:rsidRPr="00037844" w:rsidRDefault="00037844" w:rsidP="0003784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37844">
        <w:rPr>
          <w:rFonts w:ascii="Times New Roman" w:hAnsi="Times New Roman" w:cs="Times New Roman"/>
        </w:rPr>
        <w:t>Obszar zasobów geologicznych,</w:t>
      </w:r>
    </w:p>
    <w:p w:rsidR="00037844" w:rsidRPr="00037844" w:rsidRDefault="00037844" w:rsidP="0003784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37844">
        <w:rPr>
          <w:rFonts w:ascii="Times New Roman" w:hAnsi="Times New Roman" w:cs="Times New Roman"/>
        </w:rPr>
        <w:t>Obszar gleby,</w:t>
      </w:r>
    </w:p>
    <w:p w:rsidR="00037844" w:rsidRPr="00037844" w:rsidRDefault="00037844" w:rsidP="0003784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37844">
        <w:rPr>
          <w:rFonts w:ascii="Times New Roman" w:hAnsi="Times New Roman" w:cs="Times New Roman"/>
        </w:rPr>
        <w:t>Obszar gospodarski odpadami i zapobiegania powstawaniu odpadów,</w:t>
      </w:r>
    </w:p>
    <w:p w:rsidR="00037844" w:rsidRPr="00037844" w:rsidRDefault="00037844" w:rsidP="0003784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37844">
        <w:rPr>
          <w:rFonts w:ascii="Times New Roman" w:hAnsi="Times New Roman" w:cs="Times New Roman"/>
        </w:rPr>
        <w:t>Obszar zasobów przyrodniczych,</w:t>
      </w:r>
    </w:p>
    <w:p w:rsidR="00037844" w:rsidRPr="00037844" w:rsidRDefault="00037844" w:rsidP="0003784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37844">
        <w:rPr>
          <w:rFonts w:ascii="Times New Roman" w:hAnsi="Times New Roman" w:cs="Times New Roman"/>
        </w:rPr>
        <w:t>Obszar zagrożenia poważnymi awariami</w:t>
      </w:r>
      <w:r w:rsidR="00FF6570">
        <w:rPr>
          <w:rFonts w:ascii="Times New Roman" w:hAnsi="Times New Roman" w:cs="Times New Roman"/>
        </w:rPr>
        <w:t>.</w:t>
      </w:r>
    </w:p>
    <w:p w:rsidR="004D2C2E" w:rsidRPr="004D2C2E" w:rsidRDefault="00037844" w:rsidP="00DB1BB1">
      <w:pPr>
        <w:pStyle w:val="Legenda"/>
        <w:jc w:val="both"/>
      </w:pPr>
      <w:bookmarkStart w:id="2" w:name="_Toc184008154"/>
      <w:bookmarkEnd w:id="0"/>
      <w:r>
        <w:rPr>
          <w:b w:val="0"/>
          <w:sz w:val="24"/>
          <w:szCs w:val="24"/>
        </w:rPr>
        <w:t>1.</w:t>
      </w:r>
      <w:r w:rsidR="004D2C2E">
        <w:rPr>
          <w:b w:val="0"/>
          <w:sz w:val="24"/>
          <w:szCs w:val="24"/>
        </w:rPr>
        <w:t xml:space="preserve"> W obszarze ochrony klimatu i jakości </w:t>
      </w:r>
      <w:r w:rsidR="004D2C2E" w:rsidRPr="00B30422">
        <w:rPr>
          <w:b w:val="0"/>
          <w:sz w:val="24"/>
          <w:szCs w:val="24"/>
        </w:rPr>
        <w:t xml:space="preserve">powietrza </w:t>
      </w:r>
      <w:r w:rsidR="004D2C2E">
        <w:rPr>
          <w:b w:val="0"/>
          <w:sz w:val="24"/>
          <w:szCs w:val="24"/>
        </w:rPr>
        <w:t>podjęto do realizacji następujące działania w obrębie zadań</w:t>
      </w:r>
      <w:bookmarkEnd w:id="2"/>
      <w:r w:rsidR="004D2C2E">
        <w:rPr>
          <w:b w:val="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23"/>
        <w:gridCol w:w="4296"/>
      </w:tblGrid>
      <w:tr w:rsidR="004D2C2E" w:rsidRPr="0067059B" w:rsidTr="00FF1A8E">
        <w:trPr>
          <w:trHeight w:val="4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E" w:rsidRDefault="004D2C2E" w:rsidP="00FF1A8E">
            <w:pPr>
              <w:ind w:left="57" w:right="57"/>
              <w:jc w:val="center"/>
            </w:pPr>
            <w:r w:rsidRPr="0067059B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E" w:rsidRPr="00F50536" w:rsidRDefault="004D2C2E" w:rsidP="00FF1A8E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F50536">
              <w:rPr>
                <w:b/>
                <w:sz w:val="20"/>
                <w:szCs w:val="20"/>
              </w:rPr>
              <w:t>Opis podjętych działań</w:t>
            </w:r>
          </w:p>
        </w:tc>
      </w:tr>
      <w:tr w:rsidR="004D2C2E" w:rsidRPr="0067059B" w:rsidTr="005E703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E" w:rsidRPr="00F50536" w:rsidRDefault="004D2C2E" w:rsidP="00FF1A8E">
            <w:pPr>
              <w:ind w:left="57" w:right="57"/>
              <w:jc w:val="center"/>
              <w:rPr>
                <w:b/>
                <w:i/>
                <w:sz w:val="20"/>
                <w:szCs w:val="20"/>
              </w:rPr>
            </w:pPr>
            <w:r w:rsidRPr="00F50536">
              <w:rPr>
                <w:b/>
                <w:i/>
                <w:sz w:val="20"/>
                <w:szCs w:val="20"/>
              </w:rPr>
              <w:t>Zmniejszenie zanieczyszczeń powietrza do dopuszczalnych/docelowych poziomów</w:t>
            </w:r>
          </w:p>
        </w:tc>
      </w:tr>
      <w:tr w:rsidR="004D2C2E" w:rsidRPr="0067059B" w:rsidTr="00FF1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E" w:rsidRPr="0067059B" w:rsidRDefault="004D2C2E" w:rsidP="00FF1A8E">
            <w:pPr>
              <w:pStyle w:val="cyferkiwtabeli"/>
              <w:suppressAutoHyphens w:val="0"/>
              <w:overflowPunct/>
              <w:autoSpaceDE/>
              <w:autoSpaceDN w:val="0"/>
              <w:spacing w:before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założeń planu gospodarki niskoemisyjnej oraz jego ciągła aktualizacja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2C" w:rsidRPr="00C92B2C" w:rsidRDefault="00C92B2C" w:rsidP="00C92B2C">
            <w:pPr>
              <w:ind w:left="57" w:right="57"/>
              <w:jc w:val="both"/>
              <w:rPr>
                <w:sz w:val="20"/>
                <w:szCs w:val="20"/>
              </w:rPr>
            </w:pPr>
            <w:r w:rsidRPr="00C92B2C">
              <w:rPr>
                <w:sz w:val="20"/>
                <w:szCs w:val="20"/>
              </w:rPr>
              <w:t>-zwiększenie efektywności energetycznej obiektów,</w:t>
            </w:r>
          </w:p>
          <w:p w:rsidR="00C92B2C" w:rsidRPr="00C92B2C" w:rsidRDefault="00C92B2C" w:rsidP="00C92B2C">
            <w:pPr>
              <w:ind w:left="57" w:right="57"/>
              <w:jc w:val="both"/>
              <w:rPr>
                <w:sz w:val="20"/>
                <w:szCs w:val="20"/>
              </w:rPr>
            </w:pPr>
            <w:r w:rsidRPr="00C92B2C">
              <w:rPr>
                <w:sz w:val="20"/>
                <w:szCs w:val="20"/>
              </w:rPr>
              <w:t>- redukcja emisji liniowej,</w:t>
            </w:r>
          </w:p>
          <w:p w:rsidR="00C92B2C" w:rsidRPr="00C92B2C" w:rsidRDefault="00C92B2C" w:rsidP="00C92B2C">
            <w:pPr>
              <w:ind w:left="57" w:right="57"/>
              <w:jc w:val="both"/>
              <w:rPr>
                <w:sz w:val="20"/>
                <w:szCs w:val="20"/>
              </w:rPr>
            </w:pPr>
            <w:r w:rsidRPr="00C92B2C">
              <w:rPr>
                <w:sz w:val="20"/>
                <w:szCs w:val="20"/>
              </w:rPr>
              <w:t>-zwiększenie udziału energii ze źródeł odnawialnych w bilansie energetycznym,</w:t>
            </w:r>
          </w:p>
          <w:p w:rsidR="004D2C2E" w:rsidRPr="00F50536" w:rsidRDefault="00C92B2C" w:rsidP="00C92B2C">
            <w:pPr>
              <w:ind w:left="57" w:right="57"/>
              <w:jc w:val="both"/>
              <w:rPr>
                <w:color w:val="FF0000"/>
                <w:sz w:val="20"/>
                <w:szCs w:val="20"/>
              </w:rPr>
            </w:pPr>
            <w:r w:rsidRPr="00C92B2C">
              <w:rPr>
                <w:sz w:val="20"/>
                <w:szCs w:val="20"/>
              </w:rPr>
              <w:t>- podniesienie świadomości społecznej w zakresie wprowadzania gospodarki niskoemisyjnej.</w:t>
            </w:r>
          </w:p>
        </w:tc>
      </w:tr>
      <w:tr w:rsidR="004D2C2E" w:rsidRPr="0067059B" w:rsidTr="00FF1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E" w:rsidRPr="0067059B" w:rsidRDefault="004D2C2E" w:rsidP="00FF1A8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przedsięwzięć termomodernizacyjnych, ocieplenie przegród zewnętrznych (ścian, stropów, dachów), promowanie budownictwa energooszczędnego w obiektach użyteczności publicznej oraz budynkach mieszkalnych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E" w:rsidRPr="00F50536" w:rsidRDefault="004D2C2E" w:rsidP="00F50536">
            <w:pPr>
              <w:jc w:val="both"/>
              <w:rPr>
                <w:sz w:val="20"/>
                <w:szCs w:val="20"/>
              </w:rPr>
            </w:pPr>
            <w:r w:rsidRPr="00F50536">
              <w:rPr>
                <w:sz w:val="20"/>
                <w:szCs w:val="20"/>
              </w:rPr>
              <w:t>Wykonano modernizację siedmiu świetlic wiejskich, która obejmowała między innymi termomodernizację budynków.</w:t>
            </w:r>
          </w:p>
          <w:p w:rsidR="004D2C2E" w:rsidRPr="00F50536" w:rsidRDefault="004D2C2E" w:rsidP="00FF1A8E">
            <w:pPr>
              <w:ind w:left="57" w:right="57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D2C2E" w:rsidRPr="0067059B" w:rsidTr="004D2C2E">
        <w:trPr>
          <w:trHeight w:val="1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E" w:rsidRPr="0067059B" w:rsidRDefault="004D2C2E" w:rsidP="00FF1A8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Wspierana działań na rzecz ograniczenia niskiej emisji poprzez modernizację systemów ogrzewania budynków komunalnych i indywidualnych oraz wprowadzenie odnawialnych źródeł energii (kolektory słoneczne, pompy ciepła)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E" w:rsidRPr="00F50536" w:rsidRDefault="004D2C2E" w:rsidP="00F50536">
            <w:pPr>
              <w:ind w:left="37"/>
              <w:jc w:val="both"/>
              <w:rPr>
                <w:sz w:val="20"/>
                <w:szCs w:val="20"/>
              </w:rPr>
            </w:pPr>
            <w:r w:rsidRPr="00F50536">
              <w:rPr>
                <w:sz w:val="20"/>
                <w:szCs w:val="20"/>
              </w:rPr>
              <w:t xml:space="preserve">-  na terenie miasta i gminy zamontowano </w:t>
            </w:r>
            <w:r w:rsidR="00FF6570">
              <w:rPr>
                <w:sz w:val="20"/>
                <w:szCs w:val="20"/>
              </w:rPr>
              <w:t xml:space="preserve">do końca 2018 </w:t>
            </w:r>
            <w:r w:rsidRPr="00F50536">
              <w:rPr>
                <w:sz w:val="20"/>
                <w:szCs w:val="20"/>
              </w:rPr>
              <w:t xml:space="preserve">roku </w:t>
            </w:r>
            <w:r w:rsidR="00FF6570">
              <w:rPr>
                <w:sz w:val="20"/>
                <w:szCs w:val="20"/>
              </w:rPr>
              <w:t>56</w:t>
            </w:r>
            <w:r w:rsidRPr="00F50536">
              <w:rPr>
                <w:sz w:val="20"/>
                <w:szCs w:val="20"/>
              </w:rPr>
              <w:t xml:space="preserve"> lamp solarnych</w:t>
            </w:r>
            <w:r w:rsidR="00FF6570">
              <w:rPr>
                <w:sz w:val="20"/>
                <w:szCs w:val="20"/>
              </w:rPr>
              <w:t>,</w:t>
            </w:r>
            <w:r w:rsidRPr="00F50536">
              <w:rPr>
                <w:sz w:val="20"/>
                <w:szCs w:val="20"/>
              </w:rPr>
              <w:t xml:space="preserve"> </w:t>
            </w:r>
          </w:p>
          <w:p w:rsidR="004D2C2E" w:rsidRPr="004D2C2E" w:rsidRDefault="004D2C2E" w:rsidP="004D2C2E">
            <w:pPr>
              <w:tabs>
                <w:tab w:val="left" w:pos="37"/>
              </w:tabs>
              <w:ind w:left="37"/>
              <w:jc w:val="both"/>
              <w:rPr>
                <w:sz w:val="20"/>
                <w:szCs w:val="20"/>
              </w:rPr>
            </w:pPr>
            <w:r w:rsidRPr="00F50536">
              <w:rPr>
                <w:sz w:val="20"/>
                <w:szCs w:val="20"/>
              </w:rPr>
              <w:t>- promocja odnawialnych źródeł energii-informacje na stronie internetowej i</w:t>
            </w:r>
            <w:r w:rsidR="00FF6570">
              <w:rPr>
                <w:sz w:val="20"/>
                <w:szCs w:val="20"/>
              </w:rPr>
              <w:t xml:space="preserve"> w</w:t>
            </w:r>
            <w:r w:rsidRPr="00F50536">
              <w:rPr>
                <w:sz w:val="20"/>
                <w:szCs w:val="20"/>
              </w:rPr>
              <w:t xml:space="preserve"> lokalnej prasie oraz w Urzędzie,</w:t>
            </w:r>
          </w:p>
        </w:tc>
      </w:tr>
      <w:tr w:rsidR="004D2C2E" w:rsidRPr="0067059B" w:rsidTr="006442C7">
        <w:trPr>
          <w:trHeight w:val="1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E" w:rsidRPr="0067059B" w:rsidRDefault="004D2C2E" w:rsidP="00FF1A8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Sukcesywne zwiększenie świadomości społeczeństwa w zakresie potrzeb i możliwości ochrony powietrza, w tym oszczędności energii oraz szkodliwości spalania odpadów w gospodarstwach domowych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E" w:rsidRPr="00F50536" w:rsidRDefault="004D2C2E" w:rsidP="00F5053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50536">
              <w:rPr>
                <w:sz w:val="20"/>
                <w:szCs w:val="20"/>
              </w:rPr>
              <w:t xml:space="preserve">- promowanie kampanii antysmogowej rozpoczętej przez Samorząd Województwa Wielkopolskiego, </w:t>
            </w:r>
            <w:proofErr w:type="gramStart"/>
            <w:r w:rsidRPr="00F50536">
              <w:rPr>
                <w:sz w:val="20"/>
                <w:szCs w:val="20"/>
              </w:rPr>
              <w:t>mając</w:t>
            </w:r>
            <w:r w:rsidR="00FF6570">
              <w:rPr>
                <w:sz w:val="20"/>
                <w:szCs w:val="20"/>
              </w:rPr>
              <w:t xml:space="preserve">ej </w:t>
            </w:r>
            <w:r w:rsidRPr="00F50536">
              <w:rPr>
                <w:sz w:val="20"/>
                <w:szCs w:val="20"/>
              </w:rPr>
              <w:t xml:space="preserve"> na</w:t>
            </w:r>
            <w:proofErr w:type="gramEnd"/>
            <w:r w:rsidRPr="00F50536">
              <w:rPr>
                <w:sz w:val="20"/>
                <w:szCs w:val="20"/>
              </w:rPr>
              <w:t xml:space="preserve"> celu uczulenie mieszkańców na skutki palenia niedozwolonymi paliwami,</w:t>
            </w:r>
          </w:p>
          <w:p w:rsidR="004D2C2E" w:rsidRPr="00F50536" w:rsidRDefault="004D2C2E" w:rsidP="00F50536">
            <w:pPr>
              <w:ind w:right="57"/>
              <w:rPr>
                <w:color w:val="FF0000"/>
                <w:sz w:val="20"/>
                <w:szCs w:val="20"/>
              </w:rPr>
            </w:pPr>
            <w:r w:rsidRPr="00F50536">
              <w:rPr>
                <w:sz w:val="20"/>
                <w:szCs w:val="20"/>
              </w:rPr>
              <w:t>- akcje informacyjno-edukacyjne - zakup nagród w konkursie ekologicznym oraz zakup rękawic na akcję Sprzątanie Świata.</w:t>
            </w:r>
          </w:p>
        </w:tc>
      </w:tr>
      <w:tr w:rsidR="004D2C2E" w:rsidRPr="0067059B" w:rsidTr="007471B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E" w:rsidRPr="00F50536" w:rsidRDefault="004D2C2E" w:rsidP="00FF1A8E">
            <w:pPr>
              <w:ind w:left="57" w:right="57"/>
              <w:jc w:val="center"/>
              <w:rPr>
                <w:b/>
                <w:i/>
                <w:sz w:val="20"/>
                <w:szCs w:val="20"/>
              </w:rPr>
            </w:pPr>
            <w:r w:rsidRPr="00F50536">
              <w:rPr>
                <w:b/>
                <w:i/>
                <w:sz w:val="20"/>
                <w:szCs w:val="20"/>
              </w:rPr>
              <w:t>Ograniczenie oddziaływania transportu, na jakość powietrza</w:t>
            </w:r>
          </w:p>
        </w:tc>
      </w:tr>
      <w:tr w:rsidR="004D2C2E" w:rsidRPr="0067059B" w:rsidTr="004D2C2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E" w:rsidRPr="0067059B" w:rsidRDefault="004D2C2E" w:rsidP="00FF1A8E">
            <w:pPr>
              <w:pStyle w:val="wynos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ulic metodą mokrą jako przykład ograniczenia emisji pyłów i gazów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E" w:rsidRPr="00494C66" w:rsidRDefault="004D2C2E" w:rsidP="00F50536">
            <w:pPr>
              <w:ind w:left="57" w:right="57"/>
              <w:jc w:val="both"/>
              <w:rPr>
                <w:sz w:val="20"/>
                <w:szCs w:val="20"/>
              </w:rPr>
            </w:pPr>
            <w:r w:rsidRPr="00494C66">
              <w:rPr>
                <w:sz w:val="20"/>
                <w:szCs w:val="20"/>
              </w:rPr>
              <w:t>Na terenie Miasta nie jest prowadzone czyszczenie ulic na mokro. Ulice po sezonie zimowym a także w ciągu roku są sprzątane ręcznie, przez pracowników gospodarczych Urzędu.</w:t>
            </w:r>
          </w:p>
          <w:p w:rsidR="004D2C2E" w:rsidRPr="00F50536" w:rsidRDefault="004D2C2E" w:rsidP="00FF1A8E">
            <w:pPr>
              <w:ind w:left="57" w:right="57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D2C2E" w:rsidRPr="0067059B" w:rsidTr="00FF1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E" w:rsidRDefault="004D2C2E" w:rsidP="00FF1A8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Kontynuacja działań mających na celu wspieranie rozwiązań pozwalających na eliminację lub </w:t>
            </w:r>
            <w:r>
              <w:rPr>
                <w:sz w:val="20"/>
                <w:szCs w:val="20"/>
              </w:rPr>
              <w:lastRenderedPageBreak/>
              <w:t>minimalizację wielkości emisji pochodzących z transportu (poprawa nawierzchni i warunków bezpieczeństwa ruchu, modernizacja i rozbudowa dróg) w tym:</w:t>
            </w:r>
          </w:p>
          <w:p w:rsidR="004D2C2E" w:rsidRDefault="004D2C2E" w:rsidP="00FF1A8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przebudowa drogi 1600 P, ul. walki Młodych m. Gołańcz</w:t>
            </w:r>
          </w:p>
          <w:p w:rsidR="004D2C2E" w:rsidRDefault="004D2C2E" w:rsidP="00FF1A8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przebudowa drogi wojewódzkiej nr 193 na odcinku Margonin- Gołańcz</w:t>
            </w:r>
          </w:p>
          <w:p w:rsidR="004D2C2E" w:rsidRPr="0067059B" w:rsidRDefault="004D2C2E" w:rsidP="00FF1A8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przebudowa drogi wojewódzkiej nr 241 Morakowo-Wągrowiec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E" w:rsidRPr="00DB1BB1" w:rsidRDefault="004D2C2E" w:rsidP="00F50536">
            <w:pPr>
              <w:rPr>
                <w:sz w:val="20"/>
                <w:szCs w:val="20"/>
              </w:rPr>
            </w:pPr>
            <w:r w:rsidRPr="00DB1BB1">
              <w:rPr>
                <w:sz w:val="20"/>
                <w:szCs w:val="20"/>
              </w:rPr>
              <w:lastRenderedPageBreak/>
              <w:t xml:space="preserve">- przebudowa drogi Morakowo – Ostrowo III etap </w:t>
            </w:r>
          </w:p>
          <w:p w:rsidR="004D2C2E" w:rsidRPr="00DB1BB1" w:rsidRDefault="004D2C2E" w:rsidP="00F50536">
            <w:pPr>
              <w:jc w:val="both"/>
              <w:rPr>
                <w:sz w:val="20"/>
                <w:szCs w:val="20"/>
              </w:rPr>
            </w:pPr>
            <w:r w:rsidRPr="00DB1BB1">
              <w:rPr>
                <w:sz w:val="20"/>
                <w:szCs w:val="20"/>
              </w:rPr>
              <w:t xml:space="preserve">- przebudowa drogi Oleszno – Panigródz I etap </w:t>
            </w:r>
          </w:p>
          <w:p w:rsidR="004D2C2E" w:rsidRPr="00DB1BB1" w:rsidRDefault="004D2C2E" w:rsidP="00F50536">
            <w:pPr>
              <w:jc w:val="both"/>
              <w:rPr>
                <w:sz w:val="20"/>
                <w:szCs w:val="20"/>
              </w:rPr>
            </w:pPr>
            <w:r w:rsidRPr="00DB1BB1">
              <w:rPr>
                <w:sz w:val="20"/>
                <w:szCs w:val="20"/>
              </w:rPr>
              <w:lastRenderedPageBreak/>
              <w:t xml:space="preserve">- przebudowa drogi w Panigrodzu działka nr 46 </w:t>
            </w:r>
          </w:p>
          <w:p w:rsidR="004D2C2E" w:rsidRPr="00DB1BB1" w:rsidRDefault="004D2C2E" w:rsidP="00F50536">
            <w:pPr>
              <w:jc w:val="both"/>
              <w:rPr>
                <w:sz w:val="20"/>
                <w:szCs w:val="20"/>
              </w:rPr>
            </w:pPr>
            <w:r w:rsidRPr="00DB1BB1">
              <w:rPr>
                <w:sz w:val="20"/>
                <w:szCs w:val="20"/>
              </w:rPr>
              <w:t xml:space="preserve">- przebudowa drogi w Panigrodzu działka nr 91 </w:t>
            </w:r>
          </w:p>
          <w:p w:rsidR="004D2C2E" w:rsidRPr="00DB1BB1" w:rsidRDefault="004D2C2E" w:rsidP="00F50536">
            <w:pPr>
              <w:jc w:val="both"/>
              <w:rPr>
                <w:sz w:val="20"/>
                <w:szCs w:val="20"/>
              </w:rPr>
            </w:pPr>
            <w:r w:rsidRPr="00DB1BB1">
              <w:rPr>
                <w:sz w:val="20"/>
                <w:szCs w:val="20"/>
              </w:rPr>
              <w:t>-</w:t>
            </w:r>
            <w:r w:rsidR="009A046B">
              <w:rPr>
                <w:sz w:val="20"/>
                <w:szCs w:val="20"/>
              </w:rPr>
              <w:t xml:space="preserve"> </w:t>
            </w:r>
            <w:r w:rsidRPr="00DB1BB1">
              <w:rPr>
                <w:sz w:val="20"/>
                <w:szCs w:val="20"/>
              </w:rPr>
              <w:t xml:space="preserve">przebudowa drogi w Rybowie II etap (przebudowano 446,00 </w:t>
            </w:r>
            <w:proofErr w:type="spellStart"/>
            <w:r w:rsidRPr="00DB1BB1">
              <w:rPr>
                <w:sz w:val="20"/>
                <w:szCs w:val="20"/>
              </w:rPr>
              <w:t>mb</w:t>
            </w:r>
            <w:proofErr w:type="spellEnd"/>
            <w:r w:rsidRPr="00DB1BB1">
              <w:rPr>
                <w:sz w:val="20"/>
                <w:szCs w:val="20"/>
              </w:rPr>
              <w:t xml:space="preserve"> drogi,)</w:t>
            </w:r>
          </w:p>
          <w:p w:rsidR="004D2C2E" w:rsidRPr="00DB1BB1" w:rsidRDefault="004D2C2E" w:rsidP="00F50536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DB1BB1">
              <w:rPr>
                <w:sz w:val="20"/>
                <w:szCs w:val="20"/>
              </w:rPr>
              <w:t>- zastosowanie inteligentnego systemu sterowania oświetleniem ulicznym -ustanowiono uchwałą dofinansowanie dla Powiatowego Zarządu Dróg w Wągrowcu na założenie znaków i świateł ostrzegawczych na przejściach dla pieszych na terenie Miasta i Gminy Gołańcz</w:t>
            </w:r>
          </w:p>
          <w:p w:rsidR="004D2C2E" w:rsidRPr="00F50536" w:rsidRDefault="004D2C2E" w:rsidP="00FF1A8E">
            <w:pPr>
              <w:ind w:left="57" w:right="57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D2C2E" w:rsidRPr="0067059B" w:rsidTr="00FF1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E" w:rsidRPr="0067059B" w:rsidRDefault="004D2C2E" w:rsidP="00FF1A8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Rozwój ścieżek i szlaków rowerowych, w tym budowa ścieżki rowerowej z Gołańczy do Margonina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E" w:rsidRPr="00F50536" w:rsidRDefault="004D2C2E" w:rsidP="00F50536">
            <w:pPr>
              <w:jc w:val="both"/>
              <w:rPr>
                <w:sz w:val="20"/>
                <w:szCs w:val="20"/>
              </w:rPr>
            </w:pPr>
            <w:r w:rsidRPr="00F50536">
              <w:rPr>
                <w:sz w:val="20"/>
                <w:szCs w:val="20"/>
              </w:rPr>
              <w:t>Wykonano pierwszy etap inwestycji pn. „Budowa ścieżki rowerowej Gołańcz – Margonin”.</w:t>
            </w:r>
            <w:r>
              <w:rPr>
                <w:sz w:val="20"/>
                <w:szCs w:val="20"/>
              </w:rPr>
              <w:t xml:space="preserve"> </w:t>
            </w:r>
            <w:r w:rsidRPr="00F50536">
              <w:rPr>
                <w:sz w:val="20"/>
                <w:szCs w:val="20"/>
              </w:rPr>
              <w:t xml:space="preserve">Przedmiotem inwestycji była budowa ścieżka rowerowej o długości 2430 </w:t>
            </w:r>
            <w:proofErr w:type="spellStart"/>
            <w:r w:rsidRPr="00F50536">
              <w:rPr>
                <w:sz w:val="20"/>
                <w:szCs w:val="20"/>
              </w:rPr>
              <w:t>mb</w:t>
            </w:r>
            <w:proofErr w:type="spellEnd"/>
            <w:r w:rsidRPr="00F50536">
              <w:rPr>
                <w:sz w:val="20"/>
                <w:szCs w:val="20"/>
              </w:rPr>
              <w:t>.</w:t>
            </w:r>
          </w:p>
          <w:p w:rsidR="004D2C2E" w:rsidRPr="00F50536" w:rsidRDefault="004D2C2E" w:rsidP="00FF1A8E">
            <w:pPr>
              <w:ind w:left="57" w:right="57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BF12EC" w:rsidRDefault="00BF12EC" w:rsidP="00BF12EC"/>
    <w:p w:rsidR="00BF12EC" w:rsidRPr="00B30422" w:rsidRDefault="00037844" w:rsidP="00037844">
      <w:pPr>
        <w:pStyle w:val="Legenda"/>
        <w:jc w:val="both"/>
        <w:rPr>
          <w:b w:val="0"/>
          <w:sz w:val="24"/>
          <w:szCs w:val="24"/>
        </w:rPr>
      </w:pPr>
      <w:bookmarkStart w:id="3" w:name="_Toc184008156"/>
      <w:r>
        <w:rPr>
          <w:b w:val="0"/>
          <w:sz w:val="24"/>
          <w:szCs w:val="24"/>
        </w:rPr>
        <w:t>2.</w:t>
      </w:r>
      <w:r w:rsidR="004D2C2E">
        <w:rPr>
          <w:b w:val="0"/>
          <w:sz w:val="24"/>
          <w:szCs w:val="24"/>
        </w:rPr>
        <w:t xml:space="preserve"> W obszarze zagrożenia hałasem</w:t>
      </w:r>
      <w:r w:rsidR="004D2C2E" w:rsidRPr="00B30422">
        <w:rPr>
          <w:b w:val="0"/>
          <w:sz w:val="24"/>
          <w:szCs w:val="24"/>
        </w:rPr>
        <w:t xml:space="preserve"> </w:t>
      </w:r>
      <w:r w:rsidR="004D2C2E">
        <w:rPr>
          <w:b w:val="0"/>
          <w:sz w:val="24"/>
          <w:szCs w:val="24"/>
        </w:rPr>
        <w:t xml:space="preserve">podjęto do realizacji następujące działania w obrębie zadań: </w:t>
      </w:r>
      <w:bookmarkEnd w:id="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0"/>
        <w:gridCol w:w="4679"/>
      </w:tblGrid>
      <w:tr w:rsidR="004D2C2E" w:rsidRPr="0067059B" w:rsidTr="00307EFE">
        <w:trPr>
          <w:trHeight w:val="192"/>
          <w:tblHeader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E" w:rsidRPr="003828A2" w:rsidRDefault="004D2C2E" w:rsidP="00FF1A8E">
            <w:pPr>
              <w:pStyle w:val="Stopka"/>
              <w:tabs>
                <w:tab w:val="left" w:pos="708"/>
              </w:tabs>
              <w:ind w:left="57" w:right="57"/>
              <w:jc w:val="center"/>
              <w:rPr>
                <w:b/>
              </w:rPr>
            </w:pPr>
            <w:r w:rsidRPr="003828A2">
              <w:rPr>
                <w:b/>
              </w:rPr>
              <w:t>Nazwa zadania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E" w:rsidRPr="003828A2" w:rsidRDefault="004D2C2E" w:rsidP="00FF1A8E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3828A2">
              <w:rPr>
                <w:b/>
                <w:sz w:val="20"/>
                <w:szCs w:val="20"/>
              </w:rPr>
              <w:t>Opis podjętych działań</w:t>
            </w:r>
          </w:p>
        </w:tc>
      </w:tr>
      <w:tr w:rsidR="004D2C2E" w:rsidRPr="0067059B" w:rsidTr="00307EFE">
        <w:trPr>
          <w:trHeight w:val="1373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E" w:rsidRPr="003828A2" w:rsidRDefault="004D2C2E" w:rsidP="00FF1A8E">
            <w:pPr>
              <w:pStyle w:val="Stopka"/>
              <w:tabs>
                <w:tab w:val="left" w:pos="708"/>
              </w:tabs>
              <w:ind w:left="57" w:right="57"/>
              <w:jc w:val="center"/>
            </w:pPr>
            <w:r>
              <w:t>Przebudowa stanu nawierzchni dróg w Gminie, w tym przebudowa drogi Oleszno-Panigródz, ul. Sportowej w Gołańczy, w Panigrodzu, w Laskownicy Wielkiej, w Czerlinie, w Morakowie na Ostrowo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E" w:rsidRPr="00494C66" w:rsidRDefault="004D2C2E" w:rsidP="00F50536">
            <w:pPr>
              <w:tabs>
                <w:tab w:val="left" w:pos="993"/>
              </w:tabs>
              <w:jc w:val="both"/>
              <w:rPr>
                <w:sz w:val="20"/>
              </w:rPr>
            </w:pPr>
            <w:r w:rsidRPr="00494C66">
              <w:rPr>
                <w:sz w:val="20"/>
              </w:rPr>
              <w:t>Regularna naprawa dróg szutrowych, polegająca na uzupełnianiu braków, a także wyrównanie nawierzchni i poboczy za pomocą równiarki, a także przebudowano 2778,60 m dróg gminnych, prace polegały na zmianie nawierzchni dróg.</w:t>
            </w:r>
          </w:p>
          <w:p w:rsidR="004D2C2E" w:rsidRPr="003828A2" w:rsidRDefault="004D2C2E" w:rsidP="00FF1A8E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4D2C2E" w:rsidRPr="0067059B" w:rsidTr="00307EFE">
        <w:trPr>
          <w:trHeight w:val="782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E" w:rsidRPr="003828A2" w:rsidRDefault="004D2C2E" w:rsidP="00FF1A8E">
            <w:pPr>
              <w:pStyle w:val="program"/>
              <w:ind w:left="57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Wprowadzanie zapisów dotyczących standardów akustycznych w miejscowych planach zagospodarowania przestrzennego 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6B" w:rsidRPr="00E80B59" w:rsidRDefault="009A046B" w:rsidP="009A046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 uchwalonych </w:t>
            </w:r>
            <w:r w:rsidRPr="00E80B59">
              <w:rPr>
                <w:sz w:val="20"/>
              </w:rPr>
              <w:t xml:space="preserve">miejscowych planach zagospodarowania </w:t>
            </w:r>
            <w:r>
              <w:rPr>
                <w:sz w:val="20"/>
              </w:rPr>
              <w:t xml:space="preserve">przestrzennego </w:t>
            </w:r>
            <w:r w:rsidRPr="00E80B59">
              <w:rPr>
                <w:sz w:val="20"/>
              </w:rPr>
              <w:t>umieszczono zapisy o uwzględnieniu przy prowadzeniu działalności</w:t>
            </w:r>
            <w:r>
              <w:rPr>
                <w:sz w:val="20"/>
              </w:rPr>
              <w:t>,</w:t>
            </w:r>
            <w:r w:rsidRPr="00E80B59">
              <w:rPr>
                <w:sz w:val="20"/>
              </w:rPr>
              <w:t xml:space="preserve"> </w:t>
            </w:r>
            <w:r>
              <w:rPr>
                <w:sz w:val="20"/>
              </w:rPr>
              <w:t>standardów akustycznych</w:t>
            </w:r>
            <w:r w:rsidRPr="00E80B59">
              <w:rPr>
                <w:sz w:val="20"/>
              </w:rPr>
              <w:t xml:space="preserve">. </w:t>
            </w:r>
          </w:p>
          <w:p w:rsidR="004D2C2E" w:rsidRPr="003828A2" w:rsidRDefault="004D2C2E" w:rsidP="00FF1A8E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4D2C2E" w:rsidRPr="0067059B" w:rsidTr="00307EFE">
        <w:trPr>
          <w:trHeight w:val="975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E" w:rsidRPr="003828A2" w:rsidRDefault="004D2C2E" w:rsidP="00FF1A8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Nasadzenia pasów zieleni izolacyjnej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2E" w:rsidRPr="00C92B2C" w:rsidRDefault="004D2C2E" w:rsidP="00C92B2C">
            <w:pPr>
              <w:tabs>
                <w:tab w:val="left" w:pos="993"/>
              </w:tabs>
              <w:jc w:val="both"/>
              <w:rPr>
                <w:sz w:val="20"/>
              </w:rPr>
            </w:pPr>
            <w:r w:rsidRPr="00494C66">
              <w:rPr>
                <w:sz w:val="20"/>
              </w:rPr>
              <w:t xml:space="preserve">Nasadzono drzewa w pasach drogowych dróg gminnych na odcinku 2,5 km oraz nasadzenia roślinności na terenie </w:t>
            </w:r>
            <w:r w:rsidR="009A046B">
              <w:rPr>
                <w:sz w:val="20"/>
              </w:rPr>
              <w:t>m</w:t>
            </w:r>
            <w:r w:rsidRPr="00494C66">
              <w:rPr>
                <w:sz w:val="20"/>
              </w:rPr>
              <w:t>iasta na placach zabaw i terenach zieleni miejskiej.</w:t>
            </w:r>
          </w:p>
        </w:tc>
      </w:tr>
    </w:tbl>
    <w:p w:rsidR="00CF097C" w:rsidRPr="00CF097C" w:rsidRDefault="00CF097C" w:rsidP="00CF097C"/>
    <w:p w:rsidR="00CF097C" w:rsidRPr="00CF097C" w:rsidRDefault="00254B90" w:rsidP="00C92B2C">
      <w:pPr>
        <w:pStyle w:val="Nagwek2"/>
      </w:pPr>
      <w:r>
        <w:t xml:space="preserve">3. </w:t>
      </w:r>
      <w:r w:rsidR="00307EFE">
        <w:t>W obszarze pola elektromagnetycznego podjęto do realizacji następujące działania w obrębie zadań</w:t>
      </w:r>
      <w:r w:rsidR="009A046B">
        <w:t>:</w:t>
      </w:r>
      <w:r w:rsidR="00307EFE"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0"/>
        <w:gridCol w:w="4679"/>
      </w:tblGrid>
      <w:tr w:rsidR="00307EFE" w:rsidRPr="0067059B" w:rsidTr="000C6C2A">
        <w:trPr>
          <w:trHeight w:val="188"/>
          <w:tblHeader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3828A2" w:rsidRDefault="00307EFE" w:rsidP="00FF1A8E">
            <w:pPr>
              <w:pStyle w:val="Stopka"/>
              <w:tabs>
                <w:tab w:val="left" w:pos="708"/>
              </w:tabs>
              <w:ind w:left="57" w:right="57"/>
              <w:jc w:val="center"/>
              <w:rPr>
                <w:b/>
              </w:rPr>
            </w:pPr>
            <w:r w:rsidRPr="003828A2">
              <w:rPr>
                <w:b/>
              </w:rPr>
              <w:t>Nazwa zadania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3828A2" w:rsidRDefault="00307EFE" w:rsidP="00FF1A8E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3828A2">
              <w:rPr>
                <w:b/>
                <w:sz w:val="20"/>
                <w:szCs w:val="20"/>
              </w:rPr>
              <w:t>Opis podjętych działań</w:t>
            </w:r>
          </w:p>
        </w:tc>
      </w:tr>
      <w:tr w:rsidR="00CF097C" w:rsidRPr="0067059B" w:rsidTr="00CF097C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7C" w:rsidRPr="003828A2" w:rsidRDefault="00CF097C" w:rsidP="00FF1A8E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Działania administracyjne i organizacyjne w zakresie zagrożenia polami elektromagnetycznymi</w:t>
            </w:r>
          </w:p>
        </w:tc>
      </w:tr>
      <w:tr w:rsidR="00307EFE" w:rsidRPr="0067059B" w:rsidTr="000C6C2A">
        <w:trPr>
          <w:trHeight w:val="1346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3828A2" w:rsidRDefault="00307EFE" w:rsidP="00FF1A8E">
            <w:pPr>
              <w:pStyle w:val="Stopka"/>
              <w:tabs>
                <w:tab w:val="left" w:pos="708"/>
              </w:tabs>
              <w:ind w:left="57" w:right="57"/>
              <w:jc w:val="center"/>
            </w:pPr>
            <w:r>
              <w:t xml:space="preserve">Uwzględnienie w miejscowych planach zagospodarowania przestrzennego aspektów dotyczących zagrożeń pochodzących od pól elektromagnetycznych, w tym aktualizacje </w:t>
            </w:r>
            <w:proofErr w:type="spellStart"/>
            <w:r>
              <w:t>mpzp</w:t>
            </w:r>
            <w:proofErr w:type="spellEnd"/>
            <w:r>
              <w:t xml:space="preserve"> z 2010 r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E80B59" w:rsidRDefault="00307EFE" w:rsidP="00E80B5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W uchwalonych </w:t>
            </w:r>
            <w:r w:rsidRPr="00E80B59">
              <w:rPr>
                <w:sz w:val="20"/>
              </w:rPr>
              <w:t xml:space="preserve">miejscowych planach zagospodarowania </w:t>
            </w:r>
            <w:r>
              <w:rPr>
                <w:sz w:val="20"/>
              </w:rPr>
              <w:t xml:space="preserve">przestrzennego </w:t>
            </w:r>
            <w:r w:rsidRPr="00E80B59">
              <w:rPr>
                <w:sz w:val="20"/>
              </w:rPr>
              <w:t>umieszczono zapisy o uwzględnieniu przy prowadzeniu działalności</w:t>
            </w:r>
            <w:r w:rsidR="009A046B">
              <w:rPr>
                <w:sz w:val="20"/>
              </w:rPr>
              <w:t>,</w:t>
            </w:r>
            <w:r w:rsidRPr="00E80B59">
              <w:rPr>
                <w:sz w:val="20"/>
              </w:rPr>
              <w:t xml:space="preserve"> by nie wpływały negatywnie na pole elektromagnetyczne. </w:t>
            </w:r>
          </w:p>
          <w:p w:rsidR="00307EFE" w:rsidRPr="003828A2" w:rsidRDefault="00307EFE" w:rsidP="00FF1A8E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07EFE" w:rsidRPr="0067059B" w:rsidTr="000C6C2A">
        <w:trPr>
          <w:trHeight w:val="1145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3828A2" w:rsidRDefault="00307EFE" w:rsidP="00FF1A8E">
            <w:pPr>
              <w:pStyle w:val="wynos"/>
              <w:tabs>
                <w:tab w:val="left" w:pos="360"/>
              </w:tabs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Budowa, rozbudowa i modernizacja sieci elektroenergetycznych w związku z Planem Rozwoju Spółki ENEA Operator, </w:t>
            </w:r>
            <w:proofErr w:type="gramStart"/>
            <w:r>
              <w:rPr>
                <w:sz w:val="20"/>
                <w:szCs w:val="20"/>
              </w:rPr>
              <w:t>w  tym</w:t>
            </w:r>
            <w:proofErr w:type="gramEnd"/>
            <w:r>
              <w:rPr>
                <w:sz w:val="20"/>
                <w:szCs w:val="20"/>
              </w:rPr>
              <w:t xml:space="preserve"> na obszarze Gminy Gołańcz przyłączenie odbiorców IV-VI grupy, budowa przyłączy </w:t>
            </w:r>
            <w:proofErr w:type="spellStart"/>
            <w:r>
              <w:rPr>
                <w:sz w:val="20"/>
                <w:szCs w:val="20"/>
              </w:rPr>
              <w:t>nn</w:t>
            </w:r>
            <w:proofErr w:type="spellEnd"/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3828A2" w:rsidRDefault="00307EFE" w:rsidP="00FF1A8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prowadzone </w:t>
            </w:r>
            <w:r w:rsidR="00C25FDA">
              <w:rPr>
                <w:sz w:val="20"/>
                <w:szCs w:val="20"/>
              </w:rPr>
              <w:t xml:space="preserve">systematycznie przez operatora sieci </w:t>
            </w:r>
            <w:r w:rsidR="00CF097C">
              <w:rPr>
                <w:sz w:val="20"/>
                <w:szCs w:val="20"/>
              </w:rPr>
              <w:t>elektroenergetycznej</w:t>
            </w:r>
          </w:p>
        </w:tc>
      </w:tr>
    </w:tbl>
    <w:p w:rsidR="009A046B" w:rsidRDefault="009A046B" w:rsidP="00037844">
      <w:pPr>
        <w:pStyle w:val="Nagwek2"/>
      </w:pPr>
    </w:p>
    <w:p w:rsidR="00E0093D" w:rsidRPr="00B30422" w:rsidRDefault="00E0093D" w:rsidP="00037844">
      <w:pPr>
        <w:pStyle w:val="Nagwek2"/>
      </w:pPr>
      <w:r>
        <w:t xml:space="preserve">4. </w:t>
      </w:r>
      <w:r w:rsidR="00C25FDA">
        <w:t>W obszarze gospodarowania wodami podjęto do realizacji następujące działania w obrębie zadań</w:t>
      </w:r>
      <w:r w:rsidR="009A046B">
        <w:t>: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63"/>
        <w:gridCol w:w="5230"/>
      </w:tblGrid>
      <w:tr w:rsidR="00307EFE" w:rsidRPr="0067059B" w:rsidTr="000C6C2A">
        <w:trPr>
          <w:trHeight w:val="48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Default="00307EFE" w:rsidP="00FF1A8E">
            <w:pPr>
              <w:ind w:right="-129"/>
              <w:jc w:val="center"/>
            </w:pPr>
            <w:r w:rsidRPr="0067059B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67059B" w:rsidRDefault="00307EFE" w:rsidP="00FF1A8E">
            <w:pPr>
              <w:ind w:left="-80" w:right="-171"/>
              <w:jc w:val="center"/>
              <w:rPr>
                <w:b/>
                <w:sz w:val="20"/>
                <w:szCs w:val="20"/>
              </w:rPr>
            </w:pPr>
            <w:r w:rsidRPr="0067059B">
              <w:rPr>
                <w:b/>
                <w:sz w:val="20"/>
                <w:szCs w:val="20"/>
              </w:rPr>
              <w:t>Opis podjętych działań</w:t>
            </w:r>
          </w:p>
        </w:tc>
      </w:tr>
      <w:tr w:rsidR="00C25FDA" w:rsidRPr="0067059B" w:rsidTr="000C6C2A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DA" w:rsidRPr="00187AE5" w:rsidRDefault="00C25FDA" w:rsidP="00FF1A8E">
            <w:pPr>
              <w:ind w:left="-80" w:right="-17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Racjonalizacja korzystania z wód</w:t>
            </w:r>
          </w:p>
        </w:tc>
      </w:tr>
      <w:tr w:rsidR="00307EFE" w:rsidRPr="0067059B" w:rsidTr="000C6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67059B" w:rsidRDefault="00307EFE" w:rsidP="00FF1A8E">
            <w:pPr>
              <w:ind w:righ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Rozwój obiektów małej retencji, w tym budowa zbiornika Laskownica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67059B" w:rsidRDefault="00307EFE" w:rsidP="00E80B59">
            <w:pPr>
              <w:ind w:left="-80" w:right="-171"/>
              <w:rPr>
                <w:sz w:val="20"/>
                <w:szCs w:val="20"/>
              </w:rPr>
            </w:pPr>
            <w:r w:rsidRPr="00F50536">
              <w:rPr>
                <w:sz w:val="20"/>
                <w:szCs w:val="20"/>
              </w:rPr>
              <w:t>Rekultywacja stawu</w:t>
            </w:r>
            <w:r>
              <w:rPr>
                <w:sz w:val="20"/>
                <w:szCs w:val="20"/>
              </w:rPr>
              <w:t xml:space="preserve"> </w:t>
            </w:r>
            <w:r w:rsidRPr="00F50536">
              <w:rPr>
                <w:sz w:val="20"/>
                <w:szCs w:val="20"/>
              </w:rPr>
              <w:t>wodnego – „Żabiak” w Gołańczy</w:t>
            </w:r>
            <w:r w:rsidR="00C25FDA">
              <w:rPr>
                <w:sz w:val="20"/>
                <w:szCs w:val="20"/>
              </w:rPr>
              <w:t>, rekultywacja stawu w Grabowie,</w:t>
            </w:r>
          </w:p>
        </w:tc>
      </w:tr>
      <w:tr w:rsidR="00C25FDA" w:rsidRPr="0067059B" w:rsidTr="000C6C2A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DA" w:rsidRPr="00416970" w:rsidRDefault="00C25FDA" w:rsidP="00FF1A8E">
            <w:pPr>
              <w:ind w:left="-137" w:right="-171"/>
              <w:jc w:val="center"/>
              <w:rPr>
                <w:b/>
                <w:i/>
                <w:sz w:val="20"/>
                <w:szCs w:val="20"/>
              </w:rPr>
            </w:pPr>
            <w:r w:rsidRPr="00416970">
              <w:rPr>
                <w:b/>
                <w:i/>
                <w:sz w:val="20"/>
                <w:szCs w:val="20"/>
              </w:rPr>
              <w:lastRenderedPageBreak/>
              <w:t>Osiągnięcie i utrzymanie dobrego stanu wód powierzchniowych i podziemnych</w:t>
            </w:r>
          </w:p>
        </w:tc>
      </w:tr>
      <w:tr w:rsidR="00307EFE" w:rsidRPr="0067059B" w:rsidTr="000C6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67059B" w:rsidRDefault="00307EFE" w:rsidP="00FF1A8E">
            <w:pPr>
              <w:pStyle w:val="program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Monitorowanie jakości wód podziemnych i powierzchniowych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67059B" w:rsidRDefault="00CF097C" w:rsidP="00FF1A8E">
            <w:pPr>
              <w:ind w:left="-80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Monitorowanie wód podziemnych, częstotliwość kontroli uzależniona od wytycznych zawartych w pozwoleniu wodno-prawnym, </w:t>
            </w:r>
          </w:p>
        </w:tc>
      </w:tr>
      <w:tr w:rsidR="00307EFE" w:rsidRPr="0067059B" w:rsidTr="000C6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67059B" w:rsidRDefault="00307EFE" w:rsidP="00FF1A8E">
            <w:pPr>
              <w:pStyle w:val="program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Likwidacja zbiorników bezodpływowych oraz kontrola odprowadzania ścieków na terenie Gminy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67059B" w:rsidRDefault="00C25FDA" w:rsidP="00FF1A8E">
            <w:pPr>
              <w:ind w:left="-80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Kontrola </w:t>
            </w:r>
            <w:r w:rsidR="009A046B">
              <w:rPr>
                <w:sz w:val="20"/>
                <w:szCs w:val="20"/>
              </w:rPr>
              <w:t>odprowadzania ścieków</w:t>
            </w:r>
            <w:r>
              <w:rPr>
                <w:sz w:val="20"/>
                <w:szCs w:val="20"/>
              </w:rPr>
              <w:t xml:space="preserve"> to zadanie ciągłe realizowane na podstawie danych dostarczonych przez Zakład Gospodarki Komunalnej </w:t>
            </w:r>
          </w:p>
        </w:tc>
      </w:tr>
      <w:tr w:rsidR="008D0B3F" w:rsidRPr="0067059B" w:rsidTr="003B36DA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3F" w:rsidRPr="00416970" w:rsidRDefault="008D0B3F" w:rsidP="00FF1A8E">
            <w:pPr>
              <w:ind w:left="-91" w:right="-170"/>
              <w:jc w:val="center"/>
              <w:rPr>
                <w:b/>
                <w:i/>
                <w:sz w:val="20"/>
                <w:szCs w:val="20"/>
              </w:rPr>
            </w:pPr>
            <w:r w:rsidRPr="00416970">
              <w:rPr>
                <w:b/>
                <w:i/>
                <w:sz w:val="20"/>
                <w:szCs w:val="20"/>
              </w:rPr>
              <w:t>Ocena ryzyka powodziowego oraz ochrona przed powodzią</w:t>
            </w:r>
          </w:p>
        </w:tc>
      </w:tr>
      <w:tr w:rsidR="00307EFE" w:rsidRPr="0067059B" w:rsidTr="000C6C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67059B" w:rsidRDefault="00307EFE" w:rsidP="00FF1A8E">
            <w:pPr>
              <w:pStyle w:val="program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Utrzymanie i konserwacja cieków naturalnych (odmulenie, koszenie skarp i dna, zabudowa wyrw, utrzymanie drożności cieku</w:t>
            </w:r>
            <w:r w:rsidR="00C92B2C">
              <w:rPr>
                <w:sz w:val="20"/>
              </w:rPr>
              <w:t>)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F50536" w:rsidRDefault="00307EFE" w:rsidP="00E80B59">
            <w:pPr>
              <w:ind w:left="-80" w:right="-30"/>
              <w:jc w:val="both"/>
              <w:rPr>
                <w:sz w:val="20"/>
                <w:szCs w:val="20"/>
              </w:rPr>
            </w:pPr>
            <w:r w:rsidRPr="00F50536">
              <w:rPr>
                <w:sz w:val="20"/>
                <w:szCs w:val="20"/>
              </w:rPr>
              <w:t>- naprawa/konserwacja systemów drenarskich i rurociągów melioracyjnych na użytkach rolnych- w ramach dotacji dla spółek wodnych</w:t>
            </w:r>
          </w:p>
          <w:p w:rsidR="00307EFE" w:rsidRPr="00F50536" w:rsidRDefault="00307EFE" w:rsidP="00E80B59">
            <w:pPr>
              <w:ind w:left="-80" w:right="-30"/>
              <w:jc w:val="both"/>
              <w:rPr>
                <w:sz w:val="20"/>
                <w:szCs w:val="20"/>
              </w:rPr>
            </w:pPr>
            <w:r w:rsidRPr="00F50536">
              <w:rPr>
                <w:sz w:val="20"/>
                <w:szCs w:val="20"/>
              </w:rPr>
              <w:t xml:space="preserve">- </w:t>
            </w:r>
            <w:r w:rsidR="009A046B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onserwacja rowów melioracyjnych</w:t>
            </w:r>
            <w:r w:rsidR="009A046B">
              <w:rPr>
                <w:sz w:val="20"/>
                <w:szCs w:val="20"/>
              </w:rPr>
              <w:t xml:space="preserve"> </w:t>
            </w:r>
            <w:r w:rsidRPr="00F50536">
              <w:rPr>
                <w:sz w:val="20"/>
                <w:szCs w:val="20"/>
              </w:rPr>
              <w:t>- w ramach dotacji dla spółek wodnych</w:t>
            </w:r>
          </w:p>
          <w:p w:rsidR="00307EFE" w:rsidRPr="00F50536" w:rsidRDefault="00307EFE" w:rsidP="00E80B59">
            <w:pPr>
              <w:ind w:left="-80" w:right="-30"/>
              <w:jc w:val="both"/>
              <w:rPr>
                <w:sz w:val="20"/>
                <w:szCs w:val="20"/>
              </w:rPr>
            </w:pPr>
            <w:r w:rsidRPr="00F50536">
              <w:rPr>
                <w:sz w:val="20"/>
                <w:szCs w:val="20"/>
              </w:rPr>
              <w:t>-</w:t>
            </w:r>
            <w:r w:rsidR="009A046B">
              <w:rPr>
                <w:sz w:val="20"/>
                <w:szCs w:val="20"/>
              </w:rPr>
              <w:t xml:space="preserve"> k</w:t>
            </w:r>
            <w:r w:rsidRPr="00F50536">
              <w:rPr>
                <w:sz w:val="20"/>
                <w:szCs w:val="20"/>
              </w:rPr>
              <w:t>onserwacja rzek, kan</w:t>
            </w:r>
            <w:r>
              <w:rPr>
                <w:sz w:val="20"/>
                <w:szCs w:val="20"/>
              </w:rPr>
              <w:t xml:space="preserve">ałów, rowów </w:t>
            </w:r>
            <w:r w:rsidRPr="00F50536">
              <w:rPr>
                <w:sz w:val="20"/>
                <w:szCs w:val="20"/>
              </w:rPr>
              <w:t>- działania spółek wodnych, działających na terenie Gminy Gołańcz </w:t>
            </w:r>
          </w:p>
          <w:p w:rsidR="00307EFE" w:rsidRPr="0067059B" w:rsidRDefault="00307EFE" w:rsidP="00FF1A8E">
            <w:pPr>
              <w:ind w:left="-80" w:right="-30"/>
              <w:jc w:val="center"/>
              <w:rPr>
                <w:sz w:val="20"/>
                <w:szCs w:val="20"/>
              </w:rPr>
            </w:pPr>
          </w:p>
        </w:tc>
      </w:tr>
    </w:tbl>
    <w:p w:rsidR="00E0093D" w:rsidRDefault="00E0093D" w:rsidP="00E0093D">
      <w:pPr>
        <w:spacing w:line="360" w:lineRule="auto"/>
        <w:jc w:val="both"/>
        <w:rPr>
          <w:lang w:eastAsia="en-US"/>
        </w:rPr>
      </w:pPr>
    </w:p>
    <w:p w:rsidR="00E0093D" w:rsidRPr="008A7439" w:rsidRDefault="008A7439" w:rsidP="008A7439">
      <w:pPr>
        <w:pStyle w:val="Nagwek2"/>
      </w:pPr>
      <w:r>
        <w:t xml:space="preserve">5. </w:t>
      </w:r>
      <w:bookmarkStart w:id="4" w:name="_Hlk4397810"/>
      <w:r w:rsidR="00C25FDA">
        <w:t>W obszarze gospodarki wodno-ściekowej podjęto do realizacji następujące działania w obrębie zadań</w:t>
      </w:r>
      <w:bookmarkEnd w:id="4"/>
      <w:r w:rsidR="009A046B"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8"/>
        <w:gridCol w:w="4961"/>
      </w:tblGrid>
      <w:tr w:rsidR="00307EFE" w:rsidRPr="0067059B" w:rsidTr="00CF097C">
        <w:trPr>
          <w:trHeight w:val="210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373861" w:rsidRDefault="00307EFE" w:rsidP="00FF1A8E">
            <w:pPr>
              <w:pStyle w:val="program"/>
              <w:ind w:right="-129" w:firstLine="0"/>
              <w:jc w:val="center"/>
              <w:rPr>
                <w:b/>
                <w:sz w:val="20"/>
              </w:rPr>
            </w:pPr>
            <w:r w:rsidRPr="00373861">
              <w:rPr>
                <w:b/>
                <w:sz w:val="20"/>
              </w:rPr>
              <w:t>Nazwa zadania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373861" w:rsidRDefault="00307EFE" w:rsidP="00FF1A8E">
            <w:pPr>
              <w:ind w:left="-80" w:right="-171"/>
              <w:jc w:val="center"/>
              <w:rPr>
                <w:b/>
                <w:sz w:val="20"/>
                <w:szCs w:val="20"/>
              </w:rPr>
            </w:pPr>
            <w:r w:rsidRPr="00373861">
              <w:rPr>
                <w:b/>
                <w:sz w:val="20"/>
                <w:szCs w:val="20"/>
              </w:rPr>
              <w:t>Opis odjętych działań</w:t>
            </w:r>
          </w:p>
        </w:tc>
      </w:tr>
      <w:tr w:rsidR="008D0B3F" w:rsidRPr="0067059B" w:rsidTr="002941AE">
        <w:trPr>
          <w:trHeight w:val="42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3F" w:rsidRPr="00373861" w:rsidRDefault="008D0B3F" w:rsidP="00FF1A8E">
            <w:pPr>
              <w:ind w:left="-80" w:right="-17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Działania inwestycyjne w zakresie gospodarki wodno-ściekowej</w:t>
            </w:r>
          </w:p>
        </w:tc>
      </w:tr>
      <w:tr w:rsidR="00307EFE" w:rsidRPr="0067059B" w:rsidTr="00CF097C">
        <w:trPr>
          <w:trHeight w:val="85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373861" w:rsidRDefault="00307EFE" w:rsidP="00C25C05">
            <w:pPr>
              <w:pStyle w:val="program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Kontynuacja rozbudowy i modernizacji infrastruktury związanej z zaopatrzeniem mieszkańców i podmiotów gospodarczych w wodę, w tym budowa sieci wodociągowej Potuli- Chojna, Chojna -Parkowo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373861" w:rsidRDefault="00CF097C" w:rsidP="00FF1A8E">
            <w:pPr>
              <w:ind w:left="-80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Wykonana pierwsza część inwestycji, przeprowadzona sieć wodociągowa z hydroforni z Parkowa do Chojny, do pierwszego zabudowania w miejscowości Chojna</w:t>
            </w:r>
          </w:p>
        </w:tc>
      </w:tr>
      <w:tr w:rsidR="00307EFE" w:rsidRPr="0067059B" w:rsidTr="00CF097C">
        <w:trPr>
          <w:trHeight w:val="108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373861" w:rsidRDefault="00307EFE" w:rsidP="00FF1A8E">
            <w:pPr>
              <w:pStyle w:val="cyferkiwtabeli"/>
              <w:suppressAutoHyphens w:val="0"/>
              <w:overflowPunct/>
              <w:autoSpaceDE/>
              <w:autoSpaceDN w:val="0"/>
              <w:spacing w:before="0" w:line="240" w:lineRule="auto"/>
              <w:ind w:right="-1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Kontynuacja rozbudowy i modernizacji infrastruktury związanej z odprowadzaniem ścieków komunalnych i przemysłowych oraz wód opadowych i roztopowych, w tym budowa kanalizacji sanitarnej dla miejscowości Laskownica Mała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F50536" w:rsidRDefault="00307EFE" w:rsidP="000C6C2A">
            <w:pPr>
              <w:ind w:left="-80" w:right="-171"/>
              <w:rPr>
                <w:sz w:val="20"/>
                <w:szCs w:val="20"/>
              </w:rPr>
            </w:pPr>
            <w:r w:rsidRPr="00F50536">
              <w:rPr>
                <w:sz w:val="20"/>
                <w:szCs w:val="20"/>
              </w:rPr>
              <w:t xml:space="preserve">Budowa kanalizacji sanitarnej we wsi Laskownica Mała o długości 4758 </w:t>
            </w:r>
            <w:proofErr w:type="spellStart"/>
            <w:r w:rsidRPr="00F50536">
              <w:rPr>
                <w:sz w:val="20"/>
                <w:szCs w:val="20"/>
              </w:rPr>
              <w:t>mb</w:t>
            </w:r>
            <w:proofErr w:type="spellEnd"/>
            <w:r w:rsidR="000C6C2A">
              <w:rPr>
                <w:sz w:val="20"/>
                <w:szCs w:val="20"/>
              </w:rPr>
              <w:t>, przebudowa drogi ul. Cisowa, Sportowa wraz z odprowadzeniem wód opadowych i roztopowych</w:t>
            </w:r>
          </w:p>
          <w:p w:rsidR="00307EFE" w:rsidRPr="00F50536" w:rsidRDefault="00307EFE" w:rsidP="00F50536">
            <w:pPr>
              <w:ind w:left="-80" w:right="-171"/>
              <w:jc w:val="center"/>
              <w:rPr>
                <w:sz w:val="20"/>
                <w:szCs w:val="20"/>
              </w:rPr>
            </w:pPr>
          </w:p>
          <w:p w:rsidR="00307EFE" w:rsidRPr="00373861" w:rsidRDefault="00307EFE" w:rsidP="00FF1A8E">
            <w:pPr>
              <w:ind w:left="-80" w:right="-171"/>
              <w:jc w:val="center"/>
              <w:rPr>
                <w:sz w:val="20"/>
                <w:szCs w:val="20"/>
              </w:rPr>
            </w:pPr>
          </w:p>
        </w:tc>
      </w:tr>
      <w:tr w:rsidR="00307EFE" w:rsidRPr="0067059B" w:rsidTr="00CF097C">
        <w:trPr>
          <w:trHeight w:val="85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373861" w:rsidRDefault="00307EFE" w:rsidP="00FF1A8E">
            <w:pPr>
              <w:pStyle w:val="program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Kontynuacja kontroli odprowadzania ścieków i gospodarowania wodą, w tym budowa oczyszczalni ścieków w miejscowości Gręziny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373861" w:rsidRDefault="00307EFE" w:rsidP="000C6C2A">
            <w:pPr>
              <w:ind w:left="-80" w:right="-171"/>
              <w:jc w:val="center"/>
              <w:rPr>
                <w:sz w:val="20"/>
                <w:szCs w:val="20"/>
              </w:rPr>
            </w:pPr>
            <w:r w:rsidRPr="00F50536">
              <w:rPr>
                <w:sz w:val="20"/>
                <w:szCs w:val="20"/>
              </w:rPr>
              <w:t>Kontrole administracyjne ilości osób</w:t>
            </w:r>
            <w:r w:rsidR="009A046B">
              <w:rPr>
                <w:sz w:val="20"/>
                <w:szCs w:val="20"/>
              </w:rPr>
              <w:t>,</w:t>
            </w:r>
            <w:r w:rsidRPr="00F50536">
              <w:rPr>
                <w:sz w:val="20"/>
                <w:szCs w:val="20"/>
              </w:rPr>
              <w:t xml:space="preserve"> od których wywożone są nieczystości, kontrole u mieszkańców w celu sprawdzenia posiadanych umów i częstotliwości odprowadzania ścieków– przeprowadzono 60 kontroli</w:t>
            </w:r>
          </w:p>
        </w:tc>
      </w:tr>
      <w:tr w:rsidR="00307EFE" w:rsidRPr="0067059B" w:rsidTr="00CF097C">
        <w:trPr>
          <w:trHeight w:val="13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373861" w:rsidRDefault="00307EFE" w:rsidP="00FF1A8E">
            <w:pPr>
              <w:ind w:righ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rejestru przydomowych oczyszczalni ścieków i zbiorników bezodpływowych w Gminie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F50536" w:rsidRDefault="00307EFE" w:rsidP="000C6C2A">
            <w:pPr>
              <w:ind w:left="-80" w:right="-171"/>
              <w:jc w:val="center"/>
              <w:rPr>
                <w:sz w:val="20"/>
                <w:szCs w:val="20"/>
              </w:rPr>
            </w:pPr>
            <w:r w:rsidRPr="00F50536">
              <w:rPr>
                <w:sz w:val="20"/>
                <w:szCs w:val="20"/>
              </w:rPr>
              <w:t>Prowadzenie na bieżąco rejestru przydomowych oczyszczalni ścieków i zbiorników bezodpływowych. Na koniec 2018 roku zarejestrowanych było 734 zbiorników bezodpływowych i 50 przydomowych oczyszczalni ścieków.</w:t>
            </w:r>
          </w:p>
          <w:p w:rsidR="00307EFE" w:rsidRPr="00373861" w:rsidRDefault="00307EFE" w:rsidP="000C6C2A">
            <w:pPr>
              <w:ind w:left="-80" w:right="-171"/>
              <w:jc w:val="center"/>
              <w:rPr>
                <w:sz w:val="20"/>
                <w:szCs w:val="20"/>
              </w:rPr>
            </w:pPr>
          </w:p>
        </w:tc>
      </w:tr>
    </w:tbl>
    <w:p w:rsidR="00E0093D" w:rsidRPr="00016A8C" w:rsidRDefault="00E0093D" w:rsidP="00E0093D">
      <w:pPr>
        <w:spacing w:line="360" w:lineRule="auto"/>
        <w:jc w:val="both"/>
      </w:pPr>
    </w:p>
    <w:p w:rsidR="00E0093D" w:rsidRPr="00C92B2C" w:rsidRDefault="00E0093D" w:rsidP="00C92B2C">
      <w:pPr>
        <w:keepNext/>
        <w:jc w:val="both"/>
        <w:outlineLvl w:val="1"/>
        <w:rPr>
          <w:rFonts w:cs="Arial"/>
          <w:b/>
          <w:bCs/>
          <w:i/>
          <w:iCs/>
          <w:szCs w:val="28"/>
        </w:rPr>
      </w:pPr>
      <w:bookmarkStart w:id="5" w:name="_Toc184008306"/>
      <w:r w:rsidRPr="00CF097C">
        <w:rPr>
          <w:rFonts w:cs="Arial"/>
          <w:bCs/>
          <w:iCs/>
          <w:szCs w:val="28"/>
        </w:rPr>
        <w:t>6</w:t>
      </w:r>
      <w:r w:rsidRPr="00BF12EC">
        <w:rPr>
          <w:rFonts w:cs="Arial"/>
          <w:b/>
          <w:bCs/>
          <w:i/>
          <w:iCs/>
          <w:szCs w:val="28"/>
        </w:rPr>
        <w:t>.</w:t>
      </w:r>
      <w:r w:rsidR="000C6C2A" w:rsidRPr="000C6C2A">
        <w:t xml:space="preserve"> </w:t>
      </w:r>
      <w:r w:rsidR="000C6C2A">
        <w:t xml:space="preserve">W obszarze </w:t>
      </w:r>
      <w:r w:rsidR="000C6C2A" w:rsidRPr="000C6C2A">
        <w:rPr>
          <w:rFonts w:cs="Arial"/>
          <w:bCs/>
          <w:iCs/>
          <w:szCs w:val="28"/>
        </w:rPr>
        <w:t>zasobów geologicznych</w:t>
      </w:r>
      <w:r w:rsidR="000C6C2A">
        <w:t xml:space="preserve"> podjęto do realizacji następujące działania w obrębie zadań</w:t>
      </w:r>
      <w:r w:rsidR="009A046B">
        <w:t>:</w:t>
      </w:r>
      <w:r w:rsidRPr="00BF12EC">
        <w:rPr>
          <w:rFonts w:cs="Arial"/>
          <w:b/>
          <w:bCs/>
          <w:i/>
          <w:iCs/>
          <w:szCs w:val="28"/>
        </w:rPr>
        <w:t xml:space="preserve"> </w:t>
      </w:r>
      <w:bookmarkEnd w:id="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77"/>
        <w:gridCol w:w="6142"/>
      </w:tblGrid>
      <w:tr w:rsidR="00307EFE" w:rsidRPr="00BF12EC" w:rsidTr="00FF1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BF12EC" w:rsidRDefault="00307EFE" w:rsidP="00FF1A8E">
            <w:pPr>
              <w:ind w:right="-129"/>
              <w:jc w:val="center"/>
              <w:rPr>
                <w:b/>
                <w:sz w:val="20"/>
                <w:szCs w:val="20"/>
              </w:rPr>
            </w:pPr>
            <w:r w:rsidRPr="00BF12EC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BF12EC" w:rsidRDefault="00307EFE" w:rsidP="00FF1A8E">
            <w:pPr>
              <w:ind w:left="-80" w:right="-171"/>
              <w:jc w:val="center"/>
              <w:rPr>
                <w:b/>
                <w:sz w:val="20"/>
                <w:szCs w:val="20"/>
              </w:rPr>
            </w:pPr>
            <w:r w:rsidRPr="00BF12EC">
              <w:rPr>
                <w:b/>
                <w:sz w:val="20"/>
                <w:szCs w:val="20"/>
              </w:rPr>
              <w:t>Opis podjętych działań</w:t>
            </w:r>
          </w:p>
        </w:tc>
      </w:tr>
      <w:tr w:rsidR="000C6C2A" w:rsidRPr="00BF12EC" w:rsidTr="00EF17D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2A" w:rsidRPr="00DC5FDD" w:rsidRDefault="000C6C2A" w:rsidP="00FF1A8E">
            <w:pPr>
              <w:ind w:left="-80" w:right="-171"/>
              <w:jc w:val="center"/>
              <w:rPr>
                <w:b/>
                <w:i/>
                <w:sz w:val="20"/>
                <w:szCs w:val="20"/>
              </w:rPr>
            </w:pPr>
            <w:r w:rsidRPr="00DC5FDD">
              <w:rPr>
                <w:b/>
                <w:i/>
                <w:sz w:val="20"/>
                <w:szCs w:val="20"/>
              </w:rPr>
              <w:t>Identyfikacja działań naprawczych w stosunku do obszarów wymagających rekultywacji</w:t>
            </w:r>
          </w:p>
        </w:tc>
      </w:tr>
      <w:tr w:rsidR="00307EFE" w:rsidRPr="00BF12EC" w:rsidTr="00FF1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BF12EC" w:rsidRDefault="00307EFE" w:rsidP="00FF1A8E">
            <w:pPr>
              <w:ind w:righ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Rekultywacja </w:t>
            </w:r>
            <w:proofErr w:type="gramStart"/>
            <w:r>
              <w:rPr>
                <w:sz w:val="20"/>
                <w:szCs w:val="20"/>
              </w:rPr>
              <w:t>terenów  zdegradowanych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F50536" w:rsidRDefault="00307EFE" w:rsidP="00F50536">
            <w:pPr>
              <w:pStyle w:val="Akapitzlist"/>
              <w:spacing w:after="0" w:line="240" w:lineRule="auto"/>
              <w:ind w:left="-43" w:hanging="23"/>
              <w:jc w:val="both"/>
              <w:rPr>
                <w:rFonts w:ascii="Times New Roman" w:hAnsi="Times New Roman" w:cs="Times New Roman"/>
                <w:sz w:val="20"/>
              </w:rPr>
            </w:pPr>
            <w:r w:rsidRPr="00F50536">
              <w:rPr>
                <w:rFonts w:ascii="Times New Roman" w:hAnsi="Times New Roman" w:cs="Times New Roman"/>
                <w:sz w:val="20"/>
              </w:rPr>
              <w:t>systematyczne działania mające na celu przywrócenie zdegradowanego terenu po wysypisku w Smogulcu.</w:t>
            </w:r>
          </w:p>
          <w:p w:rsidR="00307EFE" w:rsidRPr="00F50536" w:rsidRDefault="00307EFE" w:rsidP="00F50536">
            <w:pPr>
              <w:ind w:left="-43" w:hanging="23"/>
            </w:pPr>
          </w:p>
          <w:p w:rsidR="00307EFE" w:rsidRPr="00BF12EC" w:rsidRDefault="00307EFE" w:rsidP="00FF1A8E">
            <w:pPr>
              <w:ind w:left="-80" w:right="-171"/>
              <w:jc w:val="center"/>
              <w:rPr>
                <w:sz w:val="20"/>
                <w:szCs w:val="20"/>
              </w:rPr>
            </w:pPr>
          </w:p>
        </w:tc>
      </w:tr>
    </w:tbl>
    <w:p w:rsidR="00E0093D" w:rsidRPr="00BF12EC" w:rsidRDefault="00E0093D" w:rsidP="00E0093D"/>
    <w:p w:rsidR="00E0093D" w:rsidRDefault="00E0093D" w:rsidP="00037844">
      <w:pPr>
        <w:pStyle w:val="Nagwek2"/>
      </w:pPr>
      <w:bookmarkStart w:id="6" w:name="_Toc184008304"/>
      <w:r>
        <w:t>7.</w:t>
      </w:r>
      <w:r w:rsidR="008A7439">
        <w:t xml:space="preserve"> </w:t>
      </w:r>
      <w:r w:rsidR="000C6C2A">
        <w:t>W obszarze gleby podjęto do realizacji następujące działania w obrębie zadań</w:t>
      </w:r>
      <w:bookmarkEnd w:id="6"/>
      <w:r w:rsidR="009A046B">
        <w:t>:</w:t>
      </w:r>
    </w:p>
    <w:p w:rsidR="00E0093D" w:rsidRDefault="00E0093D" w:rsidP="00E0093D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5"/>
        <w:gridCol w:w="5704"/>
      </w:tblGrid>
      <w:tr w:rsidR="00307EFE" w:rsidRPr="0067059B" w:rsidTr="00FF1A8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373861" w:rsidRDefault="00307EFE" w:rsidP="00FF1A8E">
            <w:pPr>
              <w:pStyle w:val="program"/>
              <w:ind w:right="-129" w:firstLine="0"/>
              <w:jc w:val="center"/>
              <w:rPr>
                <w:b/>
                <w:sz w:val="20"/>
              </w:rPr>
            </w:pPr>
            <w:r w:rsidRPr="00373861">
              <w:rPr>
                <w:b/>
                <w:sz w:val="20"/>
              </w:rPr>
              <w:t>Nazwa 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373861" w:rsidRDefault="00307EFE" w:rsidP="00FF1A8E">
            <w:pPr>
              <w:ind w:left="-80" w:right="-171"/>
              <w:jc w:val="center"/>
              <w:rPr>
                <w:b/>
                <w:sz w:val="20"/>
                <w:szCs w:val="20"/>
              </w:rPr>
            </w:pPr>
            <w:r w:rsidRPr="00373861">
              <w:rPr>
                <w:b/>
                <w:sz w:val="20"/>
                <w:szCs w:val="20"/>
              </w:rPr>
              <w:t>Opis odjętych działań</w:t>
            </w:r>
          </w:p>
        </w:tc>
      </w:tr>
      <w:tr w:rsidR="000C6C2A" w:rsidRPr="0067059B" w:rsidTr="00FC4C4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2A" w:rsidRPr="00DC5FDD" w:rsidRDefault="000C6C2A" w:rsidP="00FF1A8E">
            <w:pPr>
              <w:ind w:left="-80" w:right="-171"/>
              <w:jc w:val="center"/>
              <w:rPr>
                <w:b/>
                <w:i/>
                <w:sz w:val="20"/>
                <w:szCs w:val="20"/>
              </w:rPr>
            </w:pPr>
            <w:r w:rsidRPr="00DC5FDD">
              <w:rPr>
                <w:b/>
                <w:i/>
                <w:sz w:val="20"/>
                <w:szCs w:val="20"/>
              </w:rPr>
              <w:t>Zapobieganie degradacji gleby</w:t>
            </w:r>
          </w:p>
        </w:tc>
      </w:tr>
      <w:tr w:rsidR="00307EFE" w:rsidRPr="0067059B" w:rsidTr="00FF1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373861" w:rsidRDefault="00307EFE" w:rsidP="00FF1A8E">
            <w:pPr>
              <w:pStyle w:val="program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Upowszechnianie Kodeksu Dobrej Praktyki Rolniczej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373861" w:rsidRDefault="00307EFE" w:rsidP="009A046B">
            <w:pPr>
              <w:ind w:left="-80" w:right="-171"/>
              <w:rPr>
                <w:sz w:val="20"/>
                <w:szCs w:val="20"/>
              </w:rPr>
            </w:pPr>
            <w:r w:rsidRPr="00F50536">
              <w:rPr>
                <w:sz w:val="20"/>
                <w:szCs w:val="20"/>
              </w:rPr>
              <w:t>Wykonywanie badań glebowych - wykonano jedno badanie gleby na zawartość azotanów pochodzenia rolniczego.</w:t>
            </w:r>
          </w:p>
        </w:tc>
      </w:tr>
    </w:tbl>
    <w:p w:rsidR="00DB1BB1" w:rsidRPr="00DB1BB1" w:rsidRDefault="008A7439" w:rsidP="009A046B">
      <w:pPr>
        <w:pStyle w:val="Nagwek2"/>
      </w:pPr>
      <w:r>
        <w:lastRenderedPageBreak/>
        <w:t>8.</w:t>
      </w:r>
      <w:r w:rsidR="000C6C2A" w:rsidRPr="000C6C2A">
        <w:t xml:space="preserve"> </w:t>
      </w:r>
      <w:r w:rsidR="000C6C2A">
        <w:t>W obszarze gospodarki odpadami i zapobieganie powstawaniu odpadów podjęto do realizacji następujące działania w obrębie zadań</w:t>
      </w:r>
      <w:r w:rsidR="009A046B">
        <w:t>:</w:t>
      </w:r>
      <w:r w:rsidR="000C6C2A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79"/>
        <w:gridCol w:w="5140"/>
      </w:tblGrid>
      <w:tr w:rsidR="00FC0B18" w:rsidRPr="0067059B" w:rsidTr="00FF1A8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373861" w:rsidRDefault="00307EFE" w:rsidP="00FF1A8E">
            <w:pPr>
              <w:pStyle w:val="program"/>
              <w:ind w:right="-129" w:firstLine="0"/>
              <w:jc w:val="center"/>
              <w:rPr>
                <w:b/>
                <w:sz w:val="20"/>
              </w:rPr>
            </w:pPr>
            <w:r w:rsidRPr="00373861">
              <w:rPr>
                <w:b/>
                <w:sz w:val="20"/>
              </w:rPr>
              <w:t>Nazwa 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373861" w:rsidRDefault="00307EFE" w:rsidP="00FF1A8E">
            <w:pPr>
              <w:ind w:left="-80" w:right="-171"/>
              <w:jc w:val="center"/>
              <w:rPr>
                <w:b/>
                <w:sz w:val="20"/>
                <w:szCs w:val="20"/>
              </w:rPr>
            </w:pPr>
            <w:r w:rsidRPr="00373861">
              <w:rPr>
                <w:b/>
                <w:sz w:val="20"/>
                <w:szCs w:val="20"/>
              </w:rPr>
              <w:t>Opis odjętych działań</w:t>
            </w:r>
          </w:p>
        </w:tc>
      </w:tr>
      <w:tr w:rsidR="000C6C2A" w:rsidRPr="0067059B" w:rsidTr="007B34D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2A" w:rsidRPr="00373861" w:rsidRDefault="000C6C2A" w:rsidP="00FF1A8E">
            <w:pPr>
              <w:ind w:left="-80" w:right="-17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Kontynuacja działań mających na celu zapewnienie właściwej obsługi mieszkańców w zakresie odbioru odpadów</w:t>
            </w:r>
          </w:p>
        </w:tc>
      </w:tr>
      <w:tr w:rsidR="00FC0B18" w:rsidRPr="0067059B" w:rsidTr="00FF1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373861" w:rsidRDefault="00307EFE" w:rsidP="00FF1A8E">
            <w:pPr>
              <w:pStyle w:val="program"/>
              <w:ind w:right="-129" w:firstLine="0"/>
              <w:jc w:val="center"/>
              <w:rPr>
                <w:sz w:val="20"/>
              </w:rPr>
            </w:pPr>
            <w:r>
              <w:rPr>
                <w:sz w:val="20"/>
              </w:rPr>
              <w:t>Minimalizacja składowanych odpadów poprzez zastosowanie intensywnej segregacji, rozwój selektywnej zbiórki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373861" w:rsidRDefault="00FC0B18" w:rsidP="00FF1A8E">
            <w:pPr>
              <w:ind w:left="-80"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ciągłe, segregacja odpadów</w:t>
            </w:r>
            <w:r w:rsidR="008D0B3F">
              <w:rPr>
                <w:sz w:val="20"/>
                <w:szCs w:val="20"/>
              </w:rPr>
              <w:t xml:space="preserve"> na terenie gminy prowadzona </w:t>
            </w:r>
            <w:r w:rsidR="00CF097C">
              <w:rPr>
                <w:sz w:val="20"/>
                <w:szCs w:val="20"/>
              </w:rPr>
              <w:t>po</w:t>
            </w:r>
            <w:r w:rsidR="008D0B3F">
              <w:rPr>
                <w:sz w:val="20"/>
                <w:szCs w:val="20"/>
              </w:rPr>
              <w:t xml:space="preserve">przez zbieranie </w:t>
            </w:r>
            <w:r>
              <w:rPr>
                <w:sz w:val="20"/>
                <w:szCs w:val="20"/>
              </w:rPr>
              <w:t>5 frakcji.</w:t>
            </w:r>
            <w:r w:rsidR="008D0B3F">
              <w:rPr>
                <w:sz w:val="20"/>
                <w:szCs w:val="20"/>
              </w:rPr>
              <w:t xml:space="preserve"> Na </w:t>
            </w:r>
            <w:proofErr w:type="spellStart"/>
            <w:r w:rsidR="008D0B3F">
              <w:rPr>
                <w:sz w:val="20"/>
                <w:szCs w:val="20"/>
              </w:rPr>
              <w:t>MSOK</w:t>
            </w:r>
            <w:proofErr w:type="spellEnd"/>
            <w:r w:rsidR="008D0B3F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dpad</w:t>
            </w:r>
            <w:r w:rsidR="008D0B3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z </w:t>
            </w:r>
            <w:r w:rsidR="008D0B3F">
              <w:rPr>
                <w:sz w:val="20"/>
                <w:szCs w:val="20"/>
              </w:rPr>
              <w:t xml:space="preserve">terenu </w:t>
            </w:r>
            <w:r>
              <w:rPr>
                <w:sz w:val="20"/>
                <w:szCs w:val="20"/>
              </w:rPr>
              <w:t>Gminy zostaj</w:t>
            </w:r>
            <w:r w:rsidR="008D0B3F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poddan</w:t>
            </w:r>
            <w:r w:rsidR="008D0B3F">
              <w:rPr>
                <w:sz w:val="20"/>
                <w:szCs w:val="20"/>
              </w:rPr>
              <w:t>e sortowaniu oraz mechaniczno-biologicznemu przetwarzaniu</w:t>
            </w:r>
            <w:r>
              <w:rPr>
                <w:sz w:val="20"/>
                <w:szCs w:val="20"/>
              </w:rPr>
              <w:t>, na składowisko trafiają śladowe ilości odpadów zmieszanych</w:t>
            </w:r>
            <w:r w:rsidR="00CF097C">
              <w:rPr>
                <w:sz w:val="20"/>
                <w:szCs w:val="20"/>
              </w:rPr>
              <w:t>.</w:t>
            </w:r>
          </w:p>
        </w:tc>
      </w:tr>
      <w:tr w:rsidR="00FC0B18" w:rsidRPr="0067059B" w:rsidTr="00FF1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373861" w:rsidRDefault="00307EFE" w:rsidP="00FF1A8E">
            <w:pPr>
              <w:pStyle w:val="cyferkiwtabeli"/>
              <w:suppressAutoHyphens w:val="0"/>
              <w:overflowPunct/>
              <w:autoSpaceDE/>
              <w:autoSpaceDN w:val="0"/>
              <w:spacing w:before="0" w:line="240" w:lineRule="auto"/>
              <w:ind w:right="-1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Podejmowanie działań związanych z unieszkodliwieniem wyrobów zawierających azbest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6B" w:rsidRDefault="00307EFE" w:rsidP="009A046B">
            <w:pPr>
              <w:ind w:left="-80" w:right="-171"/>
              <w:rPr>
                <w:sz w:val="20"/>
                <w:szCs w:val="20"/>
              </w:rPr>
            </w:pPr>
            <w:r w:rsidRPr="00A07A93">
              <w:rPr>
                <w:sz w:val="20"/>
                <w:szCs w:val="20"/>
              </w:rPr>
              <w:t xml:space="preserve">Odbiór, transport, utylizacja płyt azbestowych w ramach dotacji – odebrano i przekazano do utylizacji </w:t>
            </w:r>
            <w:r w:rsidR="009A046B">
              <w:rPr>
                <w:sz w:val="20"/>
                <w:szCs w:val="20"/>
              </w:rPr>
              <w:t xml:space="preserve">w poszczególnych latach: </w:t>
            </w:r>
          </w:p>
          <w:p w:rsidR="009A046B" w:rsidRDefault="009A046B" w:rsidP="009A046B">
            <w:pPr>
              <w:ind w:left="-80" w:right="-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roku 2016 – 71 ton 286 kg płyt azbestowych od 23 mieszkańców</w:t>
            </w:r>
          </w:p>
          <w:p w:rsidR="009A046B" w:rsidRDefault="009A046B" w:rsidP="009A046B">
            <w:pPr>
              <w:ind w:left="-80" w:right="-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roku 2017 – 53 tony 214 kg płyt azbestowych od 27 mieszkańców</w:t>
            </w:r>
          </w:p>
          <w:p w:rsidR="00307EFE" w:rsidRPr="00373861" w:rsidRDefault="009A046B" w:rsidP="009A046B">
            <w:pPr>
              <w:ind w:left="-80" w:right="-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roku 2018 - </w:t>
            </w:r>
            <w:r w:rsidR="00307EFE" w:rsidRPr="00A07A93">
              <w:rPr>
                <w:sz w:val="20"/>
                <w:szCs w:val="20"/>
              </w:rPr>
              <w:t xml:space="preserve">36 ton 994 kg płyt azbestowych, od 17 mieszkańców, </w:t>
            </w:r>
          </w:p>
        </w:tc>
      </w:tr>
      <w:tr w:rsidR="000C6C2A" w:rsidRPr="0067059B" w:rsidTr="00243CA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2A" w:rsidRPr="00DC5FDD" w:rsidRDefault="000C6C2A" w:rsidP="00FF1A8E">
            <w:pPr>
              <w:ind w:left="-80" w:right="-171"/>
              <w:jc w:val="center"/>
              <w:rPr>
                <w:b/>
                <w:i/>
                <w:sz w:val="20"/>
                <w:szCs w:val="20"/>
              </w:rPr>
            </w:pPr>
            <w:r w:rsidRPr="00DC5FDD">
              <w:rPr>
                <w:b/>
                <w:i/>
                <w:sz w:val="20"/>
                <w:szCs w:val="20"/>
              </w:rPr>
              <w:t>Rekultywacja obszarów zdegradowanych poprzez składowanie odpadów</w:t>
            </w:r>
          </w:p>
        </w:tc>
      </w:tr>
      <w:tr w:rsidR="00FC0B18" w:rsidRPr="0067059B" w:rsidTr="00FF1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373861" w:rsidRDefault="00307EFE" w:rsidP="00FF1A8E">
            <w:pPr>
              <w:ind w:righ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Rekultywacja składowiska odpadów w m. Smogulec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A07A93" w:rsidRDefault="00DB1BB1" w:rsidP="000C6C2A">
            <w:pPr>
              <w:tabs>
                <w:tab w:val="left" w:pos="194"/>
              </w:tabs>
              <w:ind w:right="-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2017 roku składowisko zostało zrekultywowane</w:t>
            </w:r>
            <w:r w:rsidR="009A04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obecnie przeprowadzane są d</w:t>
            </w:r>
            <w:r w:rsidR="00307EFE" w:rsidRPr="00A07A93">
              <w:rPr>
                <w:sz w:val="20"/>
                <w:szCs w:val="20"/>
              </w:rPr>
              <w:t>ziałania poeksploatacyjne na składowisku odpadów komunalnych w Smogulcu - dotacja przekazana dla Zakładu Gospodarki Komunalnej i Mieszkaniowej przeznaczona na monitoring, wykaszanie i uzupełnianie roślinności oraz koszty energii elektrycznej</w:t>
            </w:r>
          </w:p>
          <w:p w:rsidR="00307EFE" w:rsidRPr="00373861" w:rsidRDefault="00307EFE" w:rsidP="00FF1A8E">
            <w:pPr>
              <w:ind w:left="-80" w:right="-171"/>
              <w:jc w:val="center"/>
              <w:rPr>
                <w:sz w:val="20"/>
                <w:szCs w:val="20"/>
              </w:rPr>
            </w:pPr>
          </w:p>
        </w:tc>
      </w:tr>
      <w:tr w:rsidR="000C6C2A" w:rsidRPr="0067059B" w:rsidTr="00EA38F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2A" w:rsidRPr="00DC5FDD" w:rsidRDefault="000C6C2A" w:rsidP="00FF1A8E">
            <w:pPr>
              <w:ind w:left="-80" w:right="-171"/>
              <w:jc w:val="center"/>
              <w:rPr>
                <w:b/>
                <w:i/>
                <w:sz w:val="20"/>
                <w:szCs w:val="20"/>
              </w:rPr>
            </w:pPr>
            <w:r w:rsidRPr="00DC5FDD">
              <w:rPr>
                <w:b/>
                <w:i/>
                <w:sz w:val="20"/>
                <w:szCs w:val="20"/>
              </w:rPr>
              <w:t>Prowadzenie działań administracyjnych i kontrolnych</w:t>
            </w:r>
          </w:p>
        </w:tc>
      </w:tr>
      <w:tr w:rsidR="00FC0B18" w:rsidRPr="0067059B" w:rsidTr="00FF1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373861" w:rsidRDefault="00307EFE" w:rsidP="004A4F17">
            <w:pPr>
              <w:ind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Kontynuacja kontroli w zakresie prawidłowego gospodarowanie odpadami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A07A93" w:rsidRDefault="00307EFE" w:rsidP="000C6C2A">
            <w:pPr>
              <w:pStyle w:val="Akapitzlist"/>
              <w:tabs>
                <w:tab w:val="left" w:pos="155"/>
                <w:tab w:val="left" w:pos="21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A07A93">
              <w:rPr>
                <w:rFonts w:ascii="Times New Roman" w:hAnsi="Times New Roman" w:cs="Times New Roman"/>
                <w:sz w:val="20"/>
              </w:rPr>
              <w:t>kontrola firmy odbierającej odpady zgodnie z Rozporządzeniem Ministra Środowiska z dnia 11 stycznia 2013 r. w sprawie szczegółowych wymagań w zakresie odbierania odpadów komunalnych od właścicieli nieruchomości</w:t>
            </w:r>
            <w:r w:rsidR="00DB1BB1">
              <w:rPr>
                <w:rFonts w:ascii="Times New Roman" w:hAnsi="Times New Roman" w:cs="Times New Roman"/>
                <w:sz w:val="20"/>
              </w:rPr>
              <w:t>, pojedyncze kontrole mieszkańców w kwestii prawidłowej segregacji odpadów</w:t>
            </w:r>
          </w:p>
          <w:p w:rsidR="00307EFE" w:rsidRPr="00373861" w:rsidRDefault="00307EFE" w:rsidP="000C6C2A">
            <w:pPr>
              <w:ind w:left="-80" w:right="-171"/>
              <w:rPr>
                <w:sz w:val="20"/>
                <w:szCs w:val="20"/>
              </w:rPr>
            </w:pPr>
          </w:p>
        </w:tc>
      </w:tr>
      <w:tr w:rsidR="00FC0B18" w:rsidRPr="0067059B" w:rsidTr="00FF1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Default="00307EFE" w:rsidP="004A4F17">
            <w:pPr>
              <w:ind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Edukacja mieszkańców dot. </w:t>
            </w:r>
            <w:r w:rsidR="000C6C2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inimalizacji wytwarzania odpadów </w:t>
            </w:r>
            <w:r w:rsidR="00C92B2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zajęcia w szkołach, konsultacje społeczne, organizacje konkursów itp.</w:t>
            </w:r>
            <w:r w:rsidR="00C92B2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promowanie produktów wykonanych z surowców wtórnych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A07A93" w:rsidRDefault="00307EFE" w:rsidP="000C6C2A">
            <w:pPr>
              <w:ind w:left="-80" w:right="-171"/>
              <w:rPr>
                <w:sz w:val="20"/>
                <w:szCs w:val="20"/>
              </w:rPr>
            </w:pPr>
            <w:r w:rsidRPr="00A07A93">
              <w:rPr>
                <w:sz w:val="20"/>
                <w:szCs w:val="20"/>
              </w:rPr>
              <w:t>- w ramach umowy z podmiotem odbierającym odpady, firma zobowiązana jest do prowadzenia zajęć edukacyjnych w szkołach na terenie Miasta i Gminy Gołańcz</w:t>
            </w:r>
          </w:p>
          <w:p w:rsidR="00307EFE" w:rsidRPr="00A07A93" w:rsidRDefault="00307EFE" w:rsidP="000C6C2A">
            <w:pPr>
              <w:ind w:left="-80" w:right="-171"/>
              <w:rPr>
                <w:sz w:val="20"/>
                <w:szCs w:val="20"/>
              </w:rPr>
            </w:pPr>
            <w:r w:rsidRPr="00A07A93">
              <w:rPr>
                <w:sz w:val="20"/>
                <w:szCs w:val="20"/>
              </w:rPr>
              <w:t>- ogłoszenia oraz informacje o prawidłowo prowadzonej selektywnej zbiórki odpadów na łamach Informatora Samorządowego ECHO oraz na stronie internetowej Miasta i Gminy Gołańcz</w:t>
            </w:r>
          </w:p>
          <w:p w:rsidR="00307EFE" w:rsidRPr="00373861" w:rsidRDefault="00307EFE" w:rsidP="000C6C2A">
            <w:pPr>
              <w:ind w:left="-80" w:right="-171"/>
              <w:rPr>
                <w:sz w:val="20"/>
                <w:szCs w:val="20"/>
              </w:rPr>
            </w:pPr>
          </w:p>
        </w:tc>
      </w:tr>
    </w:tbl>
    <w:p w:rsidR="00E0093D" w:rsidRDefault="00E0093D" w:rsidP="00037844">
      <w:pPr>
        <w:pStyle w:val="Nagwek2"/>
      </w:pPr>
      <w:bookmarkStart w:id="7" w:name="_GoBack"/>
      <w:bookmarkEnd w:id="7"/>
      <w:r>
        <w:t>9.</w:t>
      </w:r>
      <w:r w:rsidR="008A7439">
        <w:t xml:space="preserve"> </w:t>
      </w:r>
      <w:r w:rsidR="000C6C2A">
        <w:t>W obszarze zasobów przyrodniczych podjęto do realizacji następujące działania w obrębie zadań</w:t>
      </w:r>
      <w:r w:rsidR="009A046B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9"/>
        <w:gridCol w:w="5540"/>
      </w:tblGrid>
      <w:tr w:rsidR="00307EFE" w:rsidRPr="006B5A5F" w:rsidTr="00FF1A8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7C4F23" w:rsidRDefault="00307EFE" w:rsidP="00FF1A8E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proofErr w:type="gramStart"/>
            <w:r w:rsidRPr="007C4F23">
              <w:rPr>
                <w:b/>
                <w:sz w:val="20"/>
                <w:szCs w:val="20"/>
              </w:rPr>
              <w:t>Nazwa  zadanie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7C4F23" w:rsidRDefault="00307EFE" w:rsidP="00FF1A8E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7C4F23">
              <w:rPr>
                <w:b/>
                <w:sz w:val="20"/>
                <w:szCs w:val="20"/>
              </w:rPr>
              <w:t>Opis podjętych działań</w:t>
            </w:r>
          </w:p>
        </w:tc>
      </w:tr>
      <w:tr w:rsidR="000C6C2A" w:rsidTr="005D5B1F">
        <w:trPr>
          <w:trHeight w:hRule="exact" w:val="26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2A" w:rsidRPr="007C4F23" w:rsidRDefault="000C6C2A" w:rsidP="00FF1A8E">
            <w:pPr>
              <w:ind w:left="57" w:right="5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Właściwe gospodarowanie zasobami przyrodniczymi</w:t>
            </w:r>
          </w:p>
        </w:tc>
      </w:tr>
      <w:tr w:rsidR="00307EFE" w:rsidTr="000C6C2A">
        <w:trPr>
          <w:trHeight w:hRule="exact" w:val="21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7C4F23" w:rsidRDefault="00307EFE" w:rsidP="00FF1A8E">
            <w:pPr>
              <w:pStyle w:val="Stopka"/>
              <w:tabs>
                <w:tab w:val="left" w:pos="708"/>
              </w:tabs>
              <w:ind w:left="57" w:right="57"/>
              <w:jc w:val="center"/>
            </w:pPr>
            <w:r>
              <w:t xml:space="preserve">Ochrona oraz tworzenie nowych form ochrony przyrody </w:t>
            </w:r>
            <w:r w:rsidR="00C92B2C">
              <w:t>(</w:t>
            </w:r>
            <w:r>
              <w:t>użytki ekologiczne, pomniki przyrody, rezerwaty przyrody, obszary chronionego krajobrazu</w:t>
            </w:r>
            <w:r w:rsidR="00C92B2C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A5396D" w:rsidRDefault="00307EFE" w:rsidP="00A5396D">
            <w:pPr>
              <w:ind w:left="41"/>
              <w:jc w:val="both"/>
              <w:rPr>
                <w:sz w:val="20"/>
              </w:rPr>
            </w:pPr>
            <w:r w:rsidRPr="00A5396D">
              <w:rPr>
                <w:sz w:val="20"/>
              </w:rPr>
              <w:t>- ustanowiono jeden pomnik przyrody - drzewo dąb szypułkowy w lesie niedaleko miejscowości Konary,</w:t>
            </w:r>
          </w:p>
          <w:p w:rsidR="00307EFE" w:rsidRPr="00A5396D" w:rsidRDefault="00307EFE" w:rsidP="00A5396D">
            <w:pPr>
              <w:ind w:left="41"/>
              <w:jc w:val="both"/>
              <w:rPr>
                <w:sz w:val="20"/>
              </w:rPr>
            </w:pPr>
            <w:r w:rsidRPr="00A5396D">
              <w:rPr>
                <w:sz w:val="20"/>
              </w:rPr>
              <w:t>- wykonano inwentaryzację ustanowionych uchwałami pomników przyrody znajdujących się na terenie Miasta i Gminy Gołańcz w wyniku której ustalono, że na ternie Miasta i Gminy Gołańcz znajduje się 28 pomników przyrody, w skład wchodzą 1 głaz narzutowy, 22 pojedyncze drzewa oraz 5 grup drzewa także 2 użytki przyrodnicze (w miejscowości Rybowo oraz Konary po 1 użytku przyrodniczym)</w:t>
            </w:r>
          </w:p>
        </w:tc>
      </w:tr>
      <w:tr w:rsidR="00307EFE" w:rsidTr="00FF1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7C4F23" w:rsidRDefault="00307EFE" w:rsidP="00DC5FDD">
            <w:pPr>
              <w:pStyle w:val="wynos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Pielęgnacja i ochrona istniejącej zieleni urządzonej, w tym ochrona drzew kasztanowych, wykonywanie cięć pielęgnacyjnych, renowacja zamku w Gołańczy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A5396D" w:rsidRDefault="00307EFE" w:rsidP="00A5396D">
            <w:pPr>
              <w:tabs>
                <w:tab w:val="left" w:pos="83"/>
              </w:tabs>
              <w:ind w:firstLine="31"/>
              <w:jc w:val="both"/>
              <w:rPr>
                <w:sz w:val="20"/>
              </w:rPr>
            </w:pPr>
            <w:r w:rsidRPr="00A5396D">
              <w:rPr>
                <w:sz w:val="20"/>
              </w:rPr>
              <w:t>- zakup kwiatów do nasadzeń w donicach, na rabatach na terenie miasta Gołańcz, zakup drzewek i krzewów do obsadzenia na terenach zieleni w mieście, cięcia pielęgnacyjne i estetyczne istniejącej zieleni, zakup akcesoriów do pielęgnacji terenów zieleni</w:t>
            </w:r>
            <w:r w:rsidR="009A046B">
              <w:rPr>
                <w:sz w:val="20"/>
              </w:rPr>
              <w:t>,</w:t>
            </w:r>
            <w:r w:rsidRPr="00A5396D">
              <w:rPr>
                <w:sz w:val="20"/>
              </w:rPr>
              <w:t xml:space="preserve"> </w:t>
            </w:r>
          </w:p>
          <w:p w:rsidR="00307EFE" w:rsidRPr="00A5396D" w:rsidRDefault="00307EFE" w:rsidP="00A5396D">
            <w:pPr>
              <w:tabs>
                <w:tab w:val="left" w:pos="83"/>
                <w:tab w:val="left" w:pos="851"/>
              </w:tabs>
              <w:ind w:firstLine="31"/>
              <w:rPr>
                <w:sz w:val="20"/>
              </w:rPr>
            </w:pPr>
            <w:r w:rsidRPr="00A5396D">
              <w:rPr>
                <w:sz w:val="20"/>
              </w:rPr>
              <w:t>- usuwanie na bieżąco opadłych liści, w celu ograniczenia rozmnażania się szkodnika niszczącego kasztanowce.</w:t>
            </w:r>
          </w:p>
        </w:tc>
      </w:tr>
      <w:tr w:rsidR="00307EFE" w:rsidRPr="0067059B" w:rsidTr="00FF1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7C4F23" w:rsidRDefault="00307EFE" w:rsidP="00FF1A8E">
            <w:pPr>
              <w:pStyle w:val="program"/>
              <w:ind w:left="57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Zachowanie i ochrona istniejących kompleksów leśnych, w tym zabezpieczenie drzewek palikami, grodzenie upraw siatką leśną, zabezpieczenie upraw przy użyciu repelentów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1865DE" w:rsidRDefault="00307EFE" w:rsidP="00E80B5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w gestii nadleśnictw, na terenie gminy Nadleśnictwo Podanin i Nadleśnictwo Durowo</w:t>
            </w:r>
          </w:p>
        </w:tc>
      </w:tr>
    </w:tbl>
    <w:p w:rsidR="00E0093D" w:rsidRDefault="00E0093D" w:rsidP="00E0093D">
      <w:pPr>
        <w:rPr>
          <w:b/>
        </w:rPr>
      </w:pPr>
    </w:p>
    <w:p w:rsidR="00BF12EC" w:rsidRDefault="00E0093D" w:rsidP="00037844">
      <w:pPr>
        <w:pStyle w:val="Nagwek2"/>
      </w:pPr>
      <w:bookmarkStart w:id="8" w:name="_Toc184008300"/>
      <w:r>
        <w:t>10</w:t>
      </w:r>
      <w:r w:rsidR="00BF12EC">
        <w:t>.</w:t>
      </w:r>
      <w:r w:rsidR="000C6C2A" w:rsidRPr="000C6C2A">
        <w:t xml:space="preserve"> </w:t>
      </w:r>
      <w:r w:rsidR="000C6C2A">
        <w:t>W obszarze zagrożeń poważnymi awariami podjęto do realizacji następujące działania w obrębie zadań</w:t>
      </w:r>
      <w:r w:rsidR="009A046B">
        <w:t>:</w:t>
      </w:r>
      <w:r w:rsidR="00BF12EC">
        <w:tab/>
        <w:t xml:space="preserve"> </w:t>
      </w:r>
      <w:bookmarkEnd w:id="8"/>
    </w:p>
    <w:p w:rsidR="00BF12EC" w:rsidRDefault="00BF12EC" w:rsidP="00BF12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24"/>
        <w:gridCol w:w="4095"/>
      </w:tblGrid>
      <w:tr w:rsidR="00307EFE" w:rsidRPr="007A5F6E" w:rsidTr="00CF097C">
        <w:trPr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7A5F6E" w:rsidRDefault="00307EFE" w:rsidP="00FF1A8E">
            <w:pPr>
              <w:pStyle w:val="Stopka"/>
              <w:tabs>
                <w:tab w:val="left" w:pos="708"/>
              </w:tabs>
              <w:ind w:right="-129"/>
              <w:jc w:val="center"/>
              <w:rPr>
                <w:b/>
              </w:rPr>
            </w:pPr>
            <w:r w:rsidRPr="007A5F6E">
              <w:rPr>
                <w:b/>
              </w:rPr>
              <w:t>Nazwa zadania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FE" w:rsidRPr="007A5F6E" w:rsidRDefault="00307EFE" w:rsidP="00FF1A8E">
            <w:pPr>
              <w:ind w:left="-80" w:right="70"/>
              <w:jc w:val="center"/>
              <w:rPr>
                <w:b/>
                <w:sz w:val="20"/>
                <w:szCs w:val="20"/>
              </w:rPr>
            </w:pPr>
            <w:r w:rsidRPr="007A5F6E">
              <w:rPr>
                <w:b/>
                <w:sz w:val="20"/>
                <w:szCs w:val="20"/>
              </w:rPr>
              <w:t>Opis podjętych działań</w:t>
            </w:r>
          </w:p>
        </w:tc>
      </w:tr>
      <w:tr w:rsidR="000C6C2A" w:rsidRPr="0067059B" w:rsidTr="001D28D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2A" w:rsidRPr="006F37D9" w:rsidRDefault="000C6C2A" w:rsidP="00FF1A8E">
            <w:pPr>
              <w:ind w:left="-80" w:right="7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Zapobieganie poważnym awariom przemysłowym oraz eliminacja i minimalizacja skutków w razie ich wystąpienia</w:t>
            </w:r>
          </w:p>
        </w:tc>
      </w:tr>
      <w:tr w:rsidR="00307EFE" w:rsidRPr="0067059B" w:rsidTr="00CF097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67059B" w:rsidRDefault="00307EFE" w:rsidP="00FF1A8E">
            <w:pPr>
              <w:pStyle w:val="Stopka"/>
              <w:tabs>
                <w:tab w:val="left" w:pos="708"/>
              </w:tabs>
              <w:ind w:right="-129"/>
              <w:jc w:val="center"/>
            </w:pPr>
            <w:r>
              <w:t>Kontynuacja realizacji akcji informacyjno-edukacyjnych dla ogółu społeczeństwa dotyczących zasad postępowania w razie wystąpienia poważnej awarii, w celu ukształtowania właściwych postaw i zachowań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67059B" w:rsidRDefault="003F31E5" w:rsidP="00FF1A8E">
            <w:pPr>
              <w:ind w:left="-80" w:righ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powiadamiania sms</w:t>
            </w:r>
          </w:p>
        </w:tc>
      </w:tr>
      <w:tr w:rsidR="000C6C2A" w:rsidRPr="0072572A" w:rsidTr="00A9254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2A" w:rsidRPr="000C6C2A" w:rsidRDefault="000C6C2A" w:rsidP="00FF1A8E">
            <w:pPr>
              <w:ind w:left="-80" w:right="70"/>
              <w:jc w:val="center"/>
              <w:rPr>
                <w:b/>
                <w:i/>
                <w:sz w:val="20"/>
                <w:szCs w:val="20"/>
              </w:rPr>
            </w:pPr>
            <w:r w:rsidRPr="000C6C2A">
              <w:rPr>
                <w:b/>
                <w:i/>
                <w:sz w:val="20"/>
                <w:szCs w:val="20"/>
              </w:rPr>
              <w:t>Przeciwdziałanie awariom instalacji przemysłowych</w:t>
            </w:r>
          </w:p>
        </w:tc>
      </w:tr>
      <w:tr w:rsidR="00307EFE" w:rsidRPr="0067059B" w:rsidTr="00CF097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67059B" w:rsidRDefault="00307EFE" w:rsidP="00FF1A8E">
            <w:pPr>
              <w:pStyle w:val="wynos"/>
              <w:tabs>
                <w:tab w:val="left" w:pos="360"/>
              </w:tabs>
              <w:spacing w:after="0" w:line="240" w:lineRule="auto"/>
              <w:ind w:left="0" w:right="-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Doposażenie wyspecjalizowanych jednostek w sprzęt do wykrywania i dokładnej lokalizacji miejsca awarii, likwidacji i analizy skutków zdarzenia, w tym zakup lekkiego samochodu ratowniczo-gaśniczego dla OSP Krzyżanki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E" w:rsidRPr="0067059B" w:rsidRDefault="00307EFE" w:rsidP="00DC5FDD">
            <w:pPr>
              <w:ind w:left="-80" w:righ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Systematyczne, coroczne doposażenie jednostek OSP na terenie Gminy. Samochód dla OSP Krzyżanki zakupiony w 2017 roku</w:t>
            </w:r>
          </w:p>
        </w:tc>
      </w:tr>
    </w:tbl>
    <w:p w:rsidR="00BF12EC" w:rsidRDefault="00BF12EC" w:rsidP="00BF12EC">
      <w:pPr>
        <w:spacing w:line="360" w:lineRule="auto"/>
        <w:jc w:val="both"/>
      </w:pPr>
    </w:p>
    <w:p w:rsidR="0033470C" w:rsidRDefault="0033470C" w:rsidP="00BF12EC">
      <w:pPr>
        <w:spacing w:line="360" w:lineRule="auto"/>
        <w:jc w:val="both"/>
      </w:pPr>
      <w:r>
        <w:t xml:space="preserve">Dzięki wdrożeniu Programu Ochrony Środowiska zostały jasno określone </w:t>
      </w:r>
      <w:r w:rsidR="00DB1BB1">
        <w:t>obszary</w:t>
      </w:r>
      <w:r w:rsidR="009A046B">
        <w:t>,</w:t>
      </w:r>
      <w:r w:rsidR="00DB1BB1">
        <w:t xml:space="preserve"> które mają wpływ na stan otaczającego nas środowiska. Program pozwolił na dostosowanie zamierzonych do realizacji na terenie Gminy przedsięwzięć do celów ekologicznych jakie należy podj</w:t>
      </w:r>
      <w:r w:rsidR="003F31E5">
        <w:t>ą</w:t>
      </w:r>
      <w:r w:rsidR="00DB1BB1">
        <w:t>ć</w:t>
      </w:r>
      <w:r w:rsidR="009A046B">
        <w:t>,</w:t>
      </w:r>
      <w:r w:rsidR="00DB1BB1">
        <w:t xml:space="preserve"> </w:t>
      </w:r>
      <w:r w:rsidR="003F31E5">
        <w:t xml:space="preserve">by poprawić stan środowiska na terenie Miasta i Gminy Gołańcz. </w:t>
      </w:r>
      <w:r>
        <w:t>Część z wprowadzonych do harmonogramu działań</w:t>
      </w:r>
      <w:r w:rsidR="00DF1C86">
        <w:t xml:space="preserve"> </w:t>
      </w:r>
      <w:r>
        <w:t xml:space="preserve">jest działaniami ciągłymi, powtarzającymi się corocznie. </w:t>
      </w:r>
      <w:r w:rsidR="00DF1C86">
        <w:t>Część</w:t>
      </w:r>
      <w:r>
        <w:t xml:space="preserve"> z zadań znajduje się w fazie realizacji z rozpisaniem realizacji do 2025 roku, jak np. modernizacja </w:t>
      </w:r>
      <w:r w:rsidR="00DF1C86">
        <w:t>dróg</w:t>
      </w:r>
      <w:r>
        <w:t xml:space="preserve"> bądź modernizacja </w:t>
      </w:r>
      <w:r w:rsidR="00DF1C86">
        <w:t>świetlic</w:t>
      </w:r>
      <w:r>
        <w:t xml:space="preserve">. Z racji tego, iż </w:t>
      </w:r>
      <w:r w:rsidR="00DF1C86">
        <w:t>Program</w:t>
      </w:r>
      <w:r>
        <w:t xml:space="preserve"> jest zaplanowany</w:t>
      </w:r>
      <w:r w:rsidR="00DF1C86">
        <w:t xml:space="preserve"> </w:t>
      </w:r>
      <w:r>
        <w:t>do 2025 roku</w:t>
      </w:r>
      <w:r w:rsidR="009A046B">
        <w:t>,</w:t>
      </w:r>
      <w:r>
        <w:t xml:space="preserve"> pozostałe </w:t>
      </w:r>
      <w:r w:rsidR="00DF1C86">
        <w:t>nierozpoczęte</w:t>
      </w:r>
      <w:r>
        <w:t xml:space="preserve"> działania</w:t>
      </w:r>
      <w:r w:rsidR="00DF1C86">
        <w:t xml:space="preserve"> zostały zaplanowane na późniejszy przewidziany programem termin</w:t>
      </w:r>
      <w:r w:rsidR="00307EFE">
        <w:t>.</w:t>
      </w:r>
    </w:p>
    <w:p w:rsidR="003F31E5" w:rsidRDefault="003F31E5" w:rsidP="00BF12EC">
      <w:pPr>
        <w:spacing w:line="360" w:lineRule="auto"/>
        <w:jc w:val="both"/>
      </w:pPr>
    </w:p>
    <w:p w:rsidR="003F31E5" w:rsidRDefault="003F31E5" w:rsidP="00BF12EC">
      <w:pPr>
        <w:spacing w:line="360" w:lineRule="auto"/>
        <w:jc w:val="both"/>
      </w:pPr>
    </w:p>
    <w:p w:rsidR="003F31E5" w:rsidRDefault="003F31E5" w:rsidP="00BF12EC">
      <w:pPr>
        <w:spacing w:line="360" w:lineRule="auto"/>
        <w:jc w:val="both"/>
      </w:pPr>
      <w:r>
        <w:t>Anna Skotowska</w:t>
      </w:r>
    </w:p>
    <w:p w:rsidR="003F31E5" w:rsidRDefault="003F31E5" w:rsidP="00BF12EC">
      <w:pPr>
        <w:spacing w:line="360" w:lineRule="auto"/>
        <w:jc w:val="both"/>
      </w:pPr>
      <w:r>
        <w:t>Referent ds. ochrony środowiska i zieleni</w:t>
      </w:r>
      <w:bookmarkEnd w:id="1"/>
    </w:p>
    <w:p w:rsidR="009A046B" w:rsidRDefault="009A046B" w:rsidP="00BF12EC">
      <w:pPr>
        <w:spacing w:line="360" w:lineRule="auto"/>
        <w:jc w:val="both"/>
      </w:pPr>
      <w:r>
        <w:t>25.03.2019 r.</w:t>
      </w:r>
    </w:p>
    <w:sectPr w:rsidR="009A046B" w:rsidSect="009A046B">
      <w:pgSz w:w="11906" w:h="16838" w:code="9"/>
      <w:pgMar w:top="709" w:right="1417" w:bottom="993" w:left="156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0F1"/>
    <w:multiLevelType w:val="multilevel"/>
    <w:tmpl w:val="B6D0C72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AA1BFE"/>
    <w:multiLevelType w:val="hybridMultilevel"/>
    <w:tmpl w:val="E8E68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178A"/>
    <w:multiLevelType w:val="hybridMultilevel"/>
    <w:tmpl w:val="9AF6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73C16"/>
    <w:multiLevelType w:val="hybridMultilevel"/>
    <w:tmpl w:val="C79E7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75614E"/>
    <w:multiLevelType w:val="hybridMultilevel"/>
    <w:tmpl w:val="E8E68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B0189"/>
    <w:multiLevelType w:val="hybridMultilevel"/>
    <w:tmpl w:val="1F9E3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EC"/>
    <w:rsid w:val="00037844"/>
    <w:rsid w:val="000C6C2A"/>
    <w:rsid w:val="001002A9"/>
    <w:rsid w:val="0010180E"/>
    <w:rsid w:val="00184EEF"/>
    <w:rsid w:val="001D1981"/>
    <w:rsid w:val="00254B90"/>
    <w:rsid w:val="002D38B4"/>
    <w:rsid w:val="00307EFE"/>
    <w:rsid w:val="00320B16"/>
    <w:rsid w:val="0033470C"/>
    <w:rsid w:val="003F31E5"/>
    <w:rsid w:val="00416970"/>
    <w:rsid w:val="00441A05"/>
    <w:rsid w:val="00494C66"/>
    <w:rsid w:val="004A4F17"/>
    <w:rsid w:val="004D2C2E"/>
    <w:rsid w:val="00500F86"/>
    <w:rsid w:val="005516BB"/>
    <w:rsid w:val="006442C7"/>
    <w:rsid w:val="00695B32"/>
    <w:rsid w:val="00781598"/>
    <w:rsid w:val="008A7439"/>
    <w:rsid w:val="008D0B3F"/>
    <w:rsid w:val="00911EEC"/>
    <w:rsid w:val="009220AF"/>
    <w:rsid w:val="009A046B"/>
    <w:rsid w:val="009E430B"/>
    <w:rsid w:val="009F2A0B"/>
    <w:rsid w:val="00A07A93"/>
    <w:rsid w:val="00A30996"/>
    <w:rsid w:val="00A5396D"/>
    <w:rsid w:val="00A63556"/>
    <w:rsid w:val="00B5472B"/>
    <w:rsid w:val="00B73065"/>
    <w:rsid w:val="00BF12EC"/>
    <w:rsid w:val="00C25C05"/>
    <w:rsid w:val="00C25FDA"/>
    <w:rsid w:val="00C92B2C"/>
    <w:rsid w:val="00CC53C6"/>
    <w:rsid w:val="00CF097C"/>
    <w:rsid w:val="00CF298B"/>
    <w:rsid w:val="00CF53CC"/>
    <w:rsid w:val="00D8341B"/>
    <w:rsid w:val="00DB1BB1"/>
    <w:rsid w:val="00DC5FDD"/>
    <w:rsid w:val="00DF1C86"/>
    <w:rsid w:val="00E0093D"/>
    <w:rsid w:val="00E5332A"/>
    <w:rsid w:val="00E80B59"/>
    <w:rsid w:val="00EB4620"/>
    <w:rsid w:val="00EB466E"/>
    <w:rsid w:val="00F50536"/>
    <w:rsid w:val="00FC0B18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C8E0"/>
  <w15:docId w15:val="{DD1F8A21-CE32-4A78-BF14-07DBB54A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037844"/>
    <w:pPr>
      <w:keepNext/>
      <w:jc w:val="both"/>
      <w:outlineLvl w:val="1"/>
    </w:pPr>
    <w:rPr>
      <w:rFonts w:cs="Arial"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37844"/>
    <w:rPr>
      <w:rFonts w:ascii="Times New Roman" w:eastAsia="Times New Roman" w:hAnsi="Times New Roman" w:cs="Arial"/>
      <w:bCs/>
      <w:iCs/>
      <w:sz w:val="24"/>
      <w:szCs w:val="28"/>
      <w:lang w:eastAsia="pl-PL"/>
    </w:rPr>
  </w:style>
  <w:style w:type="paragraph" w:customStyle="1" w:styleId="Domyolnie1">
    <w:name w:val="Domyolnie1"/>
    <w:rsid w:val="00BF12E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customStyle="1" w:styleId="program">
    <w:name w:val="program"/>
    <w:basedOn w:val="Normalny"/>
    <w:rsid w:val="00BF12EC"/>
    <w:pPr>
      <w:suppressAutoHyphens/>
      <w:ind w:firstLine="709"/>
      <w:jc w:val="both"/>
    </w:pPr>
    <w:rPr>
      <w:sz w:val="22"/>
      <w:szCs w:val="20"/>
    </w:rPr>
  </w:style>
  <w:style w:type="paragraph" w:styleId="Tekstpodstawowy">
    <w:name w:val="Body Text"/>
    <w:basedOn w:val="Normalny"/>
    <w:link w:val="TekstpodstawowyZnak"/>
    <w:rsid w:val="00BF12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1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BF12EC"/>
    <w:pPr>
      <w:spacing w:before="120" w:after="120"/>
    </w:pPr>
    <w:rPr>
      <w:b/>
      <w:sz w:val="20"/>
      <w:szCs w:val="20"/>
    </w:rPr>
  </w:style>
  <w:style w:type="paragraph" w:customStyle="1" w:styleId="cyferkiwtabeli">
    <w:name w:val="cyferki w tabeli"/>
    <w:next w:val="Normalny"/>
    <w:rsid w:val="00BF12EC"/>
    <w:pPr>
      <w:suppressAutoHyphens/>
      <w:overflowPunct w:val="0"/>
      <w:autoSpaceDE w:val="0"/>
      <w:spacing w:before="60" w:after="0" w:line="360" w:lineRule="auto"/>
      <w:jc w:val="center"/>
      <w:textAlignment w:val="baseline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wynos">
    <w:name w:val="wynos"/>
    <w:basedOn w:val="Tekstpodstawowywcity2"/>
    <w:rsid w:val="00BF12EC"/>
  </w:style>
  <w:style w:type="paragraph" w:styleId="Stopka">
    <w:name w:val="footer"/>
    <w:basedOn w:val="Normalny"/>
    <w:link w:val="StopkaZnak"/>
    <w:unhideWhenUsed/>
    <w:rsid w:val="00BF12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F12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12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1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BF1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basedOn w:val="Normalny"/>
    <w:rsid w:val="00BF12EC"/>
    <w:pPr>
      <w:keepLines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07A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2164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Projekt-Power</dc:creator>
  <cp:lastModifiedBy>Projekt-Power</cp:lastModifiedBy>
  <cp:revision>5</cp:revision>
  <cp:lastPrinted>2019-03-25T09:07:00Z</cp:lastPrinted>
  <dcterms:created xsi:type="dcterms:W3CDTF">2019-03-25T06:49:00Z</dcterms:created>
  <dcterms:modified xsi:type="dcterms:W3CDTF">2019-03-25T12:29:00Z</dcterms:modified>
</cp:coreProperties>
</file>