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9A" w:rsidRPr="00C653FA" w:rsidRDefault="00661F38" w:rsidP="006E0E9A">
      <w:pPr>
        <w:spacing w:after="0" w:line="240" w:lineRule="auto"/>
        <w:jc w:val="center"/>
        <w:rPr>
          <w:rFonts w:cstheme="minorHAnsi"/>
          <w:b/>
        </w:rPr>
      </w:pPr>
      <w:r w:rsidRPr="00C653FA">
        <w:rPr>
          <w:rFonts w:cstheme="minorHAnsi"/>
          <w:b/>
        </w:rPr>
        <w:t xml:space="preserve">Informacja o </w:t>
      </w:r>
      <w:r w:rsidR="006E0E9A" w:rsidRPr="00C653FA">
        <w:rPr>
          <w:rFonts w:cstheme="minorHAnsi"/>
          <w:b/>
        </w:rPr>
        <w:t>działalności Miejsko-Gminnego Ośrodka Pomocy Społecznej w Gołańczy</w:t>
      </w:r>
    </w:p>
    <w:p w:rsidR="00E01A67" w:rsidRPr="00C653FA" w:rsidRDefault="006E0E9A" w:rsidP="006E0E9A">
      <w:pPr>
        <w:spacing w:after="0" w:line="240" w:lineRule="auto"/>
        <w:jc w:val="center"/>
        <w:rPr>
          <w:rFonts w:cstheme="minorHAnsi"/>
          <w:b/>
          <w:i/>
        </w:rPr>
      </w:pPr>
      <w:r w:rsidRPr="00C653FA">
        <w:rPr>
          <w:rFonts w:cstheme="minorHAnsi"/>
          <w:b/>
        </w:rPr>
        <w:t>za I półrocze 2018 roku (</w:t>
      </w:r>
      <w:r w:rsidRPr="00C653FA">
        <w:rPr>
          <w:rFonts w:cstheme="minorHAnsi"/>
          <w:b/>
          <w:i/>
        </w:rPr>
        <w:t>informacja na potrzeby komisji rewizyjnej z dnia 8.10.2018r.)</w:t>
      </w:r>
    </w:p>
    <w:p w:rsidR="007E1EBF" w:rsidRPr="00C653FA" w:rsidRDefault="007E1EBF" w:rsidP="007E1EBF">
      <w:pPr>
        <w:spacing w:after="0" w:line="240" w:lineRule="auto"/>
        <w:rPr>
          <w:rFonts w:cstheme="minorHAnsi"/>
          <w:b/>
        </w:rPr>
      </w:pPr>
    </w:p>
    <w:p w:rsidR="006E0E9A" w:rsidRPr="00C653FA" w:rsidRDefault="006E0E9A" w:rsidP="007E1EBF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>I. Stan zatrudnienia: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181"/>
        <w:gridCol w:w="4899"/>
      </w:tblGrid>
      <w:tr w:rsidR="006E0E9A" w:rsidRPr="00C653FA" w:rsidTr="00C653FA">
        <w:tc>
          <w:tcPr>
            <w:tcW w:w="694" w:type="dxa"/>
            <w:shd w:val="clear" w:color="auto" w:fill="BFBFBF" w:themeFill="background1" w:themeFillShade="BF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  <w:b/>
              </w:rPr>
              <w:t xml:space="preserve"> Lp. </w:t>
            </w:r>
          </w:p>
        </w:tc>
        <w:tc>
          <w:tcPr>
            <w:tcW w:w="3181" w:type="dxa"/>
            <w:shd w:val="clear" w:color="auto" w:fill="BFBFBF" w:themeFill="background1" w:themeFillShade="BF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  <w:b/>
              </w:rPr>
              <w:t xml:space="preserve">   Stanowisko pracy </w:t>
            </w:r>
          </w:p>
        </w:tc>
        <w:tc>
          <w:tcPr>
            <w:tcW w:w="4899" w:type="dxa"/>
            <w:shd w:val="clear" w:color="auto" w:fill="BFBFBF" w:themeFill="background1" w:themeFillShade="BF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  <w:b/>
              </w:rPr>
              <w:t xml:space="preserve">Liczba etatów/osób/imiona i nazwiska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Kierownik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 etat / 1 osoba 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Główna księgowa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0,5 etatu / 1 osoba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3.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Specjaliści pracy socjalnej </w:t>
            </w:r>
          </w:p>
        </w:tc>
        <w:tc>
          <w:tcPr>
            <w:tcW w:w="4899" w:type="dxa"/>
            <w:hideMark/>
          </w:tcPr>
          <w:p w:rsidR="006E0E9A" w:rsidRPr="00C653FA" w:rsidRDefault="006E0E9A" w:rsidP="005B7BAF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5 pełnych etatów / w tym czterech pracujących w terenie- tzw. rejonie pracy socjalnej / - 5 osób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4.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Referent d.s. dodatków mieszkaniowych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0,5 etatu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5.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Starszy referent d.s. świadczeń rodzinnych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1,5 etatu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6.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Referent w księgowości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0,5 etatu – 1 osoba </w:t>
            </w:r>
          </w:p>
        </w:tc>
      </w:tr>
      <w:tr w:rsidR="006E0E9A" w:rsidRPr="00C653FA" w:rsidTr="00C653FA">
        <w:tc>
          <w:tcPr>
            <w:tcW w:w="694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7. </w:t>
            </w:r>
          </w:p>
        </w:tc>
        <w:tc>
          <w:tcPr>
            <w:tcW w:w="3181" w:type="dxa"/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Referent ds. funduszu alimentacyjnego i księgowości </w:t>
            </w:r>
          </w:p>
        </w:tc>
        <w:tc>
          <w:tcPr>
            <w:tcW w:w="4899" w:type="dxa"/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2x 0,5 etatu – 1 osoba </w:t>
            </w:r>
          </w:p>
        </w:tc>
      </w:tr>
      <w:tr w:rsidR="006E0E9A" w:rsidRPr="00C653FA" w:rsidTr="00C653FA">
        <w:trPr>
          <w:trHeight w:val="500"/>
        </w:trPr>
        <w:tc>
          <w:tcPr>
            <w:tcW w:w="694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8.</w:t>
            </w:r>
          </w:p>
        </w:tc>
        <w:tc>
          <w:tcPr>
            <w:tcW w:w="3181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Referent. Ds. obsługi Punktu Informacyjnego</w:t>
            </w:r>
          </w:p>
        </w:tc>
        <w:tc>
          <w:tcPr>
            <w:tcW w:w="4899" w:type="dxa"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 etat / 1 osoba </w:t>
            </w:r>
          </w:p>
        </w:tc>
      </w:tr>
      <w:tr w:rsidR="006E0E9A" w:rsidRPr="00C653FA" w:rsidTr="00C653FA">
        <w:trPr>
          <w:trHeight w:val="610"/>
        </w:trPr>
        <w:tc>
          <w:tcPr>
            <w:tcW w:w="694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9.</w:t>
            </w:r>
          </w:p>
        </w:tc>
        <w:tc>
          <w:tcPr>
            <w:tcW w:w="3181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Referent ds. obsługi świadczenia wychowawczego</w:t>
            </w:r>
          </w:p>
        </w:tc>
        <w:tc>
          <w:tcPr>
            <w:tcW w:w="4899" w:type="dxa"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0,5 etatu – 1 osoba </w:t>
            </w:r>
          </w:p>
        </w:tc>
      </w:tr>
      <w:tr w:rsidR="006E0E9A" w:rsidRPr="00C653FA" w:rsidTr="00C653FA">
        <w:trPr>
          <w:trHeight w:val="437"/>
        </w:trPr>
        <w:tc>
          <w:tcPr>
            <w:tcW w:w="694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10.</w:t>
            </w:r>
          </w:p>
        </w:tc>
        <w:tc>
          <w:tcPr>
            <w:tcW w:w="3181" w:type="dxa"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>Asystent rodziny</w:t>
            </w:r>
          </w:p>
        </w:tc>
        <w:tc>
          <w:tcPr>
            <w:tcW w:w="4899" w:type="dxa"/>
            <w:tcBorders>
              <w:bottom w:val="double" w:sz="4" w:space="0" w:color="auto"/>
            </w:tcBorders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 etat – 1 osoba </w:t>
            </w:r>
          </w:p>
        </w:tc>
      </w:tr>
      <w:tr w:rsidR="006E0E9A" w:rsidRPr="00C653FA" w:rsidTr="00C653FA">
        <w:tc>
          <w:tcPr>
            <w:tcW w:w="694" w:type="dxa"/>
            <w:tcBorders>
              <w:bottom w:val="double" w:sz="4" w:space="0" w:color="auto"/>
            </w:tcBorders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11. 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hideMark/>
          </w:tcPr>
          <w:p w:rsidR="006E0E9A" w:rsidRPr="00C653FA" w:rsidRDefault="006E0E9A" w:rsidP="005B7BAF">
            <w:pPr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Sprzątaczka </w:t>
            </w:r>
          </w:p>
        </w:tc>
        <w:tc>
          <w:tcPr>
            <w:tcW w:w="4899" w:type="dxa"/>
            <w:tcBorders>
              <w:bottom w:val="double" w:sz="4" w:space="0" w:color="auto"/>
            </w:tcBorders>
            <w:hideMark/>
          </w:tcPr>
          <w:p w:rsidR="006E0E9A" w:rsidRPr="00C653FA" w:rsidRDefault="006E0E9A" w:rsidP="006E0E9A">
            <w:pPr>
              <w:jc w:val="both"/>
              <w:rPr>
                <w:rFonts w:eastAsia="Calibri" w:cstheme="minorHAnsi"/>
              </w:rPr>
            </w:pPr>
            <w:r w:rsidRPr="00C653FA">
              <w:rPr>
                <w:rFonts w:eastAsia="Calibri" w:cstheme="minorHAnsi"/>
              </w:rPr>
              <w:t xml:space="preserve">0,5 etatu – 1 osoba </w:t>
            </w:r>
          </w:p>
        </w:tc>
      </w:tr>
    </w:tbl>
    <w:p w:rsidR="006E0E9A" w:rsidRPr="00C653FA" w:rsidRDefault="006E0E9A" w:rsidP="007E1EBF">
      <w:pPr>
        <w:spacing w:after="0" w:line="240" w:lineRule="auto"/>
        <w:rPr>
          <w:rFonts w:cstheme="minorHAnsi"/>
          <w:b/>
        </w:rPr>
      </w:pPr>
    </w:p>
    <w:p w:rsidR="006E0E9A" w:rsidRPr="00C653FA" w:rsidRDefault="006E0E9A" w:rsidP="007E1EBF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>II. Struktura działania:</w:t>
      </w:r>
    </w:p>
    <w:p w:rsidR="006E0E9A" w:rsidRPr="00C653FA" w:rsidRDefault="006E0E9A" w:rsidP="007E1EBF">
      <w:pPr>
        <w:spacing w:after="0" w:line="240" w:lineRule="auto"/>
        <w:rPr>
          <w:rFonts w:cstheme="minorHAnsi"/>
          <w:b/>
        </w:rPr>
      </w:pP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Style w:val="Pogrubienie"/>
          <w:rFonts w:asciiTheme="minorHAnsi" w:hAnsiTheme="minorHAnsi" w:cstheme="minorHAnsi"/>
          <w:b w:val="0"/>
          <w:sz w:val="22"/>
          <w:szCs w:val="22"/>
        </w:rPr>
        <w:t>Miejsko-Gminny Ośrodek Pomocy Społecznej w Gołańczy</w:t>
      </w:r>
      <w:r w:rsidRPr="00C653FA">
        <w:rPr>
          <w:rFonts w:asciiTheme="minorHAnsi" w:hAnsiTheme="minorHAnsi" w:cstheme="minorHAnsi"/>
          <w:sz w:val="22"/>
          <w:szCs w:val="22"/>
        </w:rPr>
        <w:t xml:space="preserve"> znajduje się w budynku położonym przy ul. Karola Libelta 4, w którym znajdują się również Zespół Opieki Zdrowotnej, środowiskowy Dom Samopomocy oraz Gabinet Rehabilitacji. </w:t>
      </w:r>
      <w:r w:rsidRPr="00C65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Siedziba Ośrodka znajduje się po prawej stronie budynku, posiada dwa wejścia (główne, w którym znajduje się Punkt informacyjny oraz boczne). Ponadto przy wejściu głównym znajduje się System </w:t>
      </w:r>
      <w:proofErr w:type="spellStart"/>
      <w:r w:rsidRPr="00C653FA">
        <w:rPr>
          <w:rFonts w:asciiTheme="minorHAnsi" w:hAnsiTheme="minorHAnsi" w:cstheme="minorHAnsi"/>
          <w:sz w:val="22"/>
          <w:szCs w:val="22"/>
          <w:shd w:val="clear" w:color="auto" w:fill="FFFFFF"/>
        </w:rPr>
        <w:t>Przyzywowy</w:t>
      </w:r>
      <w:proofErr w:type="spellEnd"/>
      <w:r w:rsidRPr="00C65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 osób niepełnosprawnych, nie mogących wejść po schodach do Ośrodka.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Pomieszczenia i biura Ośrodka znajdują się na parterze i piętrze budynku. Na parterze usytuowane są: Punkt Informacyjny, biuro świadczeń rodzinnych, 2 biura pracowników socjalnych, korytarz i 2 ubikacje: służbowa oraz dla klientów. Na piętrze znajdują się: biuro pracowników socjalnych, biuro kierownika, biuro księgowości i funduszu alimentacyjnego.</w:t>
      </w:r>
      <w:r w:rsidRPr="00C653FA">
        <w:rPr>
          <w:rFonts w:asciiTheme="minorHAnsi" w:hAnsiTheme="minorHAnsi" w:cstheme="minorHAnsi"/>
          <w:sz w:val="22"/>
          <w:szCs w:val="22"/>
        </w:rPr>
        <w:t xml:space="preserve"> W </w:t>
      </w:r>
      <w:r w:rsidRPr="00C653FA">
        <w:rPr>
          <w:rFonts w:asciiTheme="minorHAnsi" w:hAnsiTheme="minorHAnsi" w:cstheme="minorHAnsi"/>
          <w:sz w:val="22"/>
          <w:szCs w:val="22"/>
        </w:rPr>
        <w:t xml:space="preserve">piwnicy Ośrodka znajduje się wypożyczalnia sprzętu rehabilitacyjnego. 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W celu skutecznego wykonywania powyższych zadań współpracuje jednostkami samorządu terytorialnego (na poziomie gminnym i powiatowym), szkołami, przedszkolem, Urzędem Skarbowym, Sądem, Policją, z lokalnymi organizacjami pozarządowymi oraz innymi instytucjami na terenie powiatu wągrowieckiego, jak i całego kraju.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Ośrodek działa w oparciu o ustawy: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pomocy społecznej,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finansach publicznych,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ochronie danych osobowych,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kodeksu postępowania administracyjnego,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postępowaniu egzekucyjnym w administracji,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dostępie do informacji publicznej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lastRenderedPageBreak/>
        <w:t>- o świadczeniach rodzinnych,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pomocy osobom uprawnionym do alimentów,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ustaleniu i wypłacie zasiłków dla opiekunów,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systemie ubezpieczeń społecznych,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wspieraniu rodziny i systemie pieczy zastępczej,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dodatkach mieszkaniowych,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Prawo energetyczne,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świadczeniach zdrowotnych finansowanych ze środków publicznych,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Kodeksu pracy i innych przepisów z prawa pracy,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samorządzie gminnym,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pracownikach samorządowych,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 karcie dużej rodziny.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Prawo zamówień publicznych.</w:t>
      </w:r>
    </w:p>
    <w:p w:rsidR="00A10689" w:rsidRPr="00C653FA" w:rsidRDefault="00A10689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53FA">
        <w:rPr>
          <w:rFonts w:asciiTheme="minorHAnsi" w:hAnsiTheme="minorHAnsi" w:cstheme="minorHAnsi"/>
          <w:sz w:val="22"/>
          <w:szCs w:val="22"/>
        </w:rPr>
        <w:t>- oraz uchwał Rady Miasta i Gminy Gołańcz.</w:t>
      </w:r>
    </w:p>
    <w:p w:rsidR="006E0E9A" w:rsidRPr="00C653FA" w:rsidRDefault="006E0E9A" w:rsidP="007E1EBF">
      <w:pPr>
        <w:spacing w:after="0" w:line="240" w:lineRule="auto"/>
        <w:rPr>
          <w:rFonts w:cstheme="minorHAnsi"/>
          <w:b/>
        </w:rPr>
      </w:pPr>
    </w:p>
    <w:p w:rsidR="00A10689" w:rsidRPr="00C653FA" w:rsidRDefault="00A10689" w:rsidP="007E1EBF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>III. Zakres pomocy udzielanej w Ośrodku.</w:t>
      </w:r>
    </w:p>
    <w:p w:rsidR="00A10689" w:rsidRPr="00C653FA" w:rsidRDefault="00A10689" w:rsidP="007E1EBF">
      <w:pPr>
        <w:spacing w:after="0" w:line="240" w:lineRule="auto"/>
        <w:rPr>
          <w:rFonts w:cstheme="minorHAnsi"/>
          <w:b/>
        </w:rPr>
      </w:pPr>
    </w:p>
    <w:p w:rsidR="00A52700" w:rsidRPr="00C653FA" w:rsidRDefault="00A10689" w:rsidP="007E1EBF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>III.1. Zadania z zakresu</w:t>
      </w:r>
      <w:r w:rsidR="00A52700" w:rsidRPr="00C653FA">
        <w:rPr>
          <w:rFonts w:cstheme="minorHAnsi"/>
          <w:b/>
        </w:rPr>
        <w:t xml:space="preserve"> pomocy społecznej: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Program „Pomoc</w:t>
      </w:r>
      <w:r w:rsidR="00A10689" w:rsidRPr="00C653FA">
        <w:rPr>
          <w:rFonts w:cstheme="minorHAnsi"/>
        </w:rPr>
        <w:t xml:space="preserve"> państwa w zakresie dożywiania”.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Specjalistyczne usługi opie</w:t>
      </w:r>
      <w:r w:rsidR="00A10689" w:rsidRPr="00C653FA">
        <w:rPr>
          <w:rFonts w:cstheme="minorHAnsi"/>
        </w:rPr>
        <w:t>kuńcze w miejscu zamieszkania.</w:t>
      </w:r>
    </w:p>
    <w:p w:rsidR="008D4A11" w:rsidRPr="00C653FA" w:rsidRDefault="00A10689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Zasiłki stałe.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Zasiłki okresowe</w:t>
      </w:r>
      <w:r w:rsidR="00A10689" w:rsidRPr="00C653FA">
        <w:rPr>
          <w:rFonts w:cstheme="minorHAnsi"/>
          <w:b/>
        </w:rPr>
        <w:t>.</w:t>
      </w:r>
    </w:p>
    <w:p w:rsidR="008D4A11" w:rsidRPr="00C653FA" w:rsidRDefault="00A10689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Usługi opiekuńcze.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Inne zasiłki celowe i w naturze</w:t>
      </w:r>
      <w:r w:rsidR="00A10689" w:rsidRPr="00C653FA">
        <w:rPr>
          <w:rFonts w:cstheme="minorHAnsi"/>
          <w:b/>
        </w:rPr>
        <w:t>.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Opłaty za p</w:t>
      </w:r>
      <w:r w:rsidR="00A10689" w:rsidRPr="00C653FA">
        <w:rPr>
          <w:rFonts w:cstheme="minorHAnsi"/>
        </w:rPr>
        <w:t>obyt w Domach Pomocy Społecznej.</w:t>
      </w:r>
    </w:p>
    <w:p w:rsidR="008D4A11" w:rsidRPr="00C653FA" w:rsidRDefault="008D4A11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Schronienie</w:t>
      </w:r>
      <w:r w:rsidR="00A10689" w:rsidRPr="00C653FA">
        <w:rPr>
          <w:rFonts w:cstheme="minorHAnsi"/>
        </w:rPr>
        <w:t>.</w:t>
      </w:r>
    </w:p>
    <w:p w:rsidR="008D4A11" w:rsidRPr="00C653FA" w:rsidRDefault="00A10689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Zdarzenie losowe.</w:t>
      </w:r>
    </w:p>
    <w:p w:rsidR="008D4A11" w:rsidRPr="00C653FA" w:rsidRDefault="00A10689" w:rsidP="008D4A1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Sprawienie pogrzebu.</w:t>
      </w:r>
    </w:p>
    <w:p w:rsidR="00476433" w:rsidRPr="00C653FA" w:rsidRDefault="00476433" w:rsidP="00476433">
      <w:pPr>
        <w:pStyle w:val="Akapitzlist"/>
        <w:spacing w:after="0" w:line="240" w:lineRule="auto"/>
        <w:rPr>
          <w:rFonts w:cstheme="minorHAnsi"/>
        </w:rPr>
      </w:pPr>
    </w:p>
    <w:p w:rsidR="00A52700" w:rsidRPr="00C653FA" w:rsidRDefault="00A10689" w:rsidP="007E1EBF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 xml:space="preserve">III. 2. Zadania z zakresu </w:t>
      </w:r>
      <w:r w:rsidR="008F1D60" w:rsidRPr="00C653FA">
        <w:rPr>
          <w:rFonts w:cstheme="minorHAnsi"/>
          <w:b/>
        </w:rPr>
        <w:t>świadczeń</w:t>
      </w:r>
      <w:r w:rsidR="00A52700" w:rsidRPr="00C653FA">
        <w:rPr>
          <w:rFonts w:cstheme="minorHAnsi"/>
          <w:b/>
        </w:rPr>
        <w:t xml:space="preserve"> </w:t>
      </w:r>
      <w:r w:rsidR="008F1D60" w:rsidRPr="00C653FA">
        <w:rPr>
          <w:rFonts w:cstheme="minorHAnsi"/>
          <w:b/>
        </w:rPr>
        <w:t>rodzinnych</w:t>
      </w:r>
      <w:r w:rsidR="00A52700" w:rsidRPr="00C653FA">
        <w:rPr>
          <w:rFonts w:cstheme="minorHAnsi"/>
          <w:b/>
        </w:rPr>
        <w:t>: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</w:rPr>
        <w:t>Świadczenia rodzinne</w:t>
      </w:r>
      <w:r w:rsidR="00A10689" w:rsidRPr="00C653FA">
        <w:rPr>
          <w:rFonts w:cstheme="minorHAnsi"/>
          <w:b/>
        </w:rPr>
        <w:t>.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</w:rPr>
        <w:t>Dodatki mieszkaniowe</w:t>
      </w:r>
      <w:r w:rsidR="00A10689" w:rsidRPr="00C653FA">
        <w:rPr>
          <w:rFonts w:cstheme="minorHAnsi"/>
          <w:b/>
        </w:rPr>
        <w:t>.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</w:rPr>
        <w:t>Dodatki energetyczne</w:t>
      </w:r>
      <w:r w:rsidR="00A10689" w:rsidRPr="00C653FA">
        <w:rPr>
          <w:rFonts w:cstheme="minorHAnsi"/>
          <w:b/>
        </w:rPr>
        <w:t>.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</w:rPr>
        <w:t>Jednorazowa pom</w:t>
      </w:r>
      <w:r w:rsidR="00A10689" w:rsidRPr="00C653FA">
        <w:rPr>
          <w:rFonts w:cstheme="minorHAnsi"/>
        </w:rPr>
        <w:t>oc z tytułu urodzenia dziecka.</w:t>
      </w:r>
    </w:p>
    <w:p w:rsidR="00592C51" w:rsidRPr="00C653FA" w:rsidRDefault="00A10689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</w:rPr>
        <w:t>Zasiłki pielęgnacyjne.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Świadczenia pielęgnacyjne</w:t>
      </w:r>
      <w:r w:rsidR="00A10689" w:rsidRPr="00C653FA">
        <w:rPr>
          <w:rFonts w:cstheme="minorHAnsi"/>
        </w:rPr>
        <w:t>.</w:t>
      </w:r>
    </w:p>
    <w:p w:rsidR="00592C51" w:rsidRPr="00C653FA" w:rsidRDefault="00A10689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Specjalny zasiłek opiekuńczy.</w:t>
      </w:r>
    </w:p>
    <w:p w:rsidR="00592C51" w:rsidRPr="00C653FA" w:rsidRDefault="00A10689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Świadczenie rodzicielskie.</w:t>
      </w:r>
    </w:p>
    <w:p w:rsidR="00592C51" w:rsidRPr="00C653FA" w:rsidRDefault="00592C51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Świadczenie Za życiem</w:t>
      </w:r>
      <w:r w:rsidR="00A10689" w:rsidRPr="00C653FA">
        <w:rPr>
          <w:rFonts w:cstheme="minorHAnsi"/>
          <w:b/>
        </w:rPr>
        <w:t>.</w:t>
      </w:r>
    </w:p>
    <w:p w:rsidR="00592C51" w:rsidRPr="00C653FA" w:rsidRDefault="00A10689" w:rsidP="00592C5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Gołanieckie becikowe.</w:t>
      </w:r>
    </w:p>
    <w:p w:rsidR="007E1EBF" w:rsidRPr="00C653FA" w:rsidRDefault="007E1EBF" w:rsidP="007E1EBF">
      <w:pPr>
        <w:spacing w:after="0" w:line="240" w:lineRule="auto"/>
        <w:rPr>
          <w:rFonts w:cstheme="minorHAnsi"/>
          <w:b/>
        </w:rPr>
      </w:pPr>
    </w:p>
    <w:p w:rsidR="00E04841" w:rsidRPr="00C653FA" w:rsidRDefault="00A10689" w:rsidP="00E04841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 xml:space="preserve">III. 3. </w:t>
      </w:r>
      <w:r w:rsidR="00E04841" w:rsidRPr="00C653FA">
        <w:rPr>
          <w:rFonts w:cstheme="minorHAnsi"/>
          <w:b/>
        </w:rPr>
        <w:t>Sprawy z zakresu funduszu alimentacyjnego:</w:t>
      </w:r>
    </w:p>
    <w:p w:rsidR="00E04841" w:rsidRPr="00C653FA" w:rsidRDefault="00E04841" w:rsidP="00E048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Sprawy podjęte wobec dłużników alimentacyjnych</w:t>
      </w:r>
      <w:r w:rsidR="00A10689" w:rsidRPr="00C653FA">
        <w:rPr>
          <w:rFonts w:cstheme="minorHAnsi"/>
        </w:rPr>
        <w:t>.</w:t>
      </w:r>
    </w:p>
    <w:p w:rsidR="00E04841" w:rsidRPr="00C653FA" w:rsidRDefault="00A10689" w:rsidP="00E048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Wydawanie decyzji</w:t>
      </w:r>
      <w:r w:rsidR="00E04841" w:rsidRPr="00C653FA">
        <w:rPr>
          <w:rFonts w:cstheme="minorHAnsi"/>
        </w:rPr>
        <w:t xml:space="preserve"> w sprawie przyznania lub zakończenia świadczeń z FA </w:t>
      </w:r>
      <w:r w:rsidRPr="00C653FA">
        <w:rPr>
          <w:rFonts w:cstheme="minorHAnsi"/>
        </w:rPr>
        <w:t>.</w:t>
      </w:r>
    </w:p>
    <w:p w:rsidR="00E04841" w:rsidRPr="00C653FA" w:rsidRDefault="00A10689" w:rsidP="00E048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Prowadzenie spraw związanych</w:t>
      </w:r>
      <w:r w:rsidR="00E04841" w:rsidRPr="00C653FA">
        <w:rPr>
          <w:rFonts w:cstheme="minorHAnsi"/>
        </w:rPr>
        <w:t xml:space="preserve"> ze współdziałaniem z inn</w:t>
      </w:r>
      <w:r w:rsidRPr="00C653FA">
        <w:rPr>
          <w:rFonts w:cstheme="minorHAnsi"/>
        </w:rPr>
        <w:t>ymi jednostkami samorządowymi.</w:t>
      </w:r>
    </w:p>
    <w:p w:rsidR="00E04841" w:rsidRPr="00C653FA" w:rsidRDefault="00A10689" w:rsidP="00A1068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53FA">
        <w:rPr>
          <w:rFonts w:cstheme="minorHAnsi"/>
        </w:rPr>
        <w:t>Przeprowadzanie</w:t>
      </w:r>
      <w:r w:rsidR="00E04841" w:rsidRPr="00C653FA">
        <w:rPr>
          <w:rFonts w:cstheme="minorHAnsi"/>
        </w:rPr>
        <w:t xml:space="preserve"> przez MGOPS w</w:t>
      </w:r>
      <w:r w:rsidRPr="00C653FA">
        <w:rPr>
          <w:rFonts w:cstheme="minorHAnsi"/>
        </w:rPr>
        <w:t>ywiadów alimentacyjnych.</w:t>
      </w:r>
    </w:p>
    <w:p w:rsidR="007E1EBF" w:rsidRPr="00C653FA" w:rsidRDefault="007E1EBF" w:rsidP="007E1EBF">
      <w:pPr>
        <w:spacing w:after="0" w:line="240" w:lineRule="auto"/>
        <w:rPr>
          <w:rFonts w:cstheme="minorHAnsi"/>
          <w:b/>
        </w:rPr>
      </w:pPr>
    </w:p>
    <w:p w:rsidR="00A10689" w:rsidRPr="00C653FA" w:rsidRDefault="00A10689" w:rsidP="00052D00">
      <w:pPr>
        <w:spacing w:after="0" w:line="240" w:lineRule="auto"/>
        <w:rPr>
          <w:rFonts w:cstheme="minorHAnsi"/>
          <w:b/>
        </w:rPr>
      </w:pPr>
      <w:r w:rsidRPr="00C653FA">
        <w:rPr>
          <w:rFonts w:cstheme="minorHAnsi"/>
          <w:b/>
        </w:rPr>
        <w:t>III. 3. Zadania inne zlecone ustawami:</w:t>
      </w:r>
    </w:p>
    <w:p w:rsidR="00052D00" w:rsidRPr="00C653FA" w:rsidRDefault="00A10689" w:rsidP="00A10689">
      <w:pPr>
        <w:spacing w:after="0" w:line="240" w:lineRule="auto"/>
        <w:ind w:firstLine="708"/>
        <w:rPr>
          <w:rFonts w:cstheme="minorHAnsi"/>
        </w:rPr>
      </w:pPr>
      <w:r w:rsidRPr="00C653FA">
        <w:rPr>
          <w:rFonts w:cstheme="minorHAnsi"/>
        </w:rPr>
        <w:t xml:space="preserve">1. </w:t>
      </w:r>
      <w:r w:rsidR="00052D00" w:rsidRPr="00C653FA">
        <w:rPr>
          <w:rFonts w:cstheme="minorHAnsi"/>
        </w:rPr>
        <w:t>Sprawy z zakresu ś</w:t>
      </w:r>
      <w:r w:rsidRPr="00C653FA">
        <w:rPr>
          <w:rFonts w:cstheme="minorHAnsi"/>
        </w:rPr>
        <w:t>wiadczenia wychowawczego (500+)</w:t>
      </w:r>
    </w:p>
    <w:p w:rsidR="00052D00" w:rsidRPr="00C653FA" w:rsidRDefault="00A10689" w:rsidP="00A10689">
      <w:pPr>
        <w:spacing w:after="0" w:line="240" w:lineRule="auto"/>
        <w:ind w:firstLine="708"/>
        <w:rPr>
          <w:rFonts w:cstheme="minorHAnsi"/>
        </w:rPr>
      </w:pPr>
      <w:r w:rsidRPr="00C653FA">
        <w:rPr>
          <w:rFonts w:cstheme="minorHAnsi"/>
        </w:rPr>
        <w:t xml:space="preserve">2. </w:t>
      </w:r>
      <w:r w:rsidR="00052D00" w:rsidRPr="00C653FA">
        <w:rPr>
          <w:rFonts w:cstheme="minorHAnsi"/>
        </w:rPr>
        <w:t>Sprawy z zakresu ś</w:t>
      </w:r>
      <w:r w:rsidRPr="00C653FA">
        <w:rPr>
          <w:rFonts w:cstheme="minorHAnsi"/>
        </w:rPr>
        <w:t>wiadczenia „Dobry Start” (300+)</w:t>
      </w:r>
    </w:p>
    <w:p w:rsidR="004037ED" w:rsidRPr="00C653FA" w:rsidRDefault="00A10689" w:rsidP="00A10689">
      <w:pPr>
        <w:spacing w:after="0" w:line="240" w:lineRule="auto"/>
        <w:ind w:firstLine="708"/>
        <w:rPr>
          <w:rFonts w:cstheme="minorHAnsi"/>
        </w:rPr>
      </w:pPr>
      <w:r w:rsidRPr="00C653FA">
        <w:rPr>
          <w:rFonts w:cstheme="minorHAnsi"/>
        </w:rPr>
        <w:t xml:space="preserve">3. </w:t>
      </w:r>
      <w:r w:rsidR="004037ED" w:rsidRPr="00C653FA">
        <w:rPr>
          <w:rFonts w:cstheme="minorHAnsi"/>
        </w:rPr>
        <w:t xml:space="preserve">Zespół Interdyscyplinarny ds. Przemocy w </w:t>
      </w:r>
      <w:r w:rsidRPr="00C653FA">
        <w:rPr>
          <w:rFonts w:cstheme="minorHAnsi"/>
        </w:rPr>
        <w:t>Rodzinie.</w:t>
      </w:r>
    </w:p>
    <w:p w:rsidR="00A93580" w:rsidRPr="00C653FA" w:rsidRDefault="00A10689" w:rsidP="00A10689">
      <w:pPr>
        <w:spacing w:after="0" w:line="240" w:lineRule="auto"/>
        <w:ind w:firstLine="708"/>
        <w:rPr>
          <w:rFonts w:cstheme="minorHAnsi"/>
        </w:rPr>
      </w:pPr>
      <w:r w:rsidRPr="00C653FA">
        <w:rPr>
          <w:rFonts w:cstheme="minorHAnsi"/>
        </w:rPr>
        <w:t xml:space="preserve">4. </w:t>
      </w:r>
      <w:r w:rsidR="00A93580" w:rsidRPr="00C653FA">
        <w:rPr>
          <w:rFonts w:cstheme="minorHAnsi"/>
        </w:rPr>
        <w:t>Karta Dużej Rodziny i Wielkopolska Karta Rodziny.</w:t>
      </w:r>
    </w:p>
    <w:p w:rsidR="00285419" w:rsidRPr="00C653FA" w:rsidRDefault="00A10689" w:rsidP="00A10689">
      <w:pPr>
        <w:spacing w:after="0" w:line="240" w:lineRule="auto"/>
        <w:ind w:firstLine="708"/>
        <w:rPr>
          <w:rFonts w:cstheme="minorHAnsi"/>
        </w:rPr>
      </w:pPr>
      <w:r w:rsidRPr="00C653FA">
        <w:rPr>
          <w:rFonts w:cstheme="minorHAnsi"/>
        </w:rPr>
        <w:t>5. Asystent rodziny.</w:t>
      </w:r>
    </w:p>
    <w:p w:rsidR="00E37185" w:rsidRDefault="00E37185" w:rsidP="007E1EBF">
      <w:pPr>
        <w:spacing w:after="0" w:line="240" w:lineRule="auto"/>
        <w:jc w:val="both"/>
      </w:pPr>
    </w:p>
    <w:p w:rsidR="00A10689" w:rsidRDefault="00A10689" w:rsidP="007E1EBF">
      <w:pPr>
        <w:spacing w:after="0" w:line="240" w:lineRule="auto"/>
        <w:jc w:val="both"/>
        <w:rPr>
          <w:b/>
        </w:rPr>
      </w:pPr>
    </w:p>
    <w:p w:rsidR="00C653FA" w:rsidRDefault="00C653FA" w:rsidP="007E1EBF">
      <w:pPr>
        <w:spacing w:after="0" w:line="240" w:lineRule="auto"/>
        <w:jc w:val="both"/>
        <w:rPr>
          <w:b/>
        </w:rPr>
      </w:pPr>
    </w:p>
    <w:p w:rsidR="00C653FA" w:rsidRDefault="00C653FA" w:rsidP="007E1EB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42161" w:rsidRDefault="00A10689" w:rsidP="007E1EB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IV. </w:t>
      </w:r>
      <w:r w:rsidR="00074B5A" w:rsidRPr="00074B5A">
        <w:rPr>
          <w:b/>
        </w:rPr>
        <w:t>Ponadto w Ośrodku:</w:t>
      </w:r>
    </w:p>
    <w:p w:rsidR="0087788A" w:rsidRDefault="008D5B52" w:rsidP="00A966F7">
      <w:pPr>
        <w:spacing w:after="0" w:line="240" w:lineRule="auto"/>
        <w:jc w:val="both"/>
      </w:pPr>
      <w:r>
        <w:t>1</w:t>
      </w:r>
      <w:r w:rsidR="00B91704">
        <w:t>. MGOPS był współorganizatorem integracyjnego spotkania z osobami niepełnosprawnymi</w:t>
      </w:r>
      <w:r w:rsidR="00A966F7">
        <w:t xml:space="preserve"> pn. Jesteśmy tacy sami”</w:t>
      </w:r>
      <w:r w:rsidR="00B91704">
        <w:t>. Im</w:t>
      </w:r>
      <w:r>
        <w:t>preza odbyła się 17 czerwca 2018</w:t>
      </w:r>
      <w:r w:rsidR="00B91704">
        <w:t xml:space="preserve"> roku, a atrakcjami były m.in.: </w:t>
      </w:r>
      <w:r w:rsidR="00A966F7">
        <w:t xml:space="preserve">występy podopiecznych ŚDS w Gołańczy, </w:t>
      </w:r>
      <w:r w:rsidR="00B91704">
        <w:t xml:space="preserve">prace artystyczne, rękodzieło oraz występ </w:t>
      </w:r>
      <w:r>
        <w:t>artystyczny zespołu muzyki tanecznej.</w:t>
      </w:r>
    </w:p>
    <w:p w:rsidR="008D5B52" w:rsidRDefault="008D5B52" w:rsidP="00A966F7">
      <w:pPr>
        <w:spacing w:after="0" w:line="240" w:lineRule="auto"/>
        <w:jc w:val="both"/>
      </w:pPr>
      <w:r>
        <w:t>2</w:t>
      </w:r>
      <w:r w:rsidR="00A966F7">
        <w:t xml:space="preserve">. MGOPS realizuje </w:t>
      </w:r>
      <w:r>
        <w:t>program osłonowe:</w:t>
      </w:r>
    </w:p>
    <w:p w:rsidR="00A966F7" w:rsidRDefault="008D5B52" w:rsidP="00A966F7">
      <w:pPr>
        <w:spacing w:after="0" w:line="240" w:lineRule="auto"/>
        <w:jc w:val="both"/>
        <w:rPr>
          <w:b/>
        </w:rPr>
      </w:pPr>
      <w:r>
        <w:t xml:space="preserve">- </w:t>
      </w:r>
      <w:r w:rsidR="00A966F7" w:rsidRPr="00A966F7">
        <w:rPr>
          <w:b/>
        </w:rPr>
        <w:t>PUDEŁKO ŻYCIA.</w:t>
      </w:r>
      <w:r w:rsidR="00A966F7" w:rsidRPr="00A966F7">
        <w:t xml:space="preserve">  Głównym celem Programu jest zapewnienie osobom starszym, osobom mającym problemy ze zdrowiem, niepełnosprawnym oraz samotnym, obok właściwej opieki, wsparcie w sytuacji wystąpienia zagrożenia zdrowia i życia podczas udzielania pomocy przez różnego rodzaju służby medyczne, socjalne i inne.</w:t>
      </w:r>
      <w:r w:rsidR="00A966F7">
        <w:t xml:space="preserve"> </w:t>
      </w:r>
    </w:p>
    <w:p w:rsidR="008D5B52" w:rsidRDefault="008D5B52" w:rsidP="00A966F7">
      <w:pPr>
        <w:spacing w:after="0" w:line="240" w:lineRule="auto"/>
        <w:jc w:val="both"/>
        <w:rPr>
          <w:b/>
        </w:rPr>
      </w:pPr>
      <w:r>
        <w:rPr>
          <w:b/>
        </w:rPr>
        <w:t xml:space="preserve">- GOŁANIECKA KARTA SENIORA. </w:t>
      </w:r>
      <w:r w:rsidRPr="008D5B52">
        <w:rPr>
          <w:rFonts w:cstheme="minorHAnsi"/>
          <w:shd w:val="clear" w:color="auto" w:fill="FFFFFF"/>
        </w:rPr>
        <w:t>Celem Programu jest aktywizacj</w:t>
      </w:r>
      <w:r>
        <w:rPr>
          <w:rFonts w:cstheme="minorHAnsi"/>
          <w:shd w:val="clear" w:color="auto" w:fill="FFFFFF"/>
        </w:rPr>
        <w:t>a społeczna seniorów z Miasta i </w:t>
      </w:r>
      <w:r w:rsidRPr="008D5B52">
        <w:rPr>
          <w:rFonts w:cstheme="minorHAnsi"/>
          <w:shd w:val="clear" w:color="auto" w:fill="FFFFFF"/>
        </w:rPr>
        <w:t>Gminy Gołańcz poprzez stworzenie oraz rozwijanie systemu ulg, zwolnień i rabatów umożliwiających zwiększony dostęp do ofert kulturalnych i usług. Seniorzy, po okazaniu Gołanieckiej Karty Seniora, będą mogli korzystać z promocji i ofert skierowanych oraz przygotowanych specjalnie z myślą o nich.</w:t>
      </w:r>
      <w:r>
        <w:rPr>
          <w:rFonts w:cstheme="minorHAnsi"/>
          <w:shd w:val="clear" w:color="auto" w:fill="FFFFFF"/>
        </w:rPr>
        <w:t xml:space="preserve"> </w:t>
      </w:r>
    </w:p>
    <w:p w:rsidR="008D5B52" w:rsidRPr="008D5B52" w:rsidRDefault="008D5B52" w:rsidP="008D5B52">
      <w:pPr>
        <w:spacing w:after="0" w:line="240" w:lineRule="auto"/>
        <w:jc w:val="both"/>
        <w:rPr>
          <w:b/>
        </w:rPr>
      </w:pPr>
      <w:r>
        <w:rPr>
          <w:b/>
        </w:rPr>
        <w:t xml:space="preserve">- WYPOŻYCZALNIA SPRZĘTU REHABILITACYJNEGO. </w:t>
      </w:r>
      <w:r>
        <w:t>Najczęściej wypożyczany sprzęt to łózka rehabilitacyjne, wózki inwalidzkie, balkoniki oraz kule inwalidzkie. Wartość pomocy mieszkańcom łatwo oszacować analizując ceny sklepowe takiego sprzętu: łózko rehabilitacyjne - średnio 3000 zł, wózek inwalidzki – średnio 600 zł, balkonik – średnio 200 zł.</w:t>
      </w:r>
    </w:p>
    <w:p w:rsidR="0087788A" w:rsidRPr="00A10689" w:rsidRDefault="008D5B52" w:rsidP="008D5B52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D5B52">
        <w:rPr>
          <w:b/>
        </w:rPr>
        <w:t>- POMOC W DOSTĘPIE DO REHABILITACJI DZIECI I MŁODZIEŻY.</w:t>
      </w:r>
      <w:r>
        <w:t xml:space="preserve"> </w:t>
      </w:r>
      <w:r w:rsidRPr="002F3FF1">
        <w:rPr>
          <w:rFonts w:cstheme="minorHAnsi"/>
          <w:shd w:val="clear" w:color="auto" w:fill="FFFFFF"/>
        </w:rPr>
        <w:t xml:space="preserve">Pomoc finansowa przeznaczona </w:t>
      </w:r>
      <w:r>
        <w:rPr>
          <w:rFonts w:cstheme="minorHAnsi"/>
          <w:shd w:val="clear" w:color="auto" w:fill="FFFFFF"/>
        </w:rPr>
        <w:t xml:space="preserve">jest </w:t>
      </w:r>
      <w:r w:rsidRPr="002F3FF1">
        <w:rPr>
          <w:rFonts w:cstheme="minorHAnsi"/>
          <w:shd w:val="clear" w:color="auto" w:fill="FFFFFF"/>
        </w:rPr>
        <w:t>na zabiegi rehabilitacji ruchowej wykonywane przez wyspecjalizowane placówki rehabilitacyjne, zatrudniające wykwalifikowaną kadrę. Użyty termin „ zabiegi rehabilitacji ruchowej” oznacza jeden lub więcej rodzajów z następujących zabiegów: rehabilitacja aktywna, integracja sensoryczna, wczesna interwencj</w:t>
      </w:r>
      <w:r>
        <w:rPr>
          <w:rFonts w:cstheme="minorHAnsi"/>
          <w:shd w:val="clear" w:color="auto" w:fill="FFFFFF"/>
        </w:rPr>
        <w:t xml:space="preserve">a, ćwiczenia NDT </w:t>
      </w:r>
      <w:proofErr w:type="spellStart"/>
      <w:r>
        <w:rPr>
          <w:rFonts w:cstheme="minorHAnsi"/>
          <w:shd w:val="clear" w:color="auto" w:fill="FFFFFF"/>
        </w:rPr>
        <w:t>Bobath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Voyta</w:t>
      </w:r>
      <w:proofErr w:type="spellEnd"/>
      <w:r>
        <w:rPr>
          <w:rFonts w:cstheme="minorHAnsi"/>
          <w:shd w:val="clear" w:color="auto" w:fill="FFFFFF"/>
        </w:rPr>
        <w:t>-</w:t>
      </w:r>
      <w:r w:rsidRPr="002F3FF1">
        <w:rPr>
          <w:rFonts w:cstheme="minorHAnsi"/>
          <w:shd w:val="clear" w:color="auto" w:fill="FFFFFF"/>
        </w:rPr>
        <w:t>UGUL, podwieszki, kinezyterapia, fizykoterapia, fizjoterapia, ćwiczenia usprawniające na basenie w obecności uprawnionego instruktora bądź rehabilitanta</w:t>
      </w:r>
      <w:r>
        <w:rPr>
          <w:rFonts w:cstheme="minorHAnsi"/>
          <w:shd w:val="clear" w:color="auto" w:fill="FFFFFF"/>
        </w:rPr>
        <w:t>.</w:t>
      </w:r>
    </w:p>
    <w:p w:rsidR="00A10689" w:rsidRDefault="00E31F1D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1F1D">
        <w:rPr>
          <w:rFonts w:asciiTheme="minorHAnsi" w:hAnsiTheme="minorHAnsi" w:cstheme="minorHAnsi"/>
          <w:sz w:val="22"/>
          <w:szCs w:val="22"/>
        </w:rPr>
        <w:t xml:space="preserve">3. </w:t>
      </w:r>
      <w:r w:rsidR="0087788A">
        <w:rPr>
          <w:rFonts w:asciiTheme="minorHAnsi" w:hAnsiTheme="minorHAnsi" w:cstheme="minorHAnsi"/>
          <w:sz w:val="22"/>
          <w:szCs w:val="22"/>
        </w:rPr>
        <w:t xml:space="preserve">MGOPS jest bezpośrednim podmiotem uczestniczącym w </w:t>
      </w:r>
      <w:r w:rsidRPr="00E31F1D">
        <w:rPr>
          <w:rStyle w:val="Pogrubienie"/>
          <w:rFonts w:asciiTheme="minorHAnsi" w:hAnsiTheme="minorHAnsi" w:cstheme="minorHAnsi"/>
          <w:sz w:val="22"/>
          <w:szCs w:val="22"/>
        </w:rPr>
        <w:t>Program</w:t>
      </w:r>
      <w:r w:rsidR="0087788A">
        <w:rPr>
          <w:rStyle w:val="Pogrubienie"/>
          <w:rFonts w:asciiTheme="minorHAnsi" w:hAnsiTheme="minorHAnsi" w:cstheme="minorHAnsi"/>
          <w:sz w:val="22"/>
          <w:szCs w:val="22"/>
        </w:rPr>
        <w:t>ie</w:t>
      </w:r>
      <w:r w:rsidRPr="00E31F1D">
        <w:rPr>
          <w:rStyle w:val="Pogrubienie"/>
          <w:rFonts w:asciiTheme="minorHAnsi" w:hAnsiTheme="minorHAnsi" w:cstheme="minorHAnsi"/>
          <w:sz w:val="22"/>
          <w:szCs w:val="22"/>
        </w:rPr>
        <w:t xml:space="preserve"> Usług Opiekuńczych i</w:t>
      </w:r>
      <w:r w:rsidR="0087788A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Pr="00E31F1D">
        <w:rPr>
          <w:rStyle w:val="Pogrubienie"/>
          <w:rFonts w:asciiTheme="minorHAnsi" w:hAnsiTheme="minorHAnsi" w:cstheme="minorHAnsi"/>
          <w:sz w:val="22"/>
          <w:szCs w:val="22"/>
        </w:rPr>
        <w:t>Zdrowotnych świadczonych w społeczności lokalnej powiatu wągrowieckiego, dla niesamodzielnych osób starszych i ich opiekunów”.</w:t>
      </w:r>
      <w:r w:rsidR="0087788A">
        <w:rPr>
          <w:rFonts w:asciiTheme="minorHAnsi" w:hAnsiTheme="minorHAnsi" w:cstheme="minorHAnsi"/>
          <w:sz w:val="22"/>
          <w:szCs w:val="22"/>
        </w:rPr>
        <w:t xml:space="preserve"> </w:t>
      </w:r>
      <w:r w:rsidRPr="00E31F1D">
        <w:rPr>
          <w:rFonts w:asciiTheme="minorHAnsi" w:hAnsiTheme="minorHAnsi" w:cstheme="minorHAnsi"/>
          <w:sz w:val="22"/>
          <w:szCs w:val="22"/>
        </w:rPr>
        <w:t xml:space="preserve">Świadczona rodzinom pomoc jest nieodpłatna i przybiera formę usług opiekuńczych i pomocy </w:t>
      </w:r>
      <w:proofErr w:type="spellStart"/>
      <w:r w:rsidRPr="00E31F1D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 w:rsidRPr="00E31F1D">
        <w:rPr>
          <w:rFonts w:asciiTheme="minorHAnsi" w:hAnsiTheme="minorHAnsi" w:cstheme="minorHAnsi"/>
          <w:sz w:val="22"/>
          <w:szCs w:val="22"/>
        </w:rPr>
        <w:t xml:space="preserve"> dla opiekuna w ilości minimum 2 godzin dziennie.  Pomoc realizowana jest przez wykwalifikowanego opiekuna osób starszych.  W dalszym etapie programu udostępnione zostaną bezpłatne usługi fizjoterapeutyczne realizowane w Centrum Wsparcia Opiekunów oraz usługi w ramach Klubu Seniora – </w:t>
      </w:r>
      <w:r w:rsidRPr="00E31F1D">
        <w:rPr>
          <w:rStyle w:val="Pogrubienie"/>
          <w:rFonts w:asciiTheme="minorHAnsi" w:hAnsiTheme="minorHAnsi" w:cstheme="minorHAnsi"/>
          <w:sz w:val="22"/>
          <w:szCs w:val="22"/>
        </w:rPr>
        <w:t>przewidywany termin październik 2018 r.</w:t>
      </w:r>
    </w:p>
    <w:p w:rsidR="0087788A" w:rsidRPr="0087788A" w:rsidRDefault="0087788A" w:rsidP="00A106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788A">
        <w:rPr>
          <w:rFonts w:asciiTheme="minorHAnsi" w:hAnsiTheme="minorHAnsi" w:cstheme="minorHAnsi"/>
          <w:sz w:val="22"/>
          <w:szCs w:val="22"/>
        </w:rPr>
        <w:t>4. MGOPS jest pośrednim podmiotem uczestniczącym w programie pn. </w:t>
      </w:r>
      <w:r w:rsidRPr="0087788A">
        <w:rPr>
          <w:rFonts w:asciiTheme="minorHAnsi" w:hAnsiTheme="minorHAnsi" w:cstheme="minorHAnsi"/>
          <w:b/>
          <w:bCs/>
          <w:sz w:val="22"/>
          <w:szCs w:val="22"/>
        </w:rPr>
        <w:t>Projekt poprawiający  dostęp do usług wsparcia rodziny i systemu pieczy zastępczej, usług opiekuńczych i asystenckich w powiecie wągrowieckim”</w:t>
      </w:r>
      <w:r w:rsidRPr="0087788A">
        <w:rPr>
          <w:rFonts w:asciiTheme="minorHAnsi" w:hAnsiTheme="minorHAnsi" w:cstheme="minorHAnsi"/>
          <w:sz w:val="22"/>
          <w:szCs w:val="22"/>
        </w:rPr>
        <w:t> współfinansowanego z Europejskiego Funduszu Społecznego w ramach Wielkopolskiego Regionalnego Programu Operacyjnego. Głównym realizatorem programu jest Powiatowe Centrum Pomocy Rodzinie w Wągrowcu, z którym na etapie rekrutacji rodzin do programu współpracuje tut. Ośrodek Pomocy Społecznej.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788A">
        <w:rPr>
          <w:rFonts w:asciiTheme="minorHAnsi" w:hAnsiTheme="minorHAnsi" w:cstheme="minorHAnsi"/>
          <w:sz w:val="22"/>
          <w:szCs w:val="22"/>
        </w:rPr>
        <w:t xml:space="preserve">Na bezpłatną pomoc oferowaną rodzinom </w:t>
      </w:r>
      <w:r w:rsidR="00510E45" w:rsidRPr="0087788A">
        <w:rPr>
          <w:rFonts w:asciiTheme="minorHAnsi" w:hAnsiTheme="minorHAnsi" w:cstheme="minorHAnsi"/>
          <w:sz w:val="22"/>
          <w:szCs w:val="22"/>
        </w:rPr>
        <w:t>składają</w:t>
      </w:r>
      <w:r w:rsidRPr="0087788A">
        <w:rPr>
          <w:rFonts w:asciiTheme="minorHAnsi" w:hAnsiTheme="minorHAnsi" w:cstheme="minorHAnsi"/>
          <w:sz w:val="22"/>
          <w:szCs w:val="22"/>
        </w:rPr>
        <w:t xml:space="preserve"> się m.in. szkolenia pierwszej pomocy dla opiekunów, treningi aktywności</w:t>
      </w:r>
      <w:r w:rsidR="00A10689">
        <w:rPr>
          <w:rFonts w:asciiTheme="minorHAnsi" w:hAnsiTheme="minorHAnsi" w:cstheme="minorHAnsi"/>
          <w:sz w:val="22"/>
          <w:szCs w:val="22"/>
        </w:rPr>
        <w:t>, pomoc eksperta ds. wsparcia i </w:t>
      </w:r>
      <w:r w:rsidRPr="0087788A">
        <w:rPr>
          <w:rFonts w:asciiTheme="minorHAnsi" w:hAnsiTheme="minorHAnsi" w:cstheme="minorHAnsi"/>
          <w:sz w:val="22"/>
          <w:szCs w:val="22"/>
        </w:rPr>
        <w:t>– co najważniejsze – zabiegi rehabilitacyjne w miejscu za</w:t>
      </w:r>
      <w:r w:rsidR="00510E45">
        <w:rPr>
          <w:rFonts w:asciiTheme="minorHAnsi" w:hAnsiTheme="minorHAnsi" w:cstheme="minorHAnsi"/>
          <w:sz w:val="22"/>
          <w:szCs w:val="22"/>
        </w:rPr>
        <w:t>mieszkania wykonywane przez wykw</w:t>
      </w:r>
      <w:r w:rsidRPr="0087788A">
        <w:rPr>
          <w:rFonts w:asciiTheme="minorHAnsi" w:hAnsiTheme="minorHAnsi" w:cstheme="minorHAnsi"/>
          <w:sz w:val="22"/>
          <w:szCs w:val="22"/>
        </w:rPr>
        <w:t>alifikowanego rehabilitanta</w:t>
      </w:r>
      <w:r w:rsidRPr="0087788A">
        <w:rPr>
          <w:rFonts w:ascii="Source Sans Pro" w:hAnsi="Source Sans Pro"/>
          <w:color w:val="8B4513"/>
        </w:rPr>
        <w:t>.</w:t>
      </w:r>
    </w:p>
    <w:p w:rsidR="00510E45" w:rsidRPr="00C653FA" w:rsidRDefault="0087788A" w:rsidP="00510E45">
      <w:pPr>
        <w:rPr>
          <w:rFonts w:cstheme="minorHAnsi"/>
          <w:b/>
        </w:rPr>
      </w:pPr>
      <w:r w:rsidRPr="00C653FA">
        <w:rPr>
          <w:rFonts w:cstheme="minorHAnsi"/>
        </w:rPr>
        <w:t>5</w:t>
      </w:r>
      <w:r w:rsidR="00D23C3C" w:rsidRPr="00C653FA">
        <w:rPr>
          <w:rFonts w:cstheme="minorHAnsi"/>
        </w:rPr>
        <w:t xml:space="preserve">. </w:t>
      </w:r>
      <w:r w:rsidR="00B26A63" w:rsidRPr="00C653FA">
        <w:rPr>
          <w:rFonts w:cstheme="minorHAnsi"/>
        </w:rPr>
        <w:t>Dodatkowo pozyskane środki związane z działalnością MGOPS:</w:t>
      </w:r>
      <w:r w:rsidR="00510E45" w:rsidRPr="00C653FA">
        <w:rPr>
          <w:rFonts w:cstheme="minorHAnsi"/>
          <w:b/>
        </w:rPr>
        <w:t xml:space="preserve"> 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988"/>
        <w:gridCol w:w="1275"/>
        <w:gridCol w:w="4820"/>
        <w:gridCol w:w="1984"/>
      </w:tblGrid>
      <w:tr w:rsidR="00510E45" w:rsidRPr="00C653FA" w:rsidTr="00C653FA">
        <w:tc>
          <w:tcPr>
            <w:tcW w:w="988" w:type="dxa"/>
            <w:shd w:val="clear" w:color="auto" w:fill="D9D9D9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  <w:tc>
          <w:tcPr>
            <w:tcW w:w="1275" w:type="dxa"/>
            <w:shd w:val="clear" w:color="auto" w:fill="D9D9D9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WYSOKOŚĆ</w:t>
            </w:r>
          </w:p>
        </w:tc>
        <w:tc>
          <w:tcPr>
            <w:tcW w:w="4820" w:type="dxa"/>
            <w:shd w:val="clear" w:color="auto" w:fill="D9D9D9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PRZEZNACZENIE</w:t>
            </w:r>
          </w:p>
        </w:tc>
        <w:tc>
          <w:tcPr>
            <w:tcW w:w="1984" w:type="dxa"/>
            <w:shd w:val="clear" w:color="auto" w:fill="D9D9D9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DOTUJĄCY</w:t>
            </w:r>
          </w:p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0E45" w:rsidRPr="00C653FA" w:rsidTr="00C653FA">
        <w:trPr>
          <w:trHeight w:val="654"/>
        </w:trPr>
        <w:tc>
          <w:tcPr>
            <w:tcW w:w="988" w:type="dxa"/>
            <w:vMerge w:val="restart"/>
          </w:tcPr>
          <w:p w:rsidR="00510E45" w:rsidRPr="00C653FA" w:rsidRDefault="00510E45" w:rsidP="00D12C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2018 r.</w:t>
            </w:r>
          </w:p>
        </w:tc>
        <w:tc>
          <w:tcPr>
            <w:tcW w:w="1275" w:type="dxa"/>
          </w:tcPr>
          <w:p w:rsidR="00510E45" w:rsidRPr="00C653FA" w:rsidRDefault="00510E45" w:rsidP="00D12C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sz w:val="22"/>
                <w:szCs w:val="22"/>
              </w:rPr>
              <w:t>10.621,75</w:t>
            </w:r>
          </w:p>
        </w:tc>
        <w:tc>
          <w:tcPr>
            <w:tcW w:w="4820" w:type="dxa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sz w:val="22"/>
                <w:szCs w:val="22"/>
              </w:rPr>
              <w:t>Pozyskanie, gotowych produktów żywnościowych dla najbardziej potrzebujących mieszkańców z miasta i gminy Gołańcz</w:t>
            </w:r>
          </w:p>
        </w:tc>
        <w:tc>
          <w:tcPr>
            <w:tcW w:w="1984" w:type="dxa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sz w:val="22"/>
                <w:szCs w:val="22"/>
              </w:rPr>
              <w:t xml:space="preserve">Związek Stowarzyszeń </w:t>
            </w:r>
          </w:p>
          <w:p w:rsidR="00510E45" w:rsidRPr="00C653FA" w:rsidRDefault="00510E45" w:rsidP="00D12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sz w:val="22"/>
                <w:szCs w:val="22"/>
              </w:rPr>
              <w:t>Pilski Bank Żywności w Pile</w:t>
            </w:r>
          </w:p>
        </w:tc>
      </w:tr>
      <w:tr w:rsidR="00510E45" w:rsidRPr="00C653FA" w:rsidTr="00C653FA">
        <w:tc>
          <w:tcPr>
            <w:tcW w:w="988" w:type="dxa"/>
            <w:vMerge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0E45" w:rsidRPr="00C653FA" w:rsidRDefault="00510E45" w:rsidP="00D12C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10.621,75</w:t>
            </w:r>
          </w:p>
        </w:tc>
        <w:tc>
          <w:tcPr>
            <w:tcW w:w="4820" w:type="dxa"/>
          </w:tcPr>
          <w:p w:rsidR="00510E45" w:rsidRPr="00C653FA" w:rsidRDefault="00510E45" w:rsidP="00D12C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     </w:t>
            </w:r>
          </w:p>
        </w:tc>
        <w:tc>
          <w:tcPr>
            <w:tcW w:w="1984" w:type="dxa"/>
          </w:tcPr>
          <w:p w:rsidR="00510E45" w:rsidRPr="00C653FA" w:rsidRDefault="00510E45" w:rsidP="00D12C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FA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</w:tbl>
    <w:p w:rsidR="00F654B1" w:rsidRPr="00C653FA" w:rsidRDefault="00510E45" w:rsidP="00510E45">
      <w:pPr>
        <w:jc w:val="both"/>
        <w:rPr>
          <w:rFonts w:cstheme="minorHAnsi"/>
        </w:rPr>
      </w:pPr>
      <w:r w:rsidRPr="00C653FA">
        <w:rPr>
          <w:rFonts w:cstheme="minorHAnsi"/>
        </w:rPr>
        <w:t xml:space="preserve"> </w:t>
      </w:r>
    </w:p>
    <w:p w:rsidR="00F654B1" w:rsidRPr="00A10689" w:rsidRDefault="00F654B1" w:rsidP="00F654B1">
      <w:pPr>
        <w:spacing w:after="0" w:line="240" w:lineRule="auto"/>
        <w:jc w:val="both"/>
        <w:rPr>
          <w:i/>
          <w:sz w:val="18"/>
          <w:szCs w:val="18"/>
        </w:rPr>
      </w:pPr>
      <w:r w:rsidRPr="00A10689">
        <w:rPr>
          <w:i/>
          <w:sz w:val="18"/>
          <w:szCs w:val="18"/>
        </w:rPr>
        <w:t xml:space="preserve">Sporządził: </w:t>
      </w:r>
    </w:p>
    <w:p w:rsidR="00F654B1" w:rsidRPr="00A10689" w:rsidRDefault="00F654B1" w:rsidP="00F654B1">
      <w:pPr>
        <w:spacing w:after="0" w:line="240" w:lineRule="auto"/>
        <w:jc w:val="both"/>
        <w:rPr>
          <w:i/>
          <w:sz w:val="18"/>
          <w:szCs w:val="18"/>
        </w:rPr>
      </w:pPr>
      <w:r w:rsidRPr="00A10689">
        <w:rPr>
          <w:i/>
          <w:sz w:val="18"/>
          <w:szCs w:val="18"/>
        </w:rPr>
        <w:t xml:space="preserve">Michał </w:t>
      </w:r>
      <w:proofErr w:type="spellStart"/>
      <w:r w:rsidRPr="00A10689">
        <w:rPr>
          <w:i/>
          <w:sz w:val="18"/>
          <w:szCs w:val="18"/>
        </w:rPr>
        <w:t>Gorlaszka</w:t>
      </w:r>
      <w:proofErr w:type="spellEnd"/>
      <w:r w:rsidRPr="00A10689">
        <w:rPr>
          <w:i/>
          <w:sz w:val="18"/>
          <w:szCs w:val="18"/>
        </w:rPr>
        <w:t xml:space="preserve"> – kierownik MGOPS w Gołańczy</w:t>
      </w:r>
    </w:p>
    <w:sectPr w:rsidR="00F654B1" w:rsidRPr="00A10689" w:rsidSect="0028541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94"/>
    <w:multiLevelType w:val="hybridMultilevel"/>
    <w:tmpl w:val="443AB144"/>
    <w:lvl w:ilvl="0" w:tplc="15A4B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053"/>
    <w:multiLevelType w:val="hybridMultilevel"/>
    <w:tmpl w:val="1B9EEBFC"/>
    <w:lvl w:ilvl="0" w:tplc="15A4B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435"/>
    <w:multiLevelType w:val="hybridMultilevel"/>
    <w:tmpl w:val="9C08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45240"/>
    <w:multiLevelType w:val="hybridMultilevel"/>
    <w:tmpl w:val="C0D4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7B47"/>
    <w:multiLevelType w:val="hybridMultilevel"/>
    <w:tmpl w:val="FBD8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65B5"/>
    <w:multiLevelType w:val="hybridMultilevel"/>
    <w:tmpl w:val="C2889404"/>
    <w:lvl w:ilvl="0" w:tplc="09AC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8"/>
    <w:rsid w:val="00042161"/>
    <w:rsid w:val="00052D00"/>
    <w:rsid w:val="00074B5A"/>
    <w:rsid w:val="00126C8A"/>
    <w:rsid w:val="00181090"/>
    <w:rsid w:val="001C64B2"/>
    <w:rsid w:val="001D6996"/>
    <w:rsid w:val="001E184F"/>
    <w:rsid w:val="00235B80"/>
    <w:rsid w:val="00277372"/>
    <w:rsid w:val="00285419"/>
    <w:rsid w:val="00286C7C"/>
    <w:rsid w:val="00290BEC"/>
    <w:rsid w:val="002F3FF1"/>
    <w:rsid w:val="00385189"/>
    <w:rsid w:val="003D1601"/>
    <w:rsid w:val="004037ED"/>
    <w:rsid w:val="004623A8"/>
    <w:rsid w:val="00476433"/>
    <w:rsid w:val="00481DC5"/>
    <w:rsid w:val="00510E45"/>
    <w:rsid w:val="005114AB"/>
    <w:rsid w:val="005814DB"/>
    <w:rsid w:val="00592C51"/>
    <w:rsid w:val="006527C1"/>
    <w:rsid w:val="00661F38"/>
    <w:rsid w:val="006B068D"/>
    <w:rsid w:val="006E0E9A"/>
    <w:rsid w:val="00702318"/>
    <w:rsid w:val="007E1EBF"/>
    <w:rsid w:val="00820C2A"/>
    <w:rsid w:val="00855F4B"/>
    <w:rsid w:val="0087788A"/>
    <w:rsid w:val="008D4A11"/>
    <w:rsid w:val="008D5B52"/>
    <w:rsid w:val="008F1D60"/>
    <w:rsid w:val="009202E8"/>
    <w:rsid w:val="0094276E"/>
    <w:rsid w:val="009A2889"/>
    <w:rsid w:val="009F5486"/>
    <w:rsid w:val="00A10689"/>
    <w:rsid w:val="00A52700"/>
    <w:rsid w:val="00A93556"/>
    <w:rsid w:val="00A93580"/>
    <w:rsid w:val="00A966F7"/>
    <w:rsid w:val="00B12BA3"/>
    <w:rsid w:val="00B26A63"/>
    <w:rsid w:val="00B426B7"/>
    <w:rsid w:val="00B91704"/>
    <w:rsid w:val="00BC41B6"/>
    <w:rsid w:val="00C6513A"/>
    <w:rsid w:val="00C653FA"/>
    <w:rsid w:val="00CC3355"/>
    <w:rsid w:val="00D23C3C"/>
    <w:rsid w:val="00D35704"/>
    <w:rsid w:val="00DB25E8"/>
    <w:rsid w:val="00E01A67"/>
    <w:rsid w:val="00E04841"/>
    <w:rsid w:val="00E31F1D"/>
    <w:rsid w:val="00E37185"/>
    <w:rsid w:val="00EA6B13"/>
    <w:rsid w:val="00F007EC"/>
    <w:rsid w:val="00F42CA1"/>
    <w:rsid w:val="00F654B1"/>
    <w:rsid w:val="00F97B41"/>
    <w:rsid w:val="00FB5AAB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E0AA-3842-44AA-8F04-A3F5318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5486"/>
  </w:style>
  <w:style w:type="character" w:styleId="Pogrubienie">
    <w:name w:val="Strong"/>
    <w:basedOn w:val="Domylnaczcionkaakapitu"/>
    <w:uiPriority w:val="22"/>
    <w:qFormat/>
    <w:rsid w:val="009F5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1EBF"/>
    <w:rPr>
      <w:color w:val="0563C1" w:themeColor="hyperlink"/>
      <w:u w:val="single"/>
    </w:rPr>
  </w:style>
  <w:style w:type="table" w:styleId="Tabela-Siatka">
    <w:name w:val="Table Grid"/>
    <w:basedOn w:val="Standardowy"/>
    <w:rsid w:val="00B2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B997-221A-449E-B1CD-A3299CE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3</cp:revision>
  <dcterms:created xsi:type="dcterms:W3CDTF">2018-10-08T09:02:00Z</dcterms:created>
  <dcterms:modified xsi:type="dcterms:W3CDTF">2018-10-08T09:25:00Z</dcterms:modified>
</cp:coreProperties>
</file>