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XXXIV/361/17</w:t>
      </w:r>
      <w:r>
        <w:rPr>
          <w:b/>
          <w:caps/>
        </w:rPr>
        <w:br/>
      </w:r>
      <w:r>
        <w:rPr>
          <w:b/>
          <w:caps/>
        </w:rPr>
        <w:t>Rady Miasta i Gminy Gołańcz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szczegółowych zasad ponoszenia odpłatności za pobyt w ośrodkach wsparcia udzielających schronienia osobom bezdomnym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2232) oraz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97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1769,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1985) Rada Miasta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Ustala się szczegółowe zasady ponoszenia odpłatności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ośrodkach wsparcia, które udzielają schronienia osobom bezdomnym, dla których właściwa miejscowo jest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Gmina Gołańcz.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udzielenia schronienia poprzez przyznanie tymczasowego miejsca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ośrodku wsparcia przysługuje: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nieodpłatnie – osobom bezdomnym, których dochód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przekracza kwoty obowiązującego kryterium dochodowego;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odpłatnie – osobom bezdomnym, których dochód przekracza kwoty obowiązującego kryterium dochodowego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zasadami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26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procentowy stosunek dochodu osoby samotnie gospodarującej lub na osobę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 xml:space="preserve">rodzinie 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do kryterium dochodowego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odpłatność określona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stosunku procentowym kwoty pełnego kosztu pobytu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ośrodku wsparcia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powyżej 100% do 200%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60%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powyżej 200% do 250%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80%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powyżej 250%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8"/>
                <w:u w:val="none"/>
                <w:vertAlign w:val="baseline"/>
              </w:rPr>
              <w:t>100%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Ustalanie odpłatności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ośrodku wsparcia następuje według poniższych zasad: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odpłatność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ośrodku wsparcia ustala się na dany miesiąc kalendarzowy, mnożąc stawkę dziennego kosztu pobytu jednej osoby przez ilość dni faktycznego pobytu oraz ilość osób;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odpłatność za pobyt wnoszona przez osobę lub rodzinę skierowaną do ośrodka wsparcia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może być wyższa od dochodu tej osoby lub rodziny, jak również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może przekroczyć kwoty miesięcznego kosztu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danym ośrodku;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braku współpracy osoby lub rodziny kierowanej do ośrodka wsparcia poprzez niedostarczenie pracownikowi socjalnemu dokumentów niezbędnych do ustalenia wysokości odpłatności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ośrodku, odpłatność może zostać ustalona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pełnego kosztu pobytu.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następujące warunki zwolnienia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ponoszenia odpłatności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ośrodku wsparcia: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wniosek osoby lub rodziny kierowanej do ośrodka wsparcia bądź na wniosek pracownika socjalnego, kierownik MGOPS może zwolnić częściowo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całości osobę lub rodzinę korzystającą ze wsparcia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ośrodku wsparcia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opłaty za pobyt;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opłaty za pobyt może nastąpić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szczególnie uzasadnionych przypadkach,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udokumentowanie konieczności ponoszenia kosztów zakupu lekarstw, specjalistycznych badań lekarskich, stosowania specjalistycznej, kosztownej diety, zakupu sprzętu rehabilitacyjnego oraz poniesienia znacznych strat materialnych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wyniku zdarzenia losowego;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może przekroczyć kwoty równej wartości trzymiesięcznego pełnego kosztu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ośrodku wsparcia.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Dobowy koszt utrzymania osoby oraz zasady regulowania odpłatności ustalane są na podstawie porozumienia zawartego pomiędzy kierownikiem MGOPS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kierownikiem ośrodka wsparcia, na terenie którego przebywa skierowana przez MGOPS osoba.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Opłaty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ośrodku wsparcia wnoszone są na rachunek bankowy MGOPS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Gołańczy,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skierowaniu do ośrodka wsparcia.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ośrodku wsparcia dokonywana jest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dołu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 dochód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Wiceprzewodniczący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Andrzej Hajduk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Niniejsza uchwała określa szczegółowe zasady ponoszenia odpłatności za pobyt w ośrodkach wsparcia i mieszkaniach chronionych udzielających schronienia osobom tego pozbawionym, w tym osobom bezdomnym, które ostatnie stałe miejsce zameldowania posiadały na terenie Miasta i Gminy Gołańcz. Do zadań własnym gminy o charakterze obowiązkowych zgodnie z art. 17 ust. 1 pkt 3 ustawy o pomocy społecznej należy udzielanie schronienia osobom tego pozbawionym, które zgodnie z art. 48a, ust 1 w/w ustawy następuje przez przyznanie tymczasowego miejsca noclegowego w noclegowniach, schroniskach oraz innych miejscach do tego przeznaczonych. W związku z tym istnieje potrzeba uregulowania kwestii ponoszenia odpłatności za pobyt w ośrodkach wsparcia dla osób bezdomnych i pozbawionych schronienia we wszystkich placówkach zapewniających to schronienie. Podstawą do niniejszego projektu uchwały jest zapis art. 97 ust. 5 ustawy z dnia 12 marca 2004r. o pomocy społecznej, który mówi, że rada gminy w drodze uchwały ustala w zakresie zadań własnych szczegółowe zasady ponoszenia odpłatności za pobyt w ośrodkach wsparcia i mieszkaniach chronionych.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powyższe, podjęcie niniejszej uchwały jest w pełni uzasadnione.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I Wiceprzewodniczący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Andrzej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Hajduk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45833478-0641-4C78-9F3B-DCB4C2E00113.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45833478-0641-4C78-9F3B-DCB4C2E00113.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XXXIV/361/17 z dnia 28 grudnia 2017 r.</dc:title>
  <dc:subject>w sprawie ustalenia szczegółowych zasad ponoszenia odpłatności za pobyt w^ośrodkach wsparcia udzielających schronienia osobom bezdomnym</dc:subject>
  <dc:creator>Alina Wachowiak</dc:creator>
  <cp:lastModifiedBy>Alina Wachowiak</cp:lastModifiedBy>
  <cp:revision>1</cp:revision>
  <dcterms:created xsi:type="dcterms:W3CDTF">2017-12-29T10:52:27Z</dcterms:created>
  <dcterms:modified xsi:type="dcterms:W3CDTF">2017-12-29T10:52:27Z</dcterms:modified>
  <cp:category>Akt prawny</cp:category>
</cp:coreProperties>
</file>