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BA" w:rsidRDefault="00CF71DB">
      <w:pPr>
        <w:pStyle w:val="right"/>
      </w:pPr>
      <w:r>
        <w:t>Gołańcz, dnia 22.</w:t>
      </w:r>
      <w:r w:rsidR="004E2A41">
        <w:t>11.2016 roku</w:t>
      </w:r>
    </w:p>
    <w:p w:rsidR="002674BA" w:rsidRDefault="002674BA">
      <w:pPr>
        <w:pStyle w:val="p"/>
      </w:pPr>
    </w:p>
    <w:p w:rsidR="002674BA" w:rsidRDefault="004E2A41">
      <w:pPr>
        <w:pStyle w:val="p"/>
      </w:pPr>
      <w:r>
        <w:rPr>
          <w:rStyle w:val="bold"/>
        </w:rPr>
        <w:t>Miasto i Gmina Gołańcz</w:t>
      </w:r>
    </w:p>
    <w:p w:rsidR="002674BA" w:rsidRDefault="002674BA">
      <w:pPr>
        <w:pStyle w:val="p"/>
      </w:pPr>
    </w:p>
    <w:p w:rsidR="002674BA" w:rsidRDefault="004E2A41">
      <w:pPr>
        <w:pStyle w:val="p"/>
      </w:pPr>
      <w:r>
        <w:rPr>
          <w:rStyle w:val="bold"/>
        </w:rPr>
        <w:t>Znak sprawy: FIN 271.3.2016.EK</w:t>
      </w:r>
    </w:p>
    <w:p w:rsidR="002674BA" w:rsidRDefault="002674BA">
      <w:pPr>
        <w:pStyle w:val="p"/>
      </w:pPr>
    </w:p>
    <w:p w:rsidR="002674BA" w:rsidRDefault="004E2A41">
      <w:pPr>
        <w:pStyle w:val="center"/>
      </w:pPr>
      <w:r>
        <w:rPr>
          <w:rStyle w:val="bold"/>
        </w:rPr>
        <w:t>ZAPYTANIE OFERTOWE</w:t>
      </w:r>
    </w:p>
    <w:p w:rsidR="002674BA" w:rsidRDefault="004E2A41">
      <w:pPr>
        <w:pStyle w:val="center"/>
      </w:pPr>
      <w:r>
        <w:t>(dotyczy zamówień o wartości nieprzekraczającej wyrażonej w złotych równowartości 30 tyś Euro)</w:t>
      </w:r>
    </w:p>
    <w:p w:rsidR="002674BA" w:rsidRDefault="002674BA">
      <w:pPr>
        <w:pStyle w:val="p"/>
      </w:pPr>
    </w:p>
    <w:p w:rsidR="002674BA" w:rsidRDefault="004E2A41">
      <w:pPr>
        <w:pStyle w:val="center"/>
        <w:rPr>
          <w:rStyle w:val="bold"/>
        </w:rPr>
      </w:pPr>
      <w:r>
        <w:rPr>
          <w:rStyle w:val="bold"/>
        </w:rPr>
        <w:t>Kredyt związany z deficytem budżetu</w:t>
      </w:r>
    </w:p>
    <w:p w:rsidR="000A1D5D" w:rsidRDefault="000A1D5D">
      <w:pPr>
        <w:pStyle w:val="center"/>
        <w:rPr>
          <w:rStyle w:val="bold"/>
        </w:rPr>
      </w:pPr>
    </w:p>
    <w:p w:rsidR="000A1D5D" w:rsidRDefault="000A1D5D">
      <w:pPr>
        <w:pStyle w:val="center"/>
        <w:rPr>
          <w:rStyle w:val="bold"/>
        </w:rPr>
      </w:pPr>
    </w:p>
    <w:p w:rsidR="000A1D5D" w:rsidRDefault="00691A3E">
      <w:pPr>
        <w:pStyle w:val="center"/>
      </w:pPr>
      <w:r w:rsidRPr="00D14DF8">
        <w:rPr>
          <w:rFonts w:ascii="Calibri" w:hAnsi="Calibri" w:cs="Arial"/>
          <w:noProof/>
          <w:color w:val="000000"/>
          <w:sz w:val="18"/>
          <w:szCs w:val="18"/>
        </w:rPr>
        <w:drawing>
          <wp:inline distT="0" distB="0" distL="0" distR="0">
            <wp:extent cx="828675" cy="1104900"/>
            <wp:effectExtent l="0" t="0" r="9525" b="0"/>
            <wp:docPr id="1" name="Obraz 1" descr="Herb-Gołań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Gołańc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p w:rsidR="002674BA" w:rsidRDefault="002674BA">
      <w:pPr>
        <w:pStyle w:val="p"/>
      </w:pPr>
    </w:p>
    <w:p w:rsidR="002674BA" w:rsidRDefault="002674BA">
      <w:pPr>
        <w:pStyle w:val="p"/>
      </w:pPr>
    </w:p>
    <w:p w:rsidR="000A1D5D" w:rsidRDefault="000A1D5D"/>
    <w:p w:rsidR="000A1D5D" w:rsidRPr="000A1D5D" w:rsidRDefault="000A1D5D" w:rsidP="000A1D5D"/>
    <w:p w:rsidR="000A1D5D" w:rsidRDefault="000A1D5D"/>
    <w:p w:rsidR="000A1D5D" w:rsidRDefault="000A1D5D" w:rsidP="000A1D5D">
      <w:pPr>
        <w:tabs>
          <w:tab w:val="left" w:pos="4065"/>
        </w:tabs>
      </w:pPr>
      <w:r>
        <w:tab/>
      </w:r>
    </w:p>
    <w:p w:rsidR="000A1D5D" w:rsidRDefault="000A1D5D" w:rsidP="000A1D5D">
      <w:pPr>
        <w:tabs>
          <w:tab w:val="left" w:pos="4065"/>
        </w:tabs>
      </w:pPr>
    </w:p>
    <w:p w:rsidR="000A1D5D" w:rsidRDefault="000A1D5D" w:rsidP="000A1D5D">
      <w:pPr>
        <w:tabs>
          <w:tab w:val="left" w:pos="4065"/>
        </w:tabs>
      </w:pPr>
    </w:p>
    <w:p w:rsidR="000A1D5D" w:rsidRDefault="000A1D5D" w:rsidP="000A1D5D">
      <w:pPr>
        <w:tabs>
          <w:tab w:val="left" w:pos="4065"/>
        </w:tabs>
      </w:pPr>
    </w:p>
    <w:p w:rsidR="000A1D5D" w:rsidRDefault="000A1D5D" w:rsidP="000A1D5D">
      <w:pPr>
        <w:tabs>
          <w:tab w:val="left" w:pos="4065"/>
        </w:tabs>
        <w:rPr>
          <w:sz w:val="20"/>
        </w:rPr>
      </w:pPr>
    </w:p>
    <w:p w:rsidR="00691A3E" w:rsidRDefault="00691A3E" w:rsidP="000A1D5D">
      <w:pPr>
        <w:tabs>
          <w:tab w:val="left" w:pos="4065"/>
        </w:tabs>
        <w:rPr>
          <w:sz w:val="20"/>
        </w:rPr>
      </w:pPr>
    </w:p>
    <w:p w:rsidR="00691A3E" w:rsidRDefault="00691A3E" w:rsidP="000A1D5D">
      <w:pPr>
        <w:tabs>
          <w:tab w:val="left" w:pos="4065"/>
        </w:tabs>
        <w:rPr>
          <w:sz w:val="20"/>
        </w:rPr>
      </w:pPr>
    </w:p>
    <w:p w:rsidR="00691A3E" w:rsidRDefault="00691A3E" w:rsidP="000A1D5D">
      <w:pPr>
        <w:tabs>
          <w:tab w:val="left" w:pos="4065"/>
        </w:tabs>
        <w:rPr>
          <w:sz w:val="20"/>
        </w:rPr>
      </w:pPr>
    </w:p>
    <w:p w:rsidR="00691A3E" w:rsidRPr="00691A3E" w:rsidRDefault="00691A3E" w:rsidP="000A1D5D">
      <w:pPr>
        <w:tabs>
          <w:tab w:val="left" w:pos="4065"/>
        </w:tabs>
        <w:rPr>
          <w:sz w:val="20"/>
        </w:rPr>
      </w:pPr>
    </w:p>
    <w:p w:rsidR="000A1D5D" w:rsidRPr="00691A3E" w:rsidRDefault="000A1D5D" w:rsidP="000A1D5D">
      <w:pPr>
        <w:pStyle w:val="pkt"/>
        <w:spacing w:before="0" w:after="0" w:line="240" w:lineRule="auto"/>
        <w:ind w:left="0" w:firstLine="0"/>
        <w:jc w:val="center"/>
        <w:rPr>
          <w:rFonts w:ascii="Verdana" w:hAnsi="Verdana"/>
          <w:b/>
          <w:iCs/>
          <w:sz w:val="18"/>
          <w:szCs w:val="20"/>
        </w:rPr>
      </w:pPr>
      <w:r w:rsidRPr="00691A3E">
        <w:rPr>
          <w:rFonts w:ascii="Verdana" w:hAnsi="Verdana"/>
          <w:b/>
          <w:iCs/>
          <w:sz w:val="18"/>
          <w:szCs w:val="20"/>
        </w:rPr>
        <w:t>ZATWIERDZAM:</w:t>
      </w:r>
    </w:p>
    <w:p w:rsidR="000A1D5D" w:rsidRPr="00691A3E" w:rsidRDefault="000A1D5D" w:rsidP="000A1D5D">
      <w:pPr>
        <w:pStyle w:val="pkt"/>
        <w:spacing w:before="0" w:after="0" w:line="240" w:lineRule="auto"/>
        <w:ind w:left="0" w:firstLine="0"/>
        <w:jc w:val="center"/>
        <w:rPr>
          <w:rFonts w:ascii="Verdana" w:hAnsi="Verdana"/>
          <w:iCs/>
          <w:sz w:val="18"/>
          <w:szCs w:val="20"/>
        </w:rPr>
      </w:pPr>
      <w:r w:rsidRPr="00691A3E">
        <w:rPr>
          <w:rFonts w:ascii="Verdana" w:hAnsi="Verdana"/>
          <w:iCs/>
          <w:sz w:val="18"/>
          <w:szCs w:val="20"/>
        </w:rPr>
        <w:t>/-/ BURMISTRZ MIASTA I GMINY GOŁAŃCZ</w:t>
      </w:r>
    </w:p>
    <w:p w:rsidR="000A1D5D" w:rsidRPr="00691A3E" w:rsidRDefault="000A1D5D" w:rsidP="000A1D5D">
      <w:pPr>
        <w:pStyle w:val="pkt"/>
        <w:spacing w:before="0" w:after="0" w:line="240" w:lineRule="auto"/>
        <w:ind w:left="0" w:firstLine="0"/>
        <w:jc w:val="center"/>
        <w:rPr>
          <w:rFonts w:ascii="Verdana" w:hAnsi="Verdana"/>
          <w:iCs/>
          <w:sz w:val="18"/>
          <w:szCs w:val="20"/>
        </w:rPr>
      </w:pPr>
      <w:r w:rsidRPr="00691A3E">
        <w:rPr>
          <w:rFonts w:ascii="Verdana" w:hAnsi="Verdana"/>
          <w:iCs/>
          <w:sz w:val="18"/>
          <w:szCs w:val="20"/>
        </w:rPr>
        <w:t>mgr inż. Mieczysław DURSKI</w:t>
      </w:r>
    </w:p>
    <w:p w:rsidR="000A1D5D" w:rsidRPr="00691A3E" w:rsidRDefault="000A1D5D" w:rsidP="000A1D5D">
      <w:pPr>
        <w:pStyle w:val="pkt"/>
        <w:spacing w:before="0" w:after="0" w:line="240" w:lineRule="auto"/>
        <w:ind w:left="0" w:firstLine="0"/>
        <w:jc w:val="center"/>
        <w:rPr>
          <w:rFonts w:ascii="Verdana" w:hAnsi="Verdana"/>
          <w:iCs/>
          <w:sz w:val="18"/>
          <w:szCs w:val="20"/>
        </w:rPr>
      </w:pPr>
    </w:p>
    <w:p w:rsidR="000A1D5D" w:rsidRPr="00691A3E" w:rsidRDefault="000A1D5D" w:rsidP="000A1D5D">
      <w:pPr>
        <w:pStyle w:val="pkt"/>
        <w:spacing w:before="0" w:after="0" w:line="240" w:lineRule="auto"/>
        <w:ind w:left="0" w:firstLine="0"/>
        <w:jc w:val="center"/>
        <w:rPr>
          <w:rFonts w:ascii="Verdana" w:hAnsi="Verdana"/>
          <w:iCs/>
          <w:sz w:val="18"/>
          <w:szCs w:val="20"/>
        </w:rPr>
      </w:pPr>
    </w:p>
    <w:p w:rsidR="000A1D5D" w:rsidRPr="00691A3E" w:rsidRDefault="00CF71DB" w:rsidP="000A1D5D">
      <w:pPr>
        <w:pStyle w:val="Nagwek9"/>
        <w:jc w:val="center"/>
        <w:rPr>
          <w:rFonts w:ascii="Verdana" w:hAnsi="Verdana"/>
          <w:i w:val="0"/>
          <w:sz w:val="18"/>
        </w:rPr>
      </w:pPr>
      <w:r>
        <w:rPr>
          <w:rFonts w:ascii="Verdana" w:hAnsi="Verdana"/>
          <w:i w:val="0"/>
          <w:sz w:val="18"/>
        </w:rPr>
        <w:t>Gołańcz, dnia 2016-11-22</w:t>
      </w:r>
    </w:p>
    <w:p w:rsidR="000A1D5D" w:rsidRDefault="000A1D5D" w:rsidP="000A1D5D">
      <w:pPr>
        <w:tabs>
          <w:tab w:val="left" w:pos="4065"/>
        </w:tabs>
      </w:pPr>
    </w:p>
    <w:p w:rsidR="002674BA" w:rsidRDefault="004E2A41" w:rsidP="000A1D5D">
      <w:r w:rsidRPr="000A1D5D">
        <w:br w:type="page"/>
      </w:r>
      <w:r>
        <w:rPr>
          <w:rStyle w:val="bold"/>
        </w:rPr>
        <w:lastRenderedPageBreak/>
        <w:t>1. ZAMAWIAJĄCY</w:t>
      </w:r>
    </w:p>
    <w:p w:rsidR="002674BA" w:rsidRDefault="004E2A41">
      <w:pPr>
        <w:pStyle w:val="p"/>
      </w:pPr>
      <w:r>
        <w:t>Miasto i Gmina Gołańcz</w:t>
      </w:r>
    </w:p>
    <w:p w:rsidR="002674BA" w:rsidRDefault="004E2A41">
      <w:pPr>
        <w:pStyle w:val="p"/>
      </w:pPr>
      <w:r>
        <w:t>Doktora Piotra Kowalika 2</w:t>
      </w:r>
    </w:p>
    <w:p w:rsidR="002674BA" w:rsidRDefault="004E2A41">
      <w:pPr>
        <w:pStyle w:val="p"/>
      </w:pPr>
      <w:r>
        <w:t>62-130 Gołańcz</w:t>
      </w:r>
    </w:p>
    <w:p w:rsidR="002674BA" w:rsidRDefault="004E2A41">
      <w:pPr>
        <w:pStyle w:val="p"/>
      </w:pPr>
      <w:r>
        <w:t>www.golancz.pl</w:t>
      </w:r>
    </w:p>
    <w:p w:rsidR="002674BA" w:rsidRDefault="004E2A41">
      <w:pPr>
        <w:pStyle w:val="p"/>
      </w:pPr>
      <w:r>
        <w:t>Fax: 672683312</w:t>
      </w:r>
    </w:p>
    <w:p w:rsidR="002674BA" w:rsidRDefault="002674BA">
      <w:pPr>
        <w:pStyle w:val="p"/>
      </w:pPr>
    </w:p>
    <w:p w:rsidR="002674BA" w:rsidRDefault="004E2A41">
      <w:pPr>
        <w:pStyle w:val="p"/>
      </w:pPr>
      <w:r>
        <w:rPr>
          <w:rStyle w:val="bold"/>
        </w:rPr>
        <w:t>2. OPIS PRZEDMIOTU ZAMÓWIENIA</w:t>
      </w:r>
    </w:p>
    <w:p w:rsidR="002674BA" w:rsidRDefault="002674BA">
      <w:pPr>
        <w:pStyle w:val="p"/>
      </w:pPr>
    </w:p>
    <w:p w:rsidR="002674BA" w:rsidRDefault="004E2A41">
      <w:pPr>
        <w:pStyle w:val="justify"/>
      </w:pPr>
      <w:r>
        <w:t>Rodzaj zamówienia: Usługi</w:t>
      </w:r>
    </w:p>
    <w:p w:rsidR="002674BA" w:rsidRDefault="002674BA">
      <w:pPr>
        <w:pStyle w:val="p"/>
      </w:pPr>
    </w:p>
    <w:p w:rsidR="002674BA" w:rsidRDefault="004E2A41">
      <w:pPr>
        <w:pStyle w:val="justify"/>
      </w:pPr>
      <w:r>
        <w:t>Przedmiotem zamówienia jest udzielenie i obsługa kredytu o następujących parametrach:</w:t>
      </w:r>
    </w:p>
    <w:p w:rsidR="002674BA" w:rsidRDefault="004E2A41">
      <w:pPr>
        <w:pStyle w:val="justify"/>
      </w:pPr>
      <w:r>
        <w:t>CPV 66130000-5</w:t>
      </w:r>
    </w:p>
    <w:p w:rsidR="002674BA" w:rsidRDefault="002674BA">
      <w:pPr>
        <w:pStyle w:val="p"/>
      </w:pPr>
    </w:p>
    <w:p w:rsidR="002674BA" w:rsidRDefault="004E2A41">
      <w:pPr>
        <w:pStyle w:val="justify"/>
      </w:pPr>
      <w:r>
        <w:t>Charakterystyka kredytu:</w:t>
      </w:r>
    </w:p>
    <w:p w:rsidR="002674BA" w:rsidRDefault="002674BA">
      <w:pPr>
        <w:pStyle w:val="p"/>
      </w:pPr>
    </w:p>
    <w:p w:rsidR="002674BA" w:rsidRDefault="004E2A41" w:rsidP="000A1D5D">
      <w:pPr>
        <w:pStyle w:val="justify"/>
        <w:numPr>
          <w:ilvl w:val="0"/>
          <w:numId w:val="33"/>
        </w:numPr>
      </w:pPr>
      <w:r>
        <w:t>Kredyt w wysokości 500.000 zł  „związany z deficytem budżetu”.</w:t>
      </w:r>
    </w:p>
    <w:p w:rsidR="002674BA" w:rsidRDefault="004E2A41" w:rsidP="000A1D5D">
      <w:pPr>
        <w:pStyle w:val="justify"/>
        <w:numPr>
          <w:ilvl w:val="0"/>
          <w:numId w:val="33"/>
        </w:numPr>
      </w:pPr>
      <w:r>
        <w:t>Zabezpieczenie weksel in blanco</w:t>
      </w:r>
    </w:p>
    <w:p w:rsidR="002674BA" w:rsidRDefault="004E2A41" w:rsidP="000A1D5D">
      <w:pPr>
        <w:pStyle w:val="justify"/>
        <w:numPr>
          <w:ilvl w:val="0"/>
          <w:numId w:val="33"/>
        </w:numPr>
      </w:pPr>
      <w:r>
        <w:t>Karencja do 30.05.2017 r.</w:t>
      </w:r>
    </w:p>
    <w:p w:rsidR="000A1D5D" w:rsidRDefault="004E2A41" w:rsidP="000A1D5D">
      <w:pPr>
        <w:pStyle w:val="justify"/>
        <w:numPr>
          <w:ilvl w:val="0"/>
          <w:numId w:val="33"/>
        </w:numPr>
      </w:pPr>
      <w:r>
        <w:t>Uruchomienie kredytu poprzez przelew na konto główne budżetu po uprzed</w:t>
      </w:r>
      <w:r w:rsidR="000A1D5D">
        <w:t>nim poinformowaniu przez gminę.</w:t>
      </w:r>
    </w:p>
    <w:p w:rsidR="00CF71DB" w:rsidRDefault="004E2A41" w:rsidP="00CF71DB">
      <w:pPr>
        <w:pStyle w:val="justify"/>
        <w:numPr>
          <w:ilvl w:val="0"/>
          <w:numId w:val="33"/>
        </w:numPr>
      </w:pPr>
      <w:r>
        <w:t xml:space="preserve">Możliwość wykorzystania </w:t>
      </w:r>
      <w:r w:rsidR="00CF71DB">
        <w:t>kredytu do dnia 31.12.2016 r.</w:t>
      </w:r>
      <w:r w:rsidR="00CF71DB" w:rsidRPr="00CF71DB">
        <w:t xml:space="preserve"> </w:t>
      </w:r>
      <w:r w:rsidR="00CF71DB">
        <w:t xml:space="preserve">Po upływie </w:t>
      </w:r>
      <w:r w:rsidR="00542197">
        <w:t xml:space="preserve"> powyższego terminu Zamawiający nie będzie mógł wykorzystać kredytu i nie poniesie z tego tytułu żadnych kosztów. </w:t>
      </w:r>
      <w:r w:rsidR="00CF71DB">
        <w:t>Możliwość wykorzystania</w:t>
      </w:r>
      <w:r w:rsidR="00542197">
        <w:t xml:space="preserve"> kredytu</w:t>
      </w:r>
      <w:r w:rsidR="00CF71DB">
        <w:t xml:space="preserve"> w transzach.</w:t>
      </w:r>
    </w:p>
    <w:p w:rsidR="000A1D5D" w:rsidRDefault="004E2A41" w:rsidP="000A1D5D">
      <w:pPr>
        <w:pStyle w:val="justify"/>
        <w:numPr>
          <w:ilvl w:val="0"/>
          <w:numId w:val="33"/>
        </w:numPr>
      </w:pPr>
      <w:r>
        <w:t xml:space="preserve"> </w:t>
      </w:r>
      <w:r w:rsidR="003D4394">
        <w:t>M</w:t>
      </w:r>
      <w:r>
        <w:t>ożliwość wykorzystania mniejszej kwoty kredytu.</w:t>
      </w:r>
    </w:p>
    <w:p w:rsidR="002674BA" w:rsidRDefault="004E2A41" w:rsidP="000A1D5D">
      <w:pPr>
        <w:pStyle w:val="justify"/>
        <w:numPr>
          <w:ilvl w:val="0"/>
          <w:numId w:val="33"/>
        </w:numPr>
      </w:pPr>
      <w:r>
        <w:t xml:space="preserve"> Brak rozliczania kredytu.</w:t>
      </w:r>
    </w:p>
    <w:p w:rsidR="000A1D5D" w:rsidRDefault="004E2A41" w:rsidP="000A1D5D">
      <w:pPr>
        <w:pStyle w:val="justify"/>
        <w:numPr>
          <w:ilvl w:val="0"/>
          <w:numId w:val="33"/>
        </w:numPr>
      </w:pPr>
      <w:r>
        <w:t>Termin postawienia kredytu do dyspozycji  automatycznie po podpisaniu umowy kredytowej.</w:t>
      </w:r>
    </w:p>
    <w:p w:rsidR="002674BA" w:rsidRDefault="004E2A41" w:rsidP="000A1D5D">
      <w:pPr>
        <w:pStyle w:val="justify"/>
        <w:numPr>
          <w:ilvl w:val="0"/>
          <w:numId w:val="33"/>
        </w:numPr>
      </w:pPr>
      <w:r>
        <w:t xml:space="preserve"> Odsetki płacone od wykorzystanego kredytu.</w:t>
      </w:r>
    </w:p>
    <w:p w:rsidR="002674BA" w:rsidRDefault="001806D7" w:rsidP="000A1D5D">
      <w:pPr>
        <w:pStyle w:val="justify"/>
        <w:numPr>
          <w:ilvl w:val="0"/>
          <w:numId w:val="33"/>
        </w:numPr>
      </w:pPr>
      <w:r>
        <w:t>Wcześniejsza</w:t>
      </w:r>
      <w:r w:rsidR="004E2A41">
        <w:t xml:space="preserve"> spłat</w:t>
      </w:r>
      <w:r>
        <w:t>a</w:t>
      </w:r>
      <w:r w:rsidR="004E2A41">
        <w:t xml:space="preserve"> bez informowania banku o dokonaniu spłaty. Wcześniejsza spłata bez opłat i prowizji ze strony banku. Wszelkiego rodzaju aneksy do umowy kredytowej bez opłat. Informowanie na piśmie o wysokości odsetek przypadających w danym miesiącu do spłaty.</w:t>
      </w:r>
    </w:p>
    <w:p w:rsidR="002674BA" w:rsidRDefault="004E2A41" w:rsidP="000A1D5D">
      <w:pPr>
        <w:pStyle w:val="justify"/>
        <w:numPr>
          <w:ilvl w:val="0"/>
          <w:numId w:val="33"/>
        </w:numPr>
      </w:pPr>
      <w:r>
        <w:t xml:space="preserve">Odsetki płacone miesięcznie. </w:t>
      </w:r>
      <w:r w:rsidR="001806D7">
        <w:t>J</w:t>
      </w:r>
      <w:r>
        <w:t xml:space="preserve">eżeli spłata przypada w </w:t>
      </w:r>
      <w:r w:rsidR="00A424A6">
        <w:rPr>
          <w:rFonts w:ascii="Calibri" w:eastAsia="SimSun" w:hAnsi="Calibri" w:cs="Arial"/>
          <w:color w:val="000000"/>
        </w:rPr>
        <w:t>dzień świąteczny, niedzielę,</w:t>
      </w:r>
      <w:r w:rsidR="00A424A6" w:rsidRPr="00265EF8">
        <w:rPr>
          <w:rFonts w:ascii="Calibri" w:eastAsia="SimSun" w:hAnsi="Calibri" w:cs="Arial"/>
          <w:color w:val="000000"/>
        </w:rPr>
        <w:t xml:space="preserve"> </w:t>
      </w:r>
      <w:r>
        <w:t>dzień wolny od pracy to płatność kredytu przypada w następujący po tym  dniu pierwszy dzień roboczy.</w:t>
      </w:r>
    </w:p>
    <w:p w:rsidR="000A1D5D" w:rsidRDefault="004E2A41" w:rsidP="000A1D5D">
      <w:pPr>
        <w:pStyle w:val="justify"/>
        <w:numPr>
          <w:ilvl w:val="0"/>
          <w:numId w:val="33"/>
        </w:numPr>
      </w:pPr>
      <w:r>
        <w:t xml:space="preserve">Kredyt w oparciu o </w:t>
      </w:r>
      <w:proofErr w:type="spellStart"/>
      <w:r>
        <w:t>wibor</w:t>
      </w:r>
      <w:proofErr w:type="spellEnd"/>
      <w:r>
        <w:t xml:space="preserve"> 1M + marża ……………… Do wyliczenia ceny kredytu przyjąć </w:t>
      </w:r>
      <w:proofErr w:type="spellStart"/>
      <w:r>
        <w:t>wibor</w:t>
      </w:r>
      <w:proofErr w:type="spellEnd"/>
      <w:r>
        <w:t xml:space="preserve"> 1 M z  20.10.2016r.</w:t>
      </w:r>
    </w:p>
    <w:p w:rsidR="000A1D5D" w:rsidRDefault="004E2A41" w:rsidP="000A1D5D">
      <w:pPr>
        <w:pStyle w:val="justify"/>
        <w:numPr>
          <w:ilvl w:val="0"/>
          <w:numId w:val="33"/>
        </w:numPr>
      </w:pPr>
      <w:r>
        <w:t>Prowizja przygotowawcza  0,00%.</w:t>
      </w:r>
    </w:p>
    <w:p w:rsidR="002674BA" w:rsidRDefault="000A1D5D" w:rsidP="000A1D5D">
      <w:pPr>
        <w:pStyle w:val="justify"/>
        <w:numPr>
          <w:ilvl w:val="0"/>
          <w:numId w:val="33"/>
        </w:numPr>
      </w:pPr>
      <w:r w:rsidRPr="000A1D5D">
        <w:rPr>
          <w:rFonts w:ascii="Calibri" w:eastAsia="SimSun" w:hAnsi="Calibri"/>
          <w:color w:val="000000"/>
        </w:rPr>
        <w:t>Spłata kapitału w złotych polskich będzie następowała w nw</w:t>
      </w:r>
      <w:r w:rsidR="002C18FA">
        <w:rPr>
          <w:rFonts w:ascii="Calibri" w:eastAsia="SimSun" w:hAnsi="Calibri"/>
          <w:color w:val="000000"/>
        </w:rPr>
        <w:t>.</w:t>
      </w:r>
      <w:r w:rsidRPr="000A1D5D">
        <w:rPr>
          <w:rFonts w:ascii="Calibri" w:eastAsia="SimSun" w:hAnsi="Calibri"/>
          <w:color w:val="000000"/>
        </w:rPr>
        <w:t xml:space="preserve"> ratach:</w:t>
      </w:r>
      <w:r w:rsidR="004E2A41">
        <w:tab/>
      </w:r>
      <w:r w:rsidR="004E2A41">
        <w:tab/>
      </w:r>
      <w:r w:rsidR="004E2A41">
        <w:tab/>
      </w:r>
    </w:p>
    <w:tbl>
      <w:tblPr>
        <w:tblW w:w="0" w:type="auto"/>
        <w:tblInd w:w="40" w:type="dxa"/>
        <w:tblLayout w:type="fixed"/>
        <w:tblCellMar>
          <w:left w:w="70" w:type="dxa"/>
          <w:right w:w="70" w:type="dxa"/>
        </w:tblCellMar>
        <w:tblLook w:val="0000" w:firstRow="0" w:lastRow="0" w:firstColumn="0" w:lastColumn="0" w:noHBand="0" w:noVBand="0"/>
      </w:tblPr>
      <w:tblGrid>
        <w:gridCol w:w="1010"/>
        <w:gridCol w:w="1529"/>
        <w:gridCol w:w="2050"/>
        <w:gridCol w:w="1253"/>
        <w:gridCol w:w="878"/>
      </w:tblGrid>
      <w:tr w:rsidR="000A1D5D" w:rsidTr="000A1D5D">
        <w:trPr>
          <w:trHeight w:val="348"/>
        </w:trPr>
        <w:tc>
          <w:tcPr>
            <w:tcW w:w="1010"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0A1D5D" w:rsidRDefault="000A1D5D" w:rsidP="000A1D5D">
            <w:pPr>
              <w:autoSpaceDE w:val="0"/>
              <w:autoSpaceDN w:val="0"/>
              <w:adjustRightInd w:val="0"/>
              <w:spacing w:line="240" w:lineRule="auto"/>
              <w:jc w:val="center"/>
              <w:rPr>
                <w:rFonts w:ascii="Arial" w:hAnsi="Arial" w:cs="Arial"/>
                <w:b/>
                <w:bCs/>
                <w:color w:val="000000"/>
                <w:sz w:val="20"/>
                <w:szCs w:val="20"/>
              </w:rPr>
            </w:pPr>
            <w:r>
              <w:rPr>
                <w:rFonts w:ascii="Arial" w:hAnsi="Arial" w:cs="Arial"/>
                <w:b/>
                <w:bCs/>
                <w:color w:val="000000"/>
                <w:sz w:val="20"/>
                <w:szCs w:val="20"/>
              </w:rPr>
              <w:t>Rata nr</w:t>
            </w:r>
          </w:p>
        </w:tc>
        <w:tc>
          <w:tcPr>
            <w:tcW w:w="1529"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0A1D5D" w:rsidRDefault="000A1D5D" w:rsidP="000A1D5D">
            <w:pPr>
              <w:autoSpaceDE w:val="0"/>
              <w:autoSpaceDN w:val="0"/>
              <w:adjustRightInd w:val="0"/>
              <w:spacing w:line="240" w:lineRule="auto"/>
              <w:jc w:val="center"/>
              <w:rPr>
                <w:rFonts w:ascii="Arial" w:hAnsi="Arial" w:cs="Arial"/>
                <w:b/>
                <w:bCs/>
                <w:color w:val="000000"/>
                <w:sz w:val="20"/>
                <w:szCs w:val="20"/>
              </w:rPr>
            </w:pPr>
            <w:r>
              <w:rPr>
                <w:rFonts w:ascii="Arial" w:hAnsi="Arial" w:cs="Arial"/>
                <w:b/>
                <w:bCs/>
                <w:color w:val="000000"/>
                <w:sz w:val="20"/>
                <w:szCs w:val="20"/>
              </w:rPr>
              <w:t>Data</w:t>
            </w:r>
          </w:p>
        </w:tc>
        <w:tc>
          <w:tcPr>
            <w:tcW w:w="2050"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0A1D5D" w:rsidRDefault="000A1D5D" w:rsidP="000A1D5D">
            <w:pPr>
              <w:autoSpaceDE w:val="0"/>
              <w:autoSpaceDN w:val="0"/>
              <w:adjustRightInd w:val="0"/>
              <w:spacing w:line="240" w:lineRule="auto"/>
              <w:jc w:val="center"/>
              <w:rPr>
                <w:rFonts w:ascii="Arial" w:hAnsi="Arial" w:cs="Arial"/>
                <w:b/>
                <w:bCs/>
                <w:color w:val="000000"/>
                <w:sz w:val="20"/>
                <w:szCs w:val="20"/>
              </w:rPr>
            </w:pPr>
            <w:r>
              <w:rPr>
                <w:rFonts w:ascii="Arial" w:hAnsi="Arial" w:cs="Arial"/>
                <w:b/>
                <w:bCs/>
                <w:color w:val="000000"/>
                <w:sz w:val="20"/>
                <w:szCs w:val="20"/>
              </w:rPr>
              <w:t>Rata kapitału</w:t>
            </w:r>
          </w:p>
        </w:tc>
        <w:tc>
          <w:tcPr>
            <w:tcW w:w="1253" w:type="dxa"/>
            <w:tcBorders>
              <w:top w:val="nil"/>
              <w:left w:val="nil"/>
              <w:bottom w:val="nil"/>
              <w:right w:val="nil"/>
            </w:tcBorders>
            <w:vAlign w:val="center"/>
          </w:tcPr>
          <w:p w:rsidR="000A1D5D" w:rsidRDefault="000A1D5D" w:rsidP="000A1D5D">
            <w:pPr>
              <w:autoSpaceDE w:val="0"/>
              <w:autoSpaceDN w:val="0"/>
              <w:adjustRightInd w:val="0"/>
              <w:spacing w:line="240" w:lineRule="auto"/>
              <w:jc w:val="center"/>
              <w:rPr>
                <w:rFonts w:ascii="Arial" w:hAnsi="Arial" w:cs="Arial"/>
                <w:color w:val="000000"/>
                <w:sz w:val="20"/>
                <w:szCs w:val="20"/>
              </w:rPr>
            </w:pPr>
          </w:p>
        </w:tc>
        <w:tc>
          <w:tcPr>
            <w:tcW w:w="878" w:type="dxa"/>
            <w:tcBorders>
              <w:top w:val="nil"/>
              <w:left w:val="nil"/>
              <w:bottom w:val="nil"/>
              <w:right w:val="nil"/>
            </w:tcBorders>
            <w:vAlign w:val="center"/>
          </w:tcPr>
          <w:p w:rsidR="000A1D5D" w:rsidRDefault="000A1D5D" w:rsidP="000A1D5D">
            <w:pPr>
              <w:autoSpaceDE w:val="0"/>
              <w:autoSpaceDN w:val="0"/>
              <w:adjustRightInd w:val="0"/>
              <w:spacing w:line="240" w:lineRule="auto"/>
              <w:jc w:val="center"/>
              <w:rPr>
                <w:rFonts w:ascii="Arial" w:hAnsi="Arial" w:cs="Arial"/>
                <w:color w:val="000000"/>
                <w:sz w:val="20"/>
                <w:szCs w:val="20"/>
              </w:rPr>
            </w:pPr>
          </w:p>
        </w:tc>
      </w:tr>
      <w:tr w:rsidR="000A1D5D" w:rsidTr="000A1D5D">
        <w:trPr>
          <w:trHeight w:val="348"/>
        </w:trPr>
        <w:tc>
          <w:tcPr>
            <w:tcW w:w="1010"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1</w:t>
            </w:r>
          </w:p>
        </w:tc>
        <w:tc>
          <w:tcPr>
            <w:tcW w:w="1529"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center"/>
              <w:rPr>
                <w:rFonts w:ascii="Arial" w:hAnsi="Arial" w:cs="Arial"/>
                <w:color w:val="000000"/>
                <w:sz w:val="20"/>
                <w:szCs w:val="20"/>
              </w:rPr>
            </w:pPr>
            <w:r>
              <w:rPr>
                <w:rFonts w:ascii="Arial" w:hAnsi="Arial" w:cs="Arial"/>
                <w:color w:val="000000"/>
                <w:sz w:val="20"/>
                <w:szCs w:val="20"/>
              </w:rPr>
              <w:t>2017-05-31</w:t>
            </w:r>
          </w:p>
        </w:tc>
        <w:tc>
          <w:tcPr>
            <w:tcW w:w="2050" w:type="dxa"/>
            <w:tcBorders>
              <w:top w:val="single" w:sz="6" w:space="0" w:color="auto"/>
              <w:left w:val="single" w:sz="6" w:space="0" w:color="auto"/>
              <w:bottom w:val="single" w:sz="6" w:space="0" w:color="auto"/>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25 000,00</w:t>
            </w:r>
          </w:p>
        </w:tc>
        <w:tc>
          <w:tcPr>
            <w:tcW w:w="1253" w:type="dxa"/>
            <w:tcBorders>
              <w:top w:val="single" w:sz="12" w:space="0" w:color="auto"/>
              <w:left w:val="single" w:sz="12" w:space="0" w:color="auto"/>
              <w:bottom w:val="nil"/>
              <w:right w:val="single" w:sz="12"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c>
          <w:tcPr>
            <w:tcW w:w="878" w:type="dxa"/>
            <w:tcBorders>
              <w:top w:val="nil"/>
              <w:left w:val="nil"/>
              <w:bottom w:val="nil"/>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r>
      <w:tr w:rsidR="000A1D5D" w:rsidTr="000A1D5D">
        <w:trPr>
          <w:trHeight w:val="348"/>
        </w:trPr>
        <w:tc>
          <w:tcPr>
            <w:tcW w:w="1010"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2</w:t>
            </w:r>
          </w:p>
        </w:tc>
        <w:tc>
          <w:tcPr>
            <w:tcW w:w="1529"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center"/>
              <w:rPr>
                <w:rFonts w:ascii="Arial" w:hAnsi="Arial" w:cs="Arial"/>
                <w:color w:val="000000"/>
                <w:sz w:val="20"/>
                <w:szCs w:val="20"/>
              </w:rPr>
            </w:pPr>
            <w:r>
              <w:rPr>
                <w:rFonts w:ascii="Arial" w:hAnsi="Arial" w:cs="Arial"/>
                <w:color w:val="000000"/>
                <w:sz w:val="20"/>
                <w:szCs w:val="20"/>
              </w:rPr>
              <w:t>2017-11-30</w:t>
            </w:r>
          </w:p>
        </w:tc>
        <w:tc>
          <w:tcPr>
            <w:tcW w:w="2050" w:type="dxa"/>
            <w:tcBorders>
              <w:top w:val="single" w:sz="6" w:space="0" w:color="auto"/>
              <w:left w:val="single" w:sz="6" w:space="0" w:color="auto"/>
              <w:bottom w:val="single" w:sz="6" w:space="0" w:color="auto"/>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25 000,00</w:t>
            </w:r>
          </w:p>
        </w:tc>
        <w:tc>
          <w:tcPr>
            <w:tcW w:w="1253" w:type="dxa"/>
            <w:tcBorders>
              <w:top w:val="nil"/>
              <w:left w:val="single" w:sz="12" w:space="0" w:color="auto"/>
              <w:bottom w:val="single" w:sz="12" w:space="0" w:color="auto"/>
              <w:right w:val="single" w:sz="12"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50 000,00</w:t>
            </w:r>
          </w:p>
        </w:tc>
        <w:tc>
          <w:tcPr>
            <w:tcW w:w="878" w:type="dxa"/>
            <w:tcBorders>
              <w:top w:val="nil"/>
              <w:left w:val="nil"/>
              <w:bottom w:val="nil"/>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r>
      <w:tr w:rsidR="000A1D5D" w:rsidTr="000A1D5D">
        <w:trPr>
          <w:trHeight w:val="348"/>
        </w:trPr>
        <w:tc>
          <w:tcPr>
            <w:tcW w:w="1010"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3</w:t>
            </w:r>
          </w:p>
        </w:tc>
        <w:tc>
          <w:tcPr>
            <w:tcW w:w="1529"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center"/>
              <w:rPr>
                <w:rFonts w:ascii="Arial" w:hAnsi="Arial" w:cs="Arial"/>
                <w:color w:val="000000"/>
                <w:sz w:val="20"/>
                <w:szCs w:val="20"/>
              </w:rPr>
            </w:pPr>
            <w:r>
              <w:rPr>
                <w:rFonts w:ascii="Arial" w:hAnsi="Arial" w:cs="Arial"/>
                <w:color w:val="000000"/>
                <w:sz w:val="20"/>
                <w:szCs w:val="20"/>
              </w:rPr>
              <w:t>2018-10-31</w:t>
            </w:r>
          </w:p>
        </w:tc>
        <w:tc>
          <w:tcPr>
            <w:tcW w:w="2050" w:type="dxa"/>
            <w:tcBorders>
              <w:top w:val="single" w:sz="6" w:space="0" w:color="auto"/>
              <w:left w:val="single" w:sz="6" w:space="0" w:color="auto"/>
              <w:bottom w:val="single" w:sz="6" w:space="0" w:color="auto"/>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120 000,00</w:t>
            </w:r>
          </w:p>
        </w:tc>
        <w:tc>
          <w:tcPr>
            <w:tcW w:w="1253" w:type="dxa"/>
            <w:tcBorders>
              <w:top w:val="single" w:sz="12" w:space="0" w:color="auto"/>
              <w:left w:val="single" w:sz="12" w:space="0" w:color="auto"/>
              <w:bottom w:val="single" w:sz="12" w:space="0" w:color="auto"/>
              <w:right w:val="single" w:sz="12"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120 000,00</w:t>
            </w:r>
          </w:p>
        </w:tc>
        <w:tc>
          <w:tcPr>
            <w:tcW w:w="878" w:type="dxa"/>
            <w:tcBorders>
              <w:top w:val="nil"/>
              <w:left w:val="nil"/>
              <w:bottom w:val="nil"/>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r>
      <w:tr w:rsidR="000A1D5D" w:rsidTr="000A1D5D">
        <w:trPr>
          <w:trHeight w:val="348"/>
        </w:trPr>
        <w:tc>
          <w:tcPr>
            <w:tcW w:w="1010"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4</w:t>
            </w:r>
          </w:p>
        </w:tc>
        <w:tc>
          <w:tcPr>
            <w:tcW w:w="1529"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center"/>
              <w:rPr>
                <w:rFonts w:ascii="Arial" w:hAnsi="Arial" w:cs="Arial"/>
                <w:color w:val="000000"/>
                <w:sz w:val="20"/>
                <w:szCs w:val="20"/>
              </w:rPr>
            </w:pPr>
            <w:r>
              <w:rPr>
                <w:rFonts w:ascii="Arial" w:hAnsi="Arial" w:cs="Arial"/>
                <w:color w:val="000000"/>
                <w:sz w:val="20"/>
                <w:szCs w:val="20"/>
              </w:rPr>
              <w:t>2019-03-31</w:t>
            </w:r>
          </w:p>
        </w:tc>
        <w:tc>
          <w:tcPr>
            <w:tcW w:w="2050" w:type="dxa"/>
            <w:tcBorders>
              <w:top w:val="single" w:sz="6" w:space="0" w:color="auto"/>
              <w:left w:val="single" w:sz="6" w:space="0" w:color="auto"/>
              <w:bottom w:val="single" w:sz="6" w:space="0" w:color="auto"/>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130 000,00</w:t>
            </w:r>
          </w:p>
        </w:tc>
        <w:tc>
          <w:tcPr>
            <w:tcW w:w="1253" w:type="dxa"/>
            <w:tcBorders>
              <w:top w:val="single" w:sz="12" w:space="0" w:color="auto"/>
              <w:left w:val="single" w:sz="12" w:space="0" w:color="auto"/>
              <w:bottom w:val="single" w:sz="12" w:space="0" w:color="auto"/>
              <w:right w:val="single" w:sz="12"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130 000,00</w:t>
            </w:r>
          </w:p>
        </w:tc>
        <w:tc>
          <w:tcPr>
            <w:tcW w:w="878" w:type="dxa"/>
            <w:tcBorders>
              <w:top w:val="nil"/>
              <w:left w:val="nil"/>
              <w:bottom w:val="nil"/>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r>
      <w:tr w:rsidR="000A1D5D" w:rsidTr="000A1D5D">
        <w:trPr>
          <w:trHeight w:val="348"/>
        </w:trPr>
        <w:tc>
          <w:tcPr>
            <w:tcW w:w="1010"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5</w:t>
            </w:r>
          </w:p>
        </w:tc>
        <w:tc>
          <w:tcPr>
            <w:tcW w:w="1529"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center"/>
              <w:rPr>
                <w:rFonts w:ascii="Arial" w:hAnsi="Arial" w:cs="Arial"/>
                <w:color w:val="000000"/>
                <w:sz w:val="20"/>
                <w:szCs w:val="20"/>
              </w:rPr>
            </w:pPr>
            <w:r>
              <w:rPr>
                <w:rFonts w:ascii="Arial" w:hAnsi="Arial" w:cs="Arial"/>
                <w:color w:val="000000"/>
                <w:sz w:val="20"/>
                <w:szCs w:val="20"/>
              </w:rPr>
              <w:t>2020-11-31</w:t>
            </w:r>
          </w:p>
        </w:tc>
        <w:tc>
          <w:tcPr>
            <w:tcW w:w="2050" w:type="dxa"/>
            <w:tcBorders>
              <w:top w:val="single" w:sz="6" w:space="0" w:color="auto"/>
              <w:left w:val="single" w:sz="6" w:space="0" w:color="auto"/>
              <w:bottom w:val="single" w:sz="6" w:space="0" w:color="auto"/>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140 000,00</w:t>
            </w:r>
          </w:p>
        </w:tc>
        <w:tc>
          <w:tcPr>
            <w:tcW w:w="1253" w:type="dxa"/>
            <w:tcBorders>
              <w:top w:val="single" w:sz="12" w:space="0" w:color="auto"/>
              <w:left w:val="single" w:sz="12" w:space="0" w:color="auto"/>
              <w:bottom w:val="single" w:sz="12" w:space="0" w:color="auto"/>
              <w:right w:val="single" w:sz="12"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140 000,00</w:t>
            </w:r>
          </w:p>
        </w:tc>
        <w:tc>
          <w:tcPr>
            <w:tcW w:w="878" w:type="dxa"/>
            <w:tcBorders>
              <w:top w:val="nil"/>
              <w:left w:val="nil"/>
              <w:bottom w:val="nil"/>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r>
      <w:tr w:rsidR="000A1D5D" w:rsidTr="000A1D5D">
        <w:trPr>
          <w:trHeight w:val="348"/>
        </w:trPr>
        <w:tc>
          <w:tcPr>
            <w:tcW w:w="1010"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6</w:t>
            </w:r>
          </w:p>
        </w:tc>
        <w:tc>
          <w:tcPr>
            <w:tcW w:w="1529" w:type="dxa"/>
            <w:tcBorders>
              <w:top w:val="single" w:sz="6" w:space="0" w:color="auto"/>
              <w:left w:val="single" w:sz="6" w:space="0" w:color="auto"/>
              <w:bottom w:val="single" w:sz="6" w:space="0" w:color="auto"/>
              <w:right w:val="single" w:sz="6" w:space="0" w:color="auto"/>
            </w:tcBorders>
            <w:vAlign w:val="center"/>
          </w:tcPr>
          <w:p w:rsidR="000A1D5D" w:rsidRDefault="000A1D5D" w:rsidP="000A1D5D">
            <w:pPr>
              <w:autoSpaceDE w:val="0"/>
              <w:autoSpaceDN w:val="0"/>
              <w:adjustRightInd w:val="0"/>
              <w:spacing w:line="240" w:lineRule="auto"/>
              <w:jc w:val="center"/>
              <w:rPr>
                <w:rFonts w:ascii="Arial" w:hAnsi="Arial" w:cs="Arial"/>
                <w:color w:val="000000"/>
                <w:sz w:val="20"/>
                <w:szCs w:val="20"/>
              </w:rPr>
            </w:pPr>
            <w:r>
              <w:rPr>
                <w:rFonts w:ascii="Arial" w:hAnsi="Arial" w:cs="Arial"/>
                <w:color w:val="000000"/>
                <w:sz w:val="20"/>
                <w:szCs w:val="20"/>
              </w:rPr>
              <w:t>2021-09-30</w:t>
            </w:r>
          </w:p>
        </w:tc>
        <w:tc>
          <w:tcPr>
            <w:tcW w:w="2050" w:type="dxa"/>
            <w:tcBorders>
              <w:top w:val="single" w:sz="6" w:space="0" w:color="auto"/>
              <w:left w:val="single" w:sz="6" w:space="0" w:color="auto"/>
              <w:bottom w:val="single" w:sz="6" w:space="0" w:color="auto"/>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60 000,00</w:t>
            </w:r>
          </w:p>
        </w:tc>
        <w:tc>
          <w:tcPr>
            <w:tcW w:w="1253" w:type="dxa"/>
            <w:tcBorders>
              <w:top w:val="nil"/>
              <w:left w:val="single" w:sz="12" w:space="0" w:color="auto"/>
              <w:bottom w:val="single" w:sz="12" w:space="0" w:color="auto"/>
              <w:right w:val="single" w:sz="12" w:space="0" w:color="auto"/>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r>
              <w:rPr>
                <w:rFonts w:ascii="Arial" w:hAnsi="Arial" w:cs="Arial"/>
                <w:color w:val="000000"/>
                <w:sz w:val="20"/>
                <w:szCs w:val="20"/>
              </w:rPr>
              <w:t>60 000,00</w:t>
            </w:r>
          </w:p>
        </w:tc>
        <w:tc>
          <w:tcPr>
            <w:tcW w:w="878" w:type="dxa"/>
            <w:tcBorders>
              <w:top w:val="nil"/>
              <w:left w:val="nil"/>
              <w:bottom w:val="nil"/>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r>
      <w:tr w:rsidR="000A1D5D" w:rsidTr="000A1D5D">
        <w:trPr>
          <w:trHeight w:val="348"/>
        </w:trPr>
        <w:tc>
          <w:tcPr>
            <w:tcW w:w="2539" w:type="dxa"/>
            <w:gridSpan w:val="2"/>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0A1D5D" w:rsidRDefault="000A1D5D" w:rsidP="000A1D5D">
            <w:pPr>
              <w:autoSpaceDE w:val="0"/>
              <w:autoSpaceDN w:val="0"/>
              <w:adjustRightInd w:val="0"/>
              <w:spacing w:line="240" w:lineRule="auto"/>
              <w:jc w:val="center"/>
              <w:rPr>
                <w:rFonts w:ascii="Arial" w:hAnsi="Arial" w:cs="Arial"/>
                <w:color w:val="000000"/>
                <w:sz w:val="20"/>
                <w:szCs w:val="20"/>
              </w:rPr>
            </w:pPr>
            <w:r>
              <w:rPr>
                <w:rFonts w:ascii="Arial" w:hAnsi="Arial" w:cs="Arial"/>
                <w:color w:val="000000"/>
                <w:sz w:val="20"/>
                <w:szCs w:val="20"/>
              </w:rPr>
              <w:t>RAZEM</w:t>
            </w:r>
          </w:p>
        </w:tc>
        <w:tc>
          <w:tcPr>
            <w:tcW w:w="2050" w:type="dxa"/>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0A1D5D" w:rsidRDefault="000A1D5D" w:rsidP="000A1D5D">
            <w:pPr>
              <w:autoSpaceDE w:val="0"/>
              <w:autoSpaceDN w:val="0"/>
              <w:adjustRightInd w:val="0"/>
              <w:spacing w:line="240" w:lineRule="auto"/>
              <w:jc w:val="right"/>
              <w:rPr>
                <w:rFonts w:ascii="Arial" w:hAnsi="Arial" w:cs="Arial"/>
                <w:b/>
                <w:bCs/>
                <w:color w:val="000000"/>
                <w:sz w:val="20"/>
                <w:szCs w:val="20"/>
              </w:rPr>
            </w:pPr>
            <w:r>
              <w:rPr>
                <w:rFonts w:ascii="Arial" w:hAnsi="Arial" w:cs="Arial"/>
                <w:b/>
                <w:bCs/>
                <w:color w:val="000000"/>
                <w:sz w:val="20"/>
                <w:szCs w:val="20"/>
              </w:rPr>
              <w:t>500 000,00</w:t>
            </w:r>
          </w:p>
        </w:tc>
        <w:tc>
          <w:tcPr>
            <w:tcW w:w="1253" w:type="dxa"/>
            <w:tcBorders>
              <w:top w:val="nil"/>
              <w:left w:val="nil"/>
              <w:bottom w:val="nil"/>
              <w:right w:val="nil"/>
            </w:tcBorders>
            <w:shd w:val="clear" w:color="auto" w:fill="FFFFFF" w:themeFill="background1"/>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c>
          <w:tcPr>
            <w:tcW w:w="878" w:type="dxa"/>
            <w:tcBorders>
              <w:top w:val="nil"/>
              <w:left w:val="nil"/>
              <w:bottom w:val="nil"/>
              <w:right w:val="nil"/>
            </w:tcBorders>
            <w:shd w:val="clear" w:color="auto" w:fill="FFFFFF" w:themeFill="background1"/>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r>
      <w:tr w:rsidR="000A1D5D" w:rsidTr="000A1D5D">
        <w:trPr>
          <w:trHeight w:val="362"/>
        </w:trPr>
        <w:tc>
          <w:tcPr>
            <w:tcW w:w="1010" w:type="dxa"/>
            <w:tcBorders>
              <w:top w:val="nil"/>
              <w:left w:val="nil"/>
              <w:bottom w:val="nil"/>
              <w:right w:val="nil"/>
            </w:tcBorders>
            <w:vAlign w:val="center"/>
          </w:tcPr>
          <w:p w:rsidR="000A1D5D" w:rsidRDefault="000A1D5D" w:rsidP="000A1D5D">
            <w:pPr>
              <w:autoSpaceDE w:val="0"/>
              <w:autoSpaceDN w:val="0"/>
              <w:adjustRightInd w:val="0"/>
              <w:spacing w:line="240" w:lineRule="auto"/>
              <w:rPr>
                <w:color w:val="000000"/>
                <w:sz w:val="28"/>
                <w:szCs w:val="28"/>
              </w:rPr>
            </w:pPr>
          </w:p>
        </w:tc>
        <w:tc>
          <w:tcPr>
            <w:tcW w:w="1529" w:type="dxa"/>
            <w:tcBorders>
              <w:top w:val="nil"/>
              <w:left w:val="nil"/>
              <w:bottom w:val="nil"/>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c>
          <w:tcPr>
            <w:tcW w:w="2050" w:type="dxa"/>
            <w:tcBorders>
              <w:top w:val="nil"/>
              <w:left w:val="nil"/>
              <w:bottom w:val="nil"/>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c>
          <w:tcPr>
            <w:tcW w:w="1253" w:type="dxa"/>
            <w:tcBorders>
              <w:top w:val="nil"/>
              <w:left w:val="nil"/>
              <w:bottom w:val="nil"/>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c>
          <w:tcPr>
            <w:tcW w:w="878" w:type="dxa"/>
            <w:tcBorders>
              <w:top w:val="nil"/>
              <w:left w:val="nil"/>
              <w:bottom w:val="nil"/>
              <w:right w:val="nil"/>
            </w:tcBorders>
            <w:vAlign w:val="center"/>
          </w:tcPr>
          <w:p w:rsidR="000A1D5D" w:rsidRDefault="000A1D5D" w:rsidP="000A1D5D">
            <w:pPr>
              <w:autoSpaceDE w:val="0"/>
              <w:autoSpaceDN w:val="0"/>
              <w:adjustRightInd w:val="0"/>
              <w:spacing w:line="240" w:lineRule="auto"/>
              <w:jc w:val="right"/>
              <w:rPr>
                <w:rFonts w:ascii="Arial" w:hAnsi="Arial" w:cs="Arial"/>
                <w:color w:val="000000"/>
                <w:sz w:val="20"/>
                <w:szCs w:val="20"/>
              </w:rPr>
            </w:pPr>
          </w:p>
        </w:tc>
      </w:tr>
    </w:tbl>
    <w:p w:rsidR="002674BA" w:rsidRDefault="004E2A41">
      <w:pPr>
        <w:pStyle w:val="justify"/>
      </w:pPr>
      <w:r>
        <w:t>Ogólne wymagania dotyczące przedmiotu zamówienia oraz jego realizacji:</w:t>
      </w:r>
    </w:p>
    <w:p w:rsidR="002674BA" w:rsidRDefault="002674BA">
      <w:pPr>
        <w:pStyle w:val="p"/>
      </w:pPr>
    </w:p>
    <w:p w:rsidR="002674BA" w:rsidRDefault="004E2A41">
      <w:pPr>
        <w:pStyle w:val="justify"/>
      </w:pPr>
      <w:r>
        <w:rPr>
          <w:rStyle w:val="bold"/>
        </w:rPr>
        <w:t>Zamawiający nie dopuszcza możliwości składania ofert częściowych.</w:t>
      </w:r>
    </w:p>
    <w:p w:rsidR="002674BA" w:rsidRDefault="002674BA">
      <w:pPr>
        <w:pStyle w:val="p"/>
      </w:pPr>
    </w:p>
    <w:p w:rsidR="002674BA" w:rsidRDefault="004E2A41">
      <w:pPr>
        <w:pStyle w:val="p"/>
      </w:pPr>
      <w:r>
        <w:rPr>
          <w:rStyle w:val="bold"/>
        </w:rPr>
        <w:t>3. TERMIN WYKONANIA ZAMÓWIENIA</w:t>
      </w:r>
    </w:p>
    <w:p w:rsidR="002674BA" w:rsidRDefault="002674BA">
      <w:pPr>
        <w:pStyle w:val="p"/>
      </w:pPr>
    </w:p>
    <w:p w:rsidR="002674BA" w:rsidRDefault="004E2A41">
      <w:pPr>
        <w:pStyle w:val="justify"/>
      </w:pPr>
      <w:r>
        <w:t xml:space="preserve">Termin wykonania zamówienia: </w:t>
      </w:r>
      <w:r>
        <w:rPr>
          <w:rStyle w:val="bold"/>
        </w:rPr>
        <w:t>od dnia udzielenia zamówienia do dnia 30.09.2021 r.</w:t>
      </w:r>
    </w:p>
    <w:p w:rsidR="002674BA" w:rsidRDefault="002674BA">
      <w:pPr>
        <w:pStyle w:val="p"/>
      </w:pPr>
    </w:p>
    <w:p w:rsidR="002674BA" w:rsidRDefault="004E2A41">
      <w:pPr>
        <w:pStyle w:val="p"/>
      </w:pPr>
      <w:r>
        <w:rPr>
          <w:rStyle w:val="bold"/>
        </w:rPr>
        <w:t>4. WARUNKI UDZIAŁU W POSTĘPOWANIU ORAZ OPIS SPOSOBU DOKONYWANIA OCENY SPEŁNIANIA TYCH WARUNKÓW</w:t>
      </w:r>
    </w:p>
    <w:p w:rsidR="002674BA" w:rsidRDefault="002674BA">
      <w:pPr>
        <w:pStyle w:val="p"/>
      </w:pPr>
    </w:p>
    <w:p w:rsidR="002674BA" w:rsidRDefault="004E2A41">
      <w:pPr>
        <w:pStyle w:val="justify"/>
      </w:pPr>
      <w:r>
        <w:t>4.1. Zamawiający określa warunki udziału w postępowaniu:</w:t>
      </w:r>
    </w:p>
    <w:p w:rsidR="002674BA" w:rsidRDefault="002674BA">
      <w:pPr>
        <w:pStyle w:val="p"/>
      </w:pPr>
    </w:p>
    <w:p w:rsidR="002674BA" w:rsidRDefault="004E2A41">
      <w:pPr>
        <w:pStyle w:val="justify"/>
      </w:pPr>
      <w:r>
        <w:t>4.1.1. Wykonawca posiada uprawnienia do wykonywania działalności lub czynności objętej niniejszym postępowaniem.</w:t>
      </w:r>
    </w:p>
    <w:p w:rsidR="002674BA" w:rsidRDefault="002674BA">
      <w:pPr>
        <w:pStyle w:val="p"/>
      </w:pPr>
    </w:p>
    <w:p w:rsidR="002674BA" w:rsidRDefault="004E2A41">
      <w:pPr>
        <w:pStyle w:val="justify"/>
      </w:pPr>
      <w:r>
        <w:t xml:space="preserve">O udzielenie zamówienia mogą ubiegać się Wykonawcy posiadający niezbędne uprawnienia do wykonywania określonej działalności lub czynności, jeżeli przepisy prawa nakładają obowiązek ich posiadania tj. przedłożą  Zezwolenie Komisji Nadzoru Bankowego na prowadzenie działalności zgodnie z przepisami ustawy z dnia 29 sierpnia 1997 r. Prawo Bankowe (tekst jednolity Dz. U. z </w:t>
      </w:r>
      <w:r w:rsidR="009C24BE">
        <w:t>201</w:t>
      </w:r>
      <w:r w:rsidR="00937F64">
        <w:t>5</w:t>
      </w:r>
      <w:bookmarkStart w:id="0" w:name="_GoBack"/>
      <w:bookmarkEnd w:id="0"/>
      <w:r>
        <w:t xml:space="preserve"> r</w:t>
      </w:r>
      <w:r w:rsidR="009C24BE">
        <w:t xml:space="preserve">  poz. 128 </w:t>
      </w:r>
      <w:r>
        <w:t xml:space="preserve">z </w:t>
      </w:r>
      <w:proofErr w:type="spellStart"/>
      <w:r>
        <w:t>późn</w:t>
      </w:r>
      <w:proofErr w:type="spellEnd"/>
      <w:r>
        <w:t>. zm.), dotyczy banków utworzonych po 1 stycznia 1998r., a w przypadku banku państwowego pisemne oświadczenie iż bank prowadzi działalność bankową na podstawie stosownego rozporządzenia Rady Ministrów.</w:t>
      </w:r>
    </w:p>
    <w:p w:rsidR="002674BA" w:rsidRDefault="002674BA">
      <w:pPr>
        <w:pStyle w:val="p"/>
      </w:pPr>
    </w:p>
    <w:p w:rsidR="002674BA" w:rsidRDefault="004E2A41">
      <w:pPr>
        <w:pStyle w:val="justify"/>
      </w:pPr>
      <w:r>
        <w:t>4.1.2. Wykonawca posiada wiedzę i doświadczenie.</w:t>
      </w:r>
    </w:p>
    <w:p w:rsidR="002674BA" w:rsidRDefault="002674BA">
      <w:pPr>
        <w:pStyle w:val="p"/>
      </w:pPr>
    </w:p>
    <w:p w:rsidR="002674BA" w:rsidRDefault="004E2A41">
      <w:pPr>
        <w:pStyle w:val="justify"/>
      </w:pPr>
      <w:r>
        <w:t>Zamawiający nie opisuje sposobu dokonywania oceny spełnienia niniejszego warunku.</w:t>
      </w:r>
    </w:p>
    <w:p w:rsidR="002674BA" w:rsidRDefault="002674BA">
      <w:pPr>
        <w:pStyle w:val="p"/>
      </w:pPr>
    </w:p>
    <w:p w:rsidR="002674BA" w:rsidRDefault="004E2A41">
      <w:pPr>
        <w:pStyle w:val="justify"/>
      </w:pPr>
      <w:r>
        <w:t>4.1.3. Wykonawca dysponuje odpowiednim potencjałem technicznym.</w:t>
      </w:r>
    </w:p>
    <w:p w:rsidR="002674BA" w:rsidRDefault="002674BA">
      <w:pPr>
        <w:pStyle w:val="p"/>
      </w:pPr>
    </w:p>
    <w:p w:rsidR="002674BA" w:rsidRDefault="004E2A41">
      <w:pPr>
        <w:pStyle w:val="justify"/>
      </w:pPr>
      <w:r>
        <w:t>Zamawiający nie opisuje sposobu dokonywania oceny spełnienia niniejszego warunku.</w:t>
      </w:r>
    </w:p>
    <w:p w:rsidR="002674BA" w:rsidRDefault="002674BA">
      <w:pPr>
        <w:pStyle w:val="p"/>
      </w:pPr>
    </w:p>
    <w:p w:rsidR="002674BA" w:rsidRDefault="004E2A41">
      <w:pPr>
        <w:pStyle w:val="justify"/>
      </w:pPr>
      <w:r>
        <w:t>4.1.4. Wykonawca dysponuje odpowiednim potencjałem osobowym.</w:t>
      </w:r>
    </w:p>
    <w:p w:rsidR="002674BA" w:rsidRDefault="002674BA">
      <w:pPr>
        <w:pStyle w:val="p"/>
      </w:pPr>
    </w:p>
    <w:p w:rsidR="002674BA" w:rsidRDefault="004E2A41">
      <w:pPr>
        <w:pStyle w:val="justify"/>
      </w:pPr>
      <w:r>
        <w:t>Zamawiający nie opisuje sposobu dokonywania oceny spełnienia niniejszego warunku.</w:t>
      </w:r>
    </w:p>
    <w:p w:rsidR="002674BA" w:rsidRDefault="002674BA">
      <w:pPr>
        <w:pStyle w:val="p"/>
      </w:pPr>
    </w:p>
    <w:p w:rsidR="002674BA" w:rsidRDefault="004E2A41">
      <w:pPr>
        <w:pStyle w:val="justify"/>
      </w:pPr>
      <w:r>
        <w:t>4.1.5. Wykonawca znajduje się w sytuacji ekonomicznej i finansowej zapewniającej wykonanie zamówienia.</w:t>
      </w:r>
    </w:p>
    <w:p w:rsidR="002674BA" w:rsidRDefault="002674BA">
      <w:pPr>
        <w:pStyle w:val="p"/>
      </w:pPr>
    </w:p>
    <w:p w:rsidR="002674BA" w:rsidRDefault="004E2A41">
      <w:pPr>
        <w:pStyle w:val="justify"/>
      </w:pPr>
      <w:r>
        <w:t>Zamawiający nie opisuje sposobu dokonywania oceny spełnienia niniejszego warunku.</w:t>
      </w:r>
    </w:p>
    <w:p w:rsidR="002674BA" w:rsidRDefault="002674BA">
      <w:pPr>
        <w:pStyle w:val="p"/>
      </w:pPr>
    </w:p>
    <w:p w:rsidR="002674BA" w:rsidRDefault="002674BA">
      <w:pPr>
        <w:pStyle w:val="p"/>
      </w:pPr>
    </w:p>
    <w:p w:rsidR="002674BA" w:rsidRDefault="004E2A41">
      <w:pPr>
        <w:pStyle w:val="p"/>
      </w:pPr>
      <w:r>
        <w:rPr>
          <w:rStyle w:val="bold"/>
        </w:rPr>
        <w:t>5. OŚWIADCZENIA LUB DOKUMENTY POTWIERDZAJĄCE SPEŁNIANIE WARUNKÓW UDZIAŁU W POSTĘPOWANIU</w:t>
      </w:r>
    </w:p>
    <w:p w:rsidR="002674BA" w:rsidRDefault="002674BA">
      <w:pPr>
        <w:pStyle w:val="p"/>
      </w:pPr>
    </w:p>
    <w:p w:rsidR="002674BA" w:rsidRDefault="004E2A41">
      <w:pPr>
        <w:pStyle w:val="justify"/>
      </w:pPr>
      <w:r>
        <w:t>5.1. Zamawiający żąda oświadczeń i dokumentów potwierdzających spełnianie warunków udziału w postępowaniu:</w:t>
      </w:r>
    </w:p>
    <w:p w:rsidR="002674BA" w:rsidRDefault="002674BA">
      <w:pPr>
        <w:pStyle w:val="p"/>
      </w:pPr>
    </w:p>
    <w:p w:rsidR="002674BA" w:rsidRDefault="002674BA">
      <w:pPr>
        <w:pStyle w:val="p"/>
      </w:pPr>
    </w:p>
    <w:p w:rsidR="002674BA" w:rsidRDefault="004E2A41">
      <w:pPr>
        <w:pStyle w:val="justify"/>
        <w:numPr>
          <w:ilvl w:val="0"/>
          <w:numId w:val="6"/>
        </w:numPr>
      </w:pPr>
      <w:r>
        <w:t>Dokumenty potwierdzające posiadanie uprawnień do wykonywania określonej działalności lub czynności, jeżeli przepisy prawa nakładają obowiązek ich posiadania, w szczególności koncesji, zezwolenia lub licencji</w:t>
      </w:r>
    </w:p>
    <w:p w:rsidR="002674BA" w:rsidRDefault="002674BA">
      <w:pPr>
        <w:pStyle w:val="p"/>
      </w:pPr>
    </w:p>
    <w:p w:rsidR="002674BA" w:rsidRDefault="004E2A41">
      <w:pPr>
        <w:pStyle w:val="p"/>
      </w:pPr>
      <w:r>
        <w:rPr>
          <w:rStyle w:val="bold"/>
        </w:rPr>
        <w:t xml:space="preserve">6. OŚWIADCZENIA LUB DOKUMENTY POŚWIADCZAJĄCE BRAK PODSTAW DO WYKLUCZENIA </w:t>
      </w:r>
    </w:p>
    <w:p w:rsidR="002674BA" w:rsidRDefault="002674BA">
      <w:pPr>
        <w:pStyle w:val="p"/>
      </w:pPr>
    </w:p>
    <w:p w:rsidR="002674BA" w:rsidRDefault="004E2A41">
      <w:pPr>
        <w:pStyle w:val="justify"/>
      </w:pPr>
      <w:r>
        <w:t>6.1. Zamawiający nie żąda oświadczeń i dokumentów poświadczających brak podstaw do wykluczenia.</w:t>
      </w:r>
    </w:p>
    <w:p w:rsidR="002674BA" w:rsidRDefault="002674BA">
      <w:pPr>
        <w:pStyle w:val="p"/>
      </w:pPr>
    </w:p>
    <w:p w:rsidR="002674BA" w:rsidRDefault="004E2A41">
      <w:pPr>
        <w:pStyle w:val="p"/>
      </w:pPr>
      <w:r>
        <w:rPr>
          <w:rStyle w:val="bold"/>
        </w:rPr>
        <w:t>7. SPOSÓB POROZUMIEWANIA SIĘ Z ZAMAWIAJĄCYM</w:t>
      </w:r>
    </w:p>
    <w:p w:rsidR="002674BA" w:rsidRDefault="002674BA">
      <w:pPr>
        <w:pStyle w:val="p"/>
      </w:pPr>
    </w:p>
    <w:p w:rsidR="002674BA" w:rsidRDefault="004E2A41">
      <w:pPr>
        <w:pStyle w:val="justify"/>
      </w:pPr>
      <w:r>
        <w:t>7.1. W niniejszym postępowaniu wszelkie oświadczenia, wnioski, zawiadomienia, wezwania oraz informacje Zamawiający i wykonawcy przekazują pisemnie, faksem, drogą elektroniczną, pisemnie.</w:t>
      </w:r>
    </w:p>
    <w:p w:rsidR="002674BA" w:rsidRDefault="004E2A41">
      <w:pPr>
        <w:pStyle w:val="justify"/>
      </w:pPr>
      <w:r>
        <w:t>7.2. Osoby uprawnione do kontaktu z wykonawcami:</w:t>
      </w:r>
    </w:p>
    <w:p w:rsidR="002674BA" w:rsidRDefault="002674BA">
      <w:pPr>
        <w:pStyle w:val="p"/>
      </w:pPr>
    </w:p>
    <w:p w:rsidR="000A1D5D" w:rsidRPr="00265EF8" w:rsidRDefault="000A1D5D" w:rsidP="000A1D5D">
      <w:pPr>
        <w:spacing w:after="0" w:line="240" w:lineRule="auto"/>
        <w:ind w:left="540"/>
        <w:jc w:val="both"/>
        <w:rPr>
          <w:rFonts w:ascii="Calibri" w:hAnsi="Calibri"/>
        </w:rPr>
      </w:pPr>
      <w:r w:rsidRPr="00265EF8">
        <w:rPr>
          <w:rFonts w:ascii="Calibri" w:hAnsi="Calibri"/>
        </w:rPr>
        <w:t xml:space="preserve">Do kontaktowania się z Wykonawcami Zamawiający upoważnia: </w:t>
      </w:r>
    </w:p>
    <w:p w:rsidR="000A1D5D" w:rsidRPr="00265EF8" w:rsidRDefault="000A1D5D" w:rsidP="000A1D5D">
      <w:pPr>
        <w:spacing w:after="0" w:line="240" w:lineRule="auto"/>
        <w:ind w:firstLine="539"/>
        <w:jc w:val="both"/>
        <w:rPr>
          <w:rFonts w:ascii="Calibri" w:hAnsi="Calibri"/>
          <w:b/>
        </w:rPr>
      </w:pPr>
      <w:r w:rsidRPr="00265EF8">
        <w:rPr>
          <w:rFonts w:ascii="Calibri" w:hAnsi="Calibri"/>
          <w:b/>
        </w:rPr>
        <w:t xml:space="preserve">-Edyta Konieczna tel. 67 26 15 911 w.31, fax  067 261 59 11, e-mail: </w:t>
      </w:r>
      <w:hyperlink r:id="rId8" w:history="1">
        <w:r w:rsidRPr="00265EF8">
          <w:rPr>
            <w:rStyle w:val="Hipercze"/>
            <w:rFonts w:ascii="Calibri" w:hAnsi="Calibri"/>
            <w:b/>
          </w:rPr>
          <w:t>skarbnik@golancz.pl</w:t>
        </w:r>
      </w:hyperlink>
      <w:r w:rsidRPr="00265EF8">
        <w:rPr>
          <w:rFonts w:ascii="Calibri" w:hAnsi="Calibri"/>
          <w:b/>
        </w:rPr>
        <w:t xml:space="preserve">   </w:t>
      </w:r>
    </w:p>
    <w:p w:rsidR="000A1D5D" w:rsidRPr="00265EF8" w:rsidRDefault="000A1D5D" w:rsidP="000A1D5D">
      <w:pPr>
        <w:spacing w:after="0" w:line="240" w:lineRule="auto"/>
        <w:ind w:firstLine="539"/>
        <w:jc w:val="both"/>
        <w:rPr>
          <w:rFonts w:ascii="Calibri" w:hAnsi="Calibri"/>
          <w:b/>
        </w:rPr>
      </w:pPr>
      <w:r>
        <w:rPr>
          <w:rFonts w:ascii="Calibri" w:hAnsi="Calibri"/>
          <w:b/>
        </w:rPr>
        <w:t>-</w:t>
      </w:r>
      <w:r w:rsidRPr="00265EF8">
        <w:rPr>
          <w:rFonts w:ascii="Calibri" w:hAnsi="Calibri"/>
          <w:b/>
        </w:rPr>
        <w:t xml:space="preserve">Sylwia Kolińska  tel. 67 261 59 11 w. 26, fax  067 261 59 11, e-mail: lub </w:t>
      </w:r>
      <w:hyperlink r:id="rId9" w:history="1">
        <w:r w:rsidRPr="00265EF8">
          <w:rPr>
            <w:rStyle w:val="Hipercze"/>
            <w:rFonts w:ascii="Calibri" w:hAnsi="Calibri"/>
            <w:b/>
          </w:rPr>
          <w:t>kolinska@golancz.pl</w:t>
        </w:r>
      </w:hyperlink>
      <w:r w:rsidRPr="00265EF8">
        <w:rPr>
          <w:rFonts w:ascii="Calibri" w:hAnsi="Calibri"/>
          <w:b/>
        </w:rPr>
        <w:t xml:space="preserve"> </w:t>
      </w:r>
    </w:p>
    <w:p w:rsidR="002674BA" w:rsidRDefault="002674BA">
      <w:pPr>
        <w:pStyle w:val="p"/>
      </w:pPr>
    </w:p>
    <w:p w:rsidR="002674BA" w:rsidRDefault="004E2A41">
      <w:pPr>
        <w:pStyle w:val="p"/>
      </w:pPr>
      <w:r>
        <w:rPr>
          <w:rStyle w:val="bold"/>
        </w:rPr>
        <w:t>8. TERMIN ZWIĄZANIA OFERTĄ</w:t>
      </w:r>
    </w:p>
    <w:p w:rsidR="002674BA" w:rsidRDefault="002674BA">
      <w:pPr>
        <w:pStyle w:val="p"/>
      </w:pPr>
    </w:p>
    <w:p w:rsidR="002674BA" w:rsidRDefault="004E2A41">
      <w:pPr>
        <w:pStyle w:val="justify"/>
      </w:pPr>
      <w:r>
        <w:t>8.1. Wykonawca pozostaje związany ofertą przez okres 30 dni.</w:t>
      </w:r>
    </w:p>
    <w:p w:rsidR="002674BA" w:rsidRDefault="004E2A41">
      <w:pPr>
        <w:pStyle w:val="justify"/>
      </w:pPr>
      <w:r>
        <w:t>8.2. Bieg terminu związania ofertą rozpoczyna się wraz z upływem terminu składania ofert.</w:t>
      </w:r>
    </w:p>
    <w:p w:rsidR="002674BA" w:rsidRDefault="002674BA">
      <w:pPr>
        <w:pStyle w:val="p"/>
      </w:pPr>
    </w:p>
    <w:p w:rsidR="002674BA" w:rsidRDefault="004E2A41">
      <w:pPr>
        <w:pStyle w:val="p"/>
      </w:pPr>
      <w:r>
        <w:rPr>
          <w:rStyle w:val="bold"/>
        </w:rPr>
        <w:t>9. MIEJSCE ORAZ TERMIN SKŁADANIA</w:t>
      </w:r>
    </w:p>
    <w:p w:rsidR="002674BA" w:rsidRDefault="002674BA">
      <w:pPr>
        <w:pStyle w:val="p"/>
      </w:pPr>
    </w:p>
    <w:p w:rsidR="002674BA" w:rsidRDefault="004E2A41">
      <w:pPr>
        <w:pStyle w:val="justify"/>
      </w:pPr>
      <w:r>
        <w:t xml:space="preserve">9.1. Oferty należy składać do </w:t>
      </w:r>
      <w:r>
        <w:rPr>
          <w:rStyle w:val="bold"/>
        </w:rPr>
        <w:t>dnia 2</w:t>
      </w:r>
      <w:r w:rsidR="00A424A6">
        <w:rPr>
          <w:rStyle w:val="bold"/>
        </w:rPr>
        <w:t>9</w:t>
      </w:r>
      <w:r>
        <w:rPr>
          <w:rStyle w:val="bold"/>
        </w:rPr>
        <w:t>.11.2016 roku, do godz. 10:00</w:t>
      </w:r>
      <w:r>
        <w:t xml:space="preserve"> w siedzibie Zamawiającego (adres: Doktora Piotra Kowalika 2, 62-130 Gołańcz, Polska).</w:t>
      </w:r>
    </w:p>
    <w:p w:rsidR="002674BA" w:rsidRDefault="002674BA">
      <w:pPr>
        <w:pStyle w:val="p"/>
      </w:pPr>
    </w:p>
    <w:p w:rsidR="002674BA" w:rsidRDefault="002674BA">
      <w:pPr>
        <w:pStyle w:val="p"/>
      </w:pPr>
    </w:p>
    <w:p w:rsidR="002674BA" w:rsidRDefault="004E2A41">
      <w:pPr>
        <w:pStyle w:val="p"/>
      </w:pPr>
      <w:r>
        <w:rPr>
          <w:rStyle w:val="bold"/>
        </w:rPr>
        <w:t>10. KRYTERIA ORAZ SPOSÓB OCENY OFERT</w:t>
      </w:r>
    </w:p>
    <w:p w:rsidR="002674BA" w:rsidRDefault="002674BA">
      <w:pPr>
        <w:pStyle w:val="p"/>
      </w:pPr>
    </w:p>
    <w:p w:rsidR="002674BA" w:rsidRDefault="004E2A41">
      <w:pPr>
        <w:pStyle w:val="justify"/>
      </w:pPr>
      <w:r>
        <w:t>10.1. Zamawiający będzie oceniał oferty według następującego kryterium:</w:t>
      </w:r>
    </w:p>
    <w:p w:rsidR="002674BA" w:rsidRDefault="002674BA">
      <w:pPr>
        <w:pStyle w:val="p"/>
      </w:pPr>
    </w:p>
    <w:tbl>
      <w:tblPr>
        <w:tblStyle w:val="standard"/>
        <w:tblW w:w="0" w:type="auto"/>
        <w:tblInd w:w="60" w:type="dxa"/>
        <w:tblLook w:val="04A0" w:firstRow="1" w:lastRow="0" w:firstColumn="1" w:lastColumn="0" w:noHBand="0" w:noVBand="1"/>
      </w:tblPr>
      <w:tblGrid>
        <w:gridCol w:w="851"/>
        <w:gridCol w:w="4109"/>
        <w:gridCol w:w="4034"/>
      </w:tblGrid>
      <w:tr w:rsidR="002674BA" w:rsidTr="002674BA">
        <w:trPr>
          <w:cnfStyle w:val="100000000000" w:firstRow="1" w:lastRow="0" w:firstColumn="0" w:lastColumn="0" w:oddVBand="0" w:evenVBand="0" w:oddHBand="0" w:evenHBand="0" w:firstRowFirstColumn="0" w:firstRowLastColumn="0" w:lastRowFirstColumn="0" w:lastRowLastColumn="0"/>
        </w:trPr>
        <w:tc>
          <w:tcPr>
            <w:tcW w:w="1000" w:type="dxa"/>
            <w:vAlign w:val="center"/>
          </w:tcPr>
          <w:p w:rsidR="002674BA" w:rsidRDefault="004E2A41">
            <w:pPr>
              <w:pStyle w:val="tableCenter"/>
            </w:pPr>
            <w:r>
              <w:rPr>
                <w:rStyle w:val="bold"/>
              </w:rPr>
              <w:t>Nr</w:t>
            </w:r>
          </w:p>
        </w:tc>
        <w:tc>
          <w:tcPr>
            <w:tcW w:w="5000" w:type="dxa"/>
            <w:vAlign w:val="center"/>
          </w:tcPr>
          <w:p w:rsidR="002674BA" w:rsidRDefault="004E2A41">
            <w:pPr>
              <w:pStyle w:val="tableCenter"/>
            </w:pPr>
            <w:r>
              <w:rPr>
                <w:rStyle w:val="bold"/>
              </w:rPr>
              <w:t>Nazwa kryterium</w:t>
            </w:r>
          </w:p>
        </w:tc>
        <w:tc>
          <w:tcPr>
            <w:tcW w:w="5000" w:type="dxa"/>
            <w:vAlign w:val="center"/>
          </w:tcPr>
          <w:p w:rsidR="002674BA" w:rsidRDefault="004E2A41">
            <w:pPr>
              <w:pStyle w:val="tableCenter"/>
            </w:pPr>
            <w:r>
              <w:rPr>
                <w:rStyle w:val="bold"/>
              </w:rPr>
              <w:t>Waga</w:t>
            </w:r>
          </w:p>
        </w:tc>
      </w:tr>
      <w:tr w:rsidR="002674BA" w:rsidTr="002674BA">
        <w:tc>
          <w:tcPr>
            <w:tcW w:w="1000" w:type="dxa"/>
            <w:vAlign w:val="center"/>
          </w:tcPr>
          <w:p w:rsidR="002674BA" w:rsidRDefault="004E2A41">
            <w:pPr>
              <w:pStyle w:val="center"/>
            </w:pPr>
            <w:r>
              <w:t>1</w:t>
            </w:r>
          </w:p>
        </w:tc>
        <w:tc>
          <w:tcPr>
            <w:tcW w:w="5000" w:type="dxa"/>
            <w:vAlign w:val="center"/>
          </w:tcPr>
          <w:p w:rsidR="002674BA" w:rsidRDefault="004E2A41" w:rsidP="002C40C2">
            <w:pPr>
              <w:pStyle w:val="p"/>
              <w:jc w:val="center"/>
            </w:pPr>
            <w:r>
              <w:t>Cena</w:t>
            </w:r>
          </w:p>
        </w:tc>
        <w:tc>
          <w:tcPr>
            <w:tcW w:w="5000" w:type="dxa"/>
            <w:vAlign w:val="center"/>
          </w:tcPr>
          <w:p w:rsidR="002674BA" w:rsidRDefault="004E2A41">
            <w:pPr>
              <w:pStyle w:val="center"/>
            </w:pPr>
            <w:r>
              <w:t>100%</w:t>
            </w:r>
          </w:p>
        </w:tc>
      </w:tr>
    </w:tbl>
    <w:p w:rsidR="002674BA" w:rsidRDefault="002674BA">
      <w:pPr>
        <w:pStyle w:val="p"/>
      </w:pPr>
    </w:p>
    <w:p w:rsidR="002674BA" w:rsidRDefault="004E2A41">
      <w:pPr>
        <w:pStyle w:val="justify"/>
      </w:pPr>
      <w:r>
        <w:t>10.2. Punkty przyznawane za podane w pkt. 10.1. kryteria będą liczone według następujących wzorów:</w:t>
      </w:r>
    </w:p>
    <w:p w:rsidR="002674BA" w:rsidRDefault="002674BA">
      <w:pPr>
        <w:pStyle w:val="p"/>
      </w:pPr>
    </w:p>
    <w:tbl>
      <w:tblPr>
        <w:tblStyle w:val="standard"/>
        <w:tblW w:w="0" w:type="auto"/>
        <w:tblInd w:w="60" w:type="dxa"/>
        <w:tblLook w:val="04A0" w:firstRow="1" w:lastRow="0" w:firstColumn="1" w:lastColumn="0" w:noHBand="0" w:noVBand="1"/>
      </w:tblPr>
      <w:tblGrid>
        <w:gridCol w:w="987"/>
        <w:gridCol w:w="8007"/>
      </w:tblGrid>
      <w:tr w:rsidR="002674BA" w:rsidTr="002674BA">
        <w:trPr>
          <w:cnfStyle w:val="100000000000" w:firstRow="1" w:lastRow="0" w:firstColumn="0" w:lastColumn="0" w:oddVBand="0" w:evenVBand="0" w:oddHBand="0" w:evenHBand="0" w:firstRowFirstColumn="0" w:firstRowLastColumn="0" w:lastRowFirstColumn="0" w:lastRowLastColumn="0"/>
        </w:trPr>
        <w:tc>
          <w:tcPr>
            <w:tcW w:w="1000" w:type="dxa"/>
            <w:vAlign w:val="center"/>
          </w:tcPr>
          <w:p w:rsidR="002674BA" w:rsidRDefault="004E2A41">
            <w:pPr>
              <w:pStyle w:val="tableCenter"/>
            </w:pPr>
            <w:r>
              <w:rPr>
                <w:rStyle w:val="bold"/>
              </w:rPr>
              <w:t>Nr kryterium</w:t>
            </w:r>
          </w:p>
        </w:tc>
        <w:tc>
          <w:tcPr>
            <w:tcW w:w="10000" w:type="dxa"/>
            <w:vAlign w:val="center"/>
          </w:tcPr>
          <w:p w:rsidR="002674BA" w:rsidRDefault="004E2A41">
            <w:pPr>
              <w:pStyle w:val="tableCenter"/>
            </w:pPr>
            <w:r>
              <w:rPr>
                <w:rStyle w:val="bold"/>
              </w:rPr>
              <w:t>Wzór</w:t>
            </w:r>
          </w:p>
        </w:tc>
      </w:tr>
      <w:tr w:rsidR="002674BA" w:rsidTr="002674BA">
        <w:tc>
          <w:tcPr>
            <w:tcW w:w="1000" w:type="dxa"/>
            <w:vAlign w:val="center"/>
          </w:tcPr>
          <w:p w:rsidR="002674BA" w:rsidRDefault="004E2A41">
            <w:pPr>
              <w:pStyle w:val="center"/>
            </w:pPr>
            <w:r>
              <w:t>1</w:t>
            </w:r>
          </w:p>
        </w:tc>
        <w:tc>
          <w:tcPr>
            <w:tcW w:w="10000" w:type="dxa"/>
            <w:vAlign w:val="center"/>
          </w:tcPr>
          <w:p w:rsidR="002674BA" w:rsidRDefault="004E2A41">
            <w:pPr>
              <w:pStyle w:val="p"/>
            </w:pPr>
            <w:r>
              <w:t>(</w:t>
            </w:r>
            <w:proofErr w:type="spellStart"/>
            <w:r>
              <w:t>Cmin</w:t>
            </w:r>
            <w:proofErr w:type="spellEnd"/>
            <w:r>
              <w:t>/</w:t>
            </w:r>
            <w:proofErr w:type="spellStart"/>
            <w:r>
              <w:t>Cof</w:t>
            </w:r>
            <w:proofErr w:type="spellEnd"/>
            <w:r>
              <w:t>) * 100 * waga</w:t>
            </w:r>
          </w:p>
          <w:p w:rsidR="002674BA" w:rsidRDefault="004E2A41">
            <w:pPr>
              <w:pStyle w:val="p"/>
            </w:pPr>
            <w:r>
              <w:t>gdzie:</w:t>
            </w:r>
          </w:p>
          <w:p w:rsidR="002674BA" w:rsidRDefault="004E2A41">
            <w:pPr>
              <w:pStyle w:val="p"/>
            </w:pPr>
            <w:r>
              <w:t xml:space="preserve">- </w:t>
            </w:r>
            <w:proofErr w:type="spellStart"/>
            <w:r>
              <w:t>Cmin</w:t>
            </w:r>
            <w:proofErr w:type="spellEnd"/>
            <w:r>
              <w:t xml:space="preserve"> - najniższa cena spośród wszystkich ofert</w:t>
            </w:r>
          </w:p>
          <w:p w:rsidR="002674BA" w:rsidRDefault="004E2A41">
            <w:pPr>
              <w:pStyle w:val="p"/>
            </w:pPr>
            <w:r>
              <w:t xml:space="preserve">- </w:t>
            </w:r>
            <w:proofErr w:type="spellStart"/>
            <w:r>
              <w:t>Cof</w:t>
            </w:r>
            <w:proofErr w:type="spellEnd"/>
            <w:r>
              <w:t xml:space="preserve"> -  cena podana w ofercie</w:t>
            </w:r>
          </w:p>
        </w:tc>
      </w:tr>
    </w:tbl>
    <w:p w:rsidR="002674BA" w:rsidRDefault="002674BA">
      <w:pPr>
        <w:pStyle w:val="p"/>
      </w:pPr>
    </w:p>
    <w:p w:rsidR="002674BA" w:rsidRDefault="004E2A41">
      <w:pPr>
        <w:pStyle w:val="justify"/>
      </w:pPr>
      <w:r>
        <w:t>10.3. Oferta złożona przez wykonawcę może otrzymać 100 pkt.</w:t>
      </w:r>
    </w:p>
    <w:p w:rsidR="002674BA" w:rsidRDefault="004E2A41">
      <w:pPr>
        <w:pStyle w:val="justify"/>
      </w:pPr>
      <w:r>
        <w:t>10.4. W toku dokonywania badania i oceny ofert Zamawiający może żądać udzielenia przez wykonawcę wyjaśnień treści złożonych przez niego ofert.</w:t>
      </w:r>
    </w:p>
    <w:p w:rsidR="002674BA" w:rsidRDefault="004E2A41">
      <w:pPr>
        <w:pStyle w:val="justify"/>
      </w:pPr>
      <w:r>
        <w:t>10.5. Zamawiający zastosuje zaokrąglanie każdego wyniku do dwóch miejsc po przecinku.</w:t>
      </w:r>
    </w:p>
    <w:p w:rsidR="002674BA" w:rsidRDefault="002674BA">
      <w:pPr>
        <w:pStyle w:val="p"/>
      </w:pPr>
    </w:p>
    <w:p w:rsidR="002674BA" w:rsidRDefault="002674BA">
      <w:pPr>
        <w:pStyle w:val="p"/>
      </w:pPr>
    </w:p>
    <w:p w:rsidR="002674BA" w:rsidRDefault="004E2A41">
      <w:pPr>
        <w:pStyle w:val="p"/>
      </w:pPr>
      <w:r>
        <w:rPr>
          <w:rStyle w:val="bold"/>
        </w:rPr>
        <w:lastRenderedPageBreak/>
        <w:t>11. OPIS SPOSOBU OBLICZANIA CENY</w:t>
      </w:r>
    </w:p>
    <w:p w:rsidR="002674BA" w:rsidRDefault="002674BA">
      <w:pPr>
        <w:pStyle w:val="p"/>
      </w:pPr>
    </w:p>
    <w:p w:rsidR="002674BA" w:rsidRDefault="004E2A41">
      <w:pPr>
        <w:pStyle w:val="justify"/>
      </w:pPr>
      <w:r>
        <w:t>11.1. Zamawiający będzie brał pod uwagę cenę brutto za wykonanie przedmiotu niniejszego zamówienia.</w:t>
      </w:r>
    </w:p>
    <w:p w:rsidR="002674BA" w:rsidRDefault="004E2A41">
      <w:pPr>
        <w:pStyle w:val="justify"/>
      </w:pPr>
      <w:r>
        <w:t>11.2. Cenę deklaruje  się na formularzu oferty.</w:t>
      </w:r>
    </w:p>
    <w:p w:rsidR="002C40C2" w:rsidRDefault="004E2A41" w:rsidP="002C40C2">
      <w:pPr>
        <w:pStyle w:val="justify"/>
      </w:pPr>
      <w:r>
        <w:t>11.3. Cena musi być wyrażona w złotych polskich, z dokładnością do dwóch miejsc po przecinku.</w:t>
      </w:r>
    </w:p>
    <w:p w:rsidR="002C40C2" w:rsidRPr="002C40C2" w:rsidRDefault="002C40C2" w:rsidP="002C40C2">
      <w:pPr>
        <w:pStyle w:val="justify"/>
      </w:pPr>
      <w:r>
        <w:t xml:space="preserve">11.4. </w:t>
      </w:r>
      <w:r w:rsidRPr="002C40C2">
        <w:rPr>
          <w:rFonts w:eastAsia="SimSun" w:cs="Arial"/>
          <w:color w:val="000000"/>
          <w:sz w:val="24"/>
        </w:rPr>
        <w:t>W ofercie należy podać cenę ogólną za udzielenie kredytu. Cenę oferty C</w:t>
      </w:r>
      <w:r w:rsidRPr="002C40C2">
        <w:rPr>
          <w:rFonts w:eastAsia="SimSun" w:cs="Arial"/>
          <w:color w:val="000000"/>
          <w:sz w:val="24"/>
          <w:vertAlign w:val="subscript"/>
        </w:rPr>
        <w:t>o</w:t>
      </w:r>
      <w:r w:rsidRPr="002C40C2">
        <w:rPr>
          <w:rFonts w:eastAsia="SimSun" w:cs="Arial"/>
          <w:color w:val="000000"/>
          <w:sz w:val="24"/>
        </w:rPr>
        <w:t xml:space="preserve"> należy rozumieć jako sumę kosztów oprocentowania kredytu,</w:t>
      </w:r>
      <w:r>
        <w:rPr>
          <w:rFonts w:eastAsia="SimSun" w:cs="Arial"/>
          <w:color w:val="000000"/>
          <w:sz w:val="24"/>
        </w:rPr>
        <w:t xml:space="preserve"> marżę banku</w:t>
      </w:r>
      <w:r w:rsidRPr="002C40C2">
        <w:rPr>
          <w:rFonts w:eastAsia="SimSun" w:cs="Arial"/>
          <w:color w:val="000000"/>
          <w:sz w:val="24"/>
        </w:rPr>
        <w:t xml:space="preserve"> oraz sumy wartości opłat i prowizji bankowych z tytułu spłaty rat kapitałowych i rat oprocentowania. Do ustalenia wartości ofertowej należy przyjąć stawkę </w:t>
      </w:r>
      <w:r w:rsidRPr="002C40C2">
        <w:rPr>
          <w:rFonts w:eastAsia="SimSun" w:cs="Arial"/>
          <w:b/>
          <w:color w:val="000000"/>
          <w:sz w:val="24"/>
          <w:u w:val="single"/>
        </w:rPr>
        <w:t xml:space="preserve">WIBOR </w:t>
      </w:r>
      <w:smartTag w:uri="urn:schemas-microsoft-com:office:smarttags" w:element="metricconverter">
        <w:smartTagPr>
          <w:attr w:name="ProductID" w:val="1 M"/>
        </w:smartTagPr>
        <w:r w:rsidRPr="002C40C2">
          <w:rPr>
            <w:rFonts w:eastAsia="SimSun" w:cs="Arial"/>
            <w:b/>
            <w:color w:val="000000"/>
            <w:sz w:val="24"/>
            <w:u w:val="single"/>
          </w:rPr>
          <w:t>1 M</w:t>
        </w:r>
      </w:smartTag>
      <w:r w:rsidRPr="002C40C2">
        <w:rPr>
          <w:rFonts w:eastAsia="SimSun" w:cs="Arial"/>
          <w:b/>
          <w:color w:val="000000"/>
          <w:sz w:val="24"/>
          <w:u w:val="single"/>
        </w:rPr>
        <w:t xml:space="preserve"> z dnia </w:t>
      </w:r>
      <w:r>
        <w:rPr>
          <w:rFonts w:eastAsia="SimSun" w:cs="Arial"/>
          <w:b/>
          <w:color w:val="000000"/>
          <w:sz w:val="24"/>
          <w:u w:val="single"/>
        </w:rPr>
        <w:t>20</w:t>
      </w:r>
      <w:r w:rsidRPr="002C40C2">
        <w:rPr>
          <w:rFonts w:eastAsia="SimSun" w:cs="Arial"/>
          <w:b/>
          <w:color w:val="000000"/>
          <w:sz w:val="24"/>
          <w:u w:val="single"/>
        </w:rPr>
        <w:t>.</w:t>
      </w:r>
      <w:r>
        <w:rPr>
          <w:rFonts w:eastAsia="SimSun" w:cs="Arial"/>
          <w:b/>
          <w:color w:val="000000"/>
          <w:sz w:val="24"/>
          <w:u w:val="single"/>
        </w:rPr>
        <w:t>10</w:t>
      </w:r>
      <w:r w:rsidRPr="002C40C2">
        <w:rPr>
          <w:rFonts w:eastAsia="SimSun" w:cs="Arial"/>
          <w:b/>
          <w:color w:val="000000"/>
          <w:sz w:val="24"/>
          <w:u w:val="single"/>
        </w:rPr>
        <w:t>.201</w:t>
      </w:r>
      <w:r>
        <w:rPr>
          <w:rFonts w:eastAsia="SimSun" w:cs="Arial"/>
          <w:b/>
          <w:color w:val="000000"/>
          <w:sz w:val="24"/>
          <w:u w:val="single"/>
        </w:rPr>
        <w:t>6</w:t>
      </w:r>
      <w:r w:rsidRPr="002C40C2">
        <w:rPr>
          <w:rFonts w:eastAsia="SimSun" w:cs="Arial"/>
          <w:b/>
          <w:color w:val="000000"/>
          <w:sz w:val="24"/>
          <w:u w:val="single"/>
        </w:rPr>
        <w:t xml:space="preserve"> roku</w:t>
      </w:r>
      <w:r>
        <w:rPr>
          <w:rFonts w:eastAsia="SimSun" w:cs="Arial"/>
          <w:b/>
          <w:color w:val="000000"/>
          <w:sz w:val="24"/>
          <w:u w:val="single"/>
        </w:rPr>
        <w:t>.</w:t>
      </w:r>
    </w:p>
    <w:p w:rsidR="002C40C2" w:rsidRDefault="002C40C2" w:rsidP="002C40C2">
      <w:pPr>
        <w:jc w:val="both"/>
        <w:rPr>
          <w:rFonts w:ascii="Calibri" w:eastAsia="SimSun" w:hAnsi="Calibri" w:cs="Arial"/>
          <w:b/>
          <w:color w:val="000000"/>
          <w:sz w:val="24"/>
          <w:u w:val="single"/>
        </w:rPr>
      </w:pPr>
    </w:p>
    <w:p w:rsidR="002C40C2" w:rsidRDefault="002C40C2" w:rsidP="002C40C2">
      <w:pPr>
        <w:jc w:val="both"/>
        <w:rPr>
          <w:rFonts w:ascii="Calibri" w:eastAsia="SimSun" w:hAnsi="Calibri" w:cs="Arial"/>
          <w:b/>
          <w:color w:val="000000"/>
          <w:sz w:val="24"/>
          <w:u w:val="single"/>
        </w:rPr>
      </w:pPr>
      <w:r>
        <w:rPr>
          <w:rFonts w:ascii="Calibri" w:eastAsia="SimSun" w:hAnsi="Calibri" w:cs="Arial"/>
          <w:b/>
          <w:color w:val="000000"/>
          <w:sz w:val="24"/>
          <w:u w:val="single"/>
        </w:rPr>
        <w:t>Dla celów kalkulacji ceny ofertowej należy przyjąć:</w:t>
      </w:r>
    </w:p>
    <w:p w:rsidR="002C40C2" w:rsidRPr="00F77551" w:rsidRDefault="002C40C2" w:rsidP="002C40C2">
      <w:pPr>
        <w:numPr>
          <w:ilvl w:val="0"/>
          <w:numId w:val="37"/>
        </w:numPr>
        <w:spacing w:after="0" w:line="240" w:lineRule="auto"/>
        <w:jc w:val="both"/>
        <w:rPr>
          <w:rFonts w:ascii="Calibri" w:hAnsi="Calibri"/>
          <w:b/>
          <w:sz w:val="28"/>
          <w:szCs w:val="24"/>
        </w:rPr>
      </w:pPr>
      <w:r>
        <w:rPr>
          <w:rFonts w:ascii="Calibri" w:eastAsia="SimSun" w:hAnsi="Calibri" w:cs="Arial"/>
          <w:b/>
          <w:color w:val="000000"/>
          <w:sz w:val="24"/>
          <w:u w:val="single"/>
        </w:rPr>
        <w:t xml:space="preserve">datę </w:t>
      </w:r>
      <w:r w:rsidR="002C18FA">
        <w:rPr>
          <w:rFonts w:ascii="Calibri" w:eastAsia="SimSun" w:hAnsi="Calibri" w:cs="Arial"/>
          <w:b/>
          <w:color w:val="000000"/>
          <w:sz w:val="24"/>
          <w:u w:val="single"/>
        </w:rPr>
        <w:t>uruchomienia kredytu na dzień 02.12</w:t>
      </w:r>
      <w:r>
        <w:rPr>
          <w:rFonts w:ascii="Calibri" w:eastAsia="SimSun" w:hAnsi="Calibri" w:cs="Arial"/>
          <w:b/>
          <w:color w:val="000000"/>
          <w:sz w:val="24"/>
          <w:u w:val="single"/>
        </w:rPr>
        <w:t>.201</w:t>
      </w:r>
      <w:r w:rsidR="002C18FA">
        <w:rPr>
          <w:rFonts w:ascii="Calibri" w:eastAsia="SimSun" w:hAnsi="Calibri" w:cs="Arial"/>
          <w:b/>
          <w:color w:val="000000"/>
          <w:sz w:val="24"/>
          <w:u w:val="single"/>
        </w:rPr>
        <w:t>6</w:t>
      </w:r>
      <w:r>
        <w:rPr>
          <w:rFonts w:ascii="Calibri" w:eastAsia="SimSun" w:hAnsi="Calibri" w:cs="Arial"/>
          <w:b/>
          <w:color w:val="000000"/>
          <w:sz w:val="24"/>
          <w:u w:val="single"/>
        </w:rPr>
        <w:t xml:space="preserve"> r.</w:t>
      </w:r>
    </w:p>
    <w:p w:rsidR="002C40C2" w:rsidRPr="00265EF8" w:rsidRDefault="002C40C2" w:rsidP="002C40C2">
      <w:pPr>
        <w:numPr>
          <w:ilvl w:val="0"/>
          <w:numId w:val="37"/>
        </w:numPr>
        <w:spacing w:after="0" w:line="240" w:lineRule="auto"/>
        <w:jc w:val="both"/>
        <w:rPr>
          <w:rFonts w:ascii="Calibri" w:hAnsi="Calibri"/>
          <w:b/>
          <w:sz w:val="28"/>
          <w:szCs w:val="24"/>
        </w:rPr>
      </w:pPr>
      <w:r>
        <w:rPr>
          <w:rFonts w:ascii="Calibri" w:eastAsia="SimSun" w:hAnsi="Calibri" w:cs="Arial"/>
          <w:b/>
          <w:color w:val="000000"/>
          <w:sz w:val="24"/>
          <w:u w:val="single"/>
        </w:rPr>
        <w:t>że rok obrachunkowy liczy 365/366 dni a miesiąc rzeczywistą liczbę dni.</w:t>
      </w:r>
    </w:p>
    <w:p w:rsidR="002C40C2" w:rsidRDefault="002C40C2">
      <w:pPr>
        <w:pStyle w:val="justify"/>
      </w:pPr>
    </w:p>
    <w:p w:rsidR="002674BA" w:rsidRDefault="002674BA">
      <w:pPr>
        <w:pStyle w:val="p"/>
      </w:pPr>
    </w:p>
    <w:p w:rsidR="002674BA" w:rsidRDefault="004E2A41">
      <w:pPr>
        <w:pStyle w:val="p"/>
      </w:pPr>
      <w:r>
        <w:rPr>
          <w:rStyle w:val="bold"/>
        </w:rPr>
        <w:t>12. WYMAGANIA DOTYCZĄCE ZABEZPIECZENIA NALEŻYTEGO WYKONANIA UMOWY</w:t>
      </w:r>
    </w:p>
    <w:p w:rsidR="002674BA" w:rsidRDefault="002674BA">
      <w:pPr>
        <w:pStyle w:val="p"/>
      </w:pPr>
    </w:p>
    <w:p w:rsidR="002674BA" w:rsidRDefault="004E2A41">
      <w:pPr>
        <w:pStyle w:val="justify"/>
      </w:pPr>
      <w:r>
        <w:t>12.1. Zamawiający nie ustanawia zabezpieczenia należytego wykonania umowy.</w:t>
      </w:r>
    </w:p>
    <w:p w:rsidR="002674BA" w:rsidRDefault="002674BA">
      <w:pPr>
        <w:pStyle w:val="p"/>
      </w:pPr>
    </w:p>
    <w:p w:rsidR="002674BA" w:rsidRDefault="004E2A41">
      <w:pPr>
        <w:pStyle w:val="p"/>
      </w:pPr>
      <w:r>
        <w:rPr>
          <w:rStyle w:val="bold"/>
        </w:rPr>
        <w:t>13. OPIS SPOSOBU PRZYGOTOWYWANIA OFERT</w:t>
      </w:r>
    </w:p>
    <w:p w:rsidR="002674BA" w:rsidRDefault="002674BA">
      <w:pPr>
        <w:pStyle w:val="p"/>
      </w:pPr>
    </w:p>
    <w:p w:rsidR="002674BA" w:rsidRDefault="004E2A41">
      <w:pPr>
        <w:pStyle w:val="justify"/>
      </w:pPr>
      <w:r>
        <w:t>13.1. Oferty, należy składać za pośrednictwem:</w:t>
      </w:r>
    </w:p>
    <w:p w:rsidR="002674BA" w:rsidRDefault="004E2A41">
      <w:pPr>
        <w:pStyle w:val="justify"/>
        <w:numPr>
          <w:ilvl w:val="0"/>
          <w:numId w:val="10"/>
        </w:numPr>
      </w:pPr>
      <w:r>
        <w:t>osobiście lub pocztą w formie pisemnej (decyduje data wpływu) na adres Zamawiającego</w:t>
      </w:r>
      <w:r w:rsidR="000A1D5D">
        <w:t xml:space="preserve">: </w:t>
      </w:r>
      <w:r w:rsidR="000A1D5D" w:rsidRPr="00265EF8">
        <w:rPr>
          <w:rFonts w:ascii="Calibri" w:hAnsi="Calibri"/>
          <w:b/>
        </w:rPr>
        <w:t>ul. Doktora Piotra Kowalika 2,</w:t>
      </w:r>
      <w:r w:rsidR="000A1D5D" w:rsidRPr="00265EF8">
        <w:rPr>
          <w:rFonts w:ascii="Calibri" w:hAnsi="Calibri"/>
        </w:rPr>
        <w:t xml:space="preserve"> </w:t>
      </w:r>
      <w:r w:rsidR="000A1D5D" w:rsidRPr="00265EF8">
        <w:rPr>
          <w:rFonts w:ascii="Calibri" w:hAnsi="Calibri"/>
          <w:b/>
        </w:rPr>
        <w:t>pokój nr 12 (sekretariat)</w:t>
      </w:r>
    </w:p>
    <w:p w:rsidR="002674BA" w:rsidRDefault="004E2A41">
      <w:pPr>
        <w:pStyle w:val="justify"/>
      </w:pPr>
      <w:r>
        <w:t>13.2. Ofertę należy sporządzić w języku polskim Oferta wraz z załącznikami powinna być podpisana przez osobę/osoby do tego uprawnioną zgodnie z formą reprezentacji Wykonawcy. Oferty złożone po terminie nie będą rozpatrywane</w:t>
      </w:r>
    </w:p>
    <w:p w:rsidR="002674BA" w:rsidRDefault="002674BA">
      <w:pPr>
        <w:pStyle w:val="p"/>
      </w:pPr>
    </w:p>
    <w:p w:rsidR="002674BA" w:rsidRDefault="002674BA">
      <w:pPr>
        <w:pStyle w:val="p"/>
      </w:pPr>
    </w:p>
    <w:p w:rsidR="002674BA" w:rsidRDefault="004E2A41">
      <w:pPr>
        <w:pStyle w:val="p"/>
      </w:pPr>
      <w:r>
        <w:rPr>
          <w:rStyle w:val="bold"/>
        </w:rPr>
        <w:t>14. INFORMACJE DODATKOWE</w:t>
      </w:r>
    </w:p>
    <w:p w:rsidR="002674BA" w:rsidRDefault="002674BA">
      <w:pPr>
        <w:pStyle w:val="p"/>
      </w:pPr>
    </w:p>
    <w:p w:rsidR="002674BA" w:rsidRDefault="004E2A41">
      <w:pPr>
        <w:pStyle w:val="justify"/>
      </w:pPr>
      <w:r>
        <w:t>14.1. Zamawiający zastrzega sobie prawo sprawdzenia w toku badania i oceny ofert wiarygodności przedstawionych przez wykonawców dokumentów, oświadczeń, wykazów, danych i informacji</w:t>
      </w:r>
      <w:r w:rsidR="000A1D5D">
        <w:t>;</w:t>
      </w:r>
    </w:p>
    <w:p w:rsidR="002674BA" w:rsidRDefault="004E2A41">
      <w:pPr>
        <w:pStyle w:val="justify"/>
      </w:pPr>
      <w:r>
        <w:t xml:space="preserve">14.2. Do upływu terminu składania ofert Zamawiający zastrzega sobie prawo zmiany lub uzupełnienia treści niniejszego </w:t>
      </w:r>
      <w:r w:rsidR="000A1D5D">
        <w:t>zapytania ofertowego;</w:t>
      </w:r>
    </w:p>
    <w:p w:rsidR="000A1D5D" w:rsidRDefault="004E2A41">
      <w:pPr>
        <w:pStyle w:val="justify"/>
      </w:pPr>
      <w:r>
        <w:t>14.3. Zamawiający zastrzega sobie prawo do poprawienia w tekście przysłanej oferty oczywistych omyłek pisarskich lub rachunkowych</w:t>
      </w:r>
      <w:r w:rsidR="000A1D5D">
        <w:t>;</w:t>
      </w:r>
    </w:p>
    <w:p w:rsidR="002674BA" w:rsidRDefault="004E2A41">
      <w:pPr>
        <w:pStyle w:val="justify"/>
      </w:pPr>
      <w:r>
        <w:t>14.4. Zamawiający może odstąpić od podpisania umowy, jeżeli cena wybranej oferty przewyższa kwotę, którą zamierzał przeznaczyć na sfinansowanie zamówienia</w:t>
      </w:r>
      <w:r w:rsidR="000A1D5D">
        <w:t>;</w:t>
      </w:r>
    </w:p>
    <w:p w:rsidR="002674BA" w:rsidRDefault="004E2A41">
      <w:pPr>
        <w:pStyle w:val="justify"/>
      </w:pPr>
      <w:r>
        <w:t>14.5. Zamawiający zastrzega sobie prawo do unieważnienia postępowania o udzielenie zamówienia, w każdym momencie, bez podawania przyczyny</w:t>
      </w:r>
      <w:r w:rsidR="000A1D5D">
        <w:t>;</w:t>
      </w:r>
    </w:p>
    <w:p w:rsidR="002674BA" w:rsidRDefault="004E2A41">
      <w:pPr>
        <w:pStyle w:val="justify"/>
      </w:pPr>
      <w:r>
        <w:t>14.6. Niniejsze postępowanie nie jest prowadzone w oparciu o przepisy ustawy z dnia 29 stycznia 2004 roku Prawo zamówień publicznych</w:t>
      </w:r>
      <w:r w:rsidR="000A1D5D">
        <w:t>;</w:t>
      </w:r>
    </w:p>
    <w:p w:rsidR="002674BA" w:rsidRDefault="004E2A41">
      <w:pPr>
        <w:pStyle w:val="justify"/>
      </w:pPr>
      <w:r>
        <w:t>14.7. Zamawiający powiadomi niezwłocznie o wynikach rozstrzygnięcia przetargu wszystkich wykonawców, którzy ubiegali się o udzielenie zamówienia</w:t>
      </w:r>
      <w:r w:rsidR="000A1D5D">
        <w:t>;</w:t>
      </w:r>
    </w:p>
    <w:p w:rsidR="002674BA" w:rsidRDefault="002674BA">
      <w:pPr>
        <w:pStyle w:val="p"/>
      </w:pPr>
    </w:p>
    <w:p w:rsidR="003D653F" w:rsidRPr="003D653F" w:rsidRDefault="003D653F" w:rsidP="003D653F">
      <w:pPr>
        <w:pStyle w:val="Nagwek1"/>
        <w:shd w:val="clear" w:color="auto" w:fill="FFFFFF" w:themeFill="background1"/>
        <w:spacing w:before="0" w:after="0" w:line="240" w:lineRule="auto"/>
        <w:jc w:val="both"/>
        <w:rPr>
          <w:rFonts w:ascii="Arial Narrow" w:hAnsi="Arial Narrow"/>
          <w:bCs w:val="0"/>
          <w:iCs/>
          <w:sz w:val="28"/>
        </w:rPr>
      </w:pPr>
      <w:bookmarkStart w:id="1" w:name="_Toc137824144"/>
      <w:bookmarkStart w:id="2" w:name="_Toc154823360"/>
      <w:bookmarkStart w:id="3" w:name="_Toc161806961"/>
      <w:bookmarkStart w:id="4" w:name="_Toc191867090"/>
      <w:bookmarkStart w:id="5" w:name="_Toc192580984"/>
      <w:r w:rsidRPr="003D653F">
        <w:rPr>
          <w:rFonts w:ascii="Arial Narrow" w:hAnsi="Arial Narrow"/>
          <w:bCs w:val="0"/>
          <w:iCs/>
          <w:sz w:val="28"/>
        </w:rPr>
        <w:t xml:space="preserve">Istotne postanowienia umowy </w:t>
      </w:r>
      <w:bookmarkEnd w:id="1"/>
      <w:bookmarkEnd w:id="2"/>
      <w:bookmarkEnd w:id="3"/>
      <w:bookmarkEnd w:id="4"/>
      <w:bookmarkEnd w:id="5"/>
    </w:p>
    <w:p w:rsidR="003D653F" w:rsidRPr="00265EF8" w:rsidRDefault="003D653F" w:rsidP="003D653F">
      <w:pPr>
        <w:jc w:val="both"/>
        <w:rPr>
          <w:rFonts w:ascii="Calibri" w:hAnsi="Calibri"/>
        </w:rPr>
      </w:pPr>
    </w:p>
    <w:p w:rsidR="003D653F" w:rsidRPr="00265EF8" w:rsidRDefault="003D653F" w:rsidP="003D653F">
      <w:pPr>
        <w:widowControl w:val="0"/>
        <w:numPr>
          <w:ilvl w:val="0"/>
          <w:numId w:val="36"/>
        </w:numPr>
        <w:autoSpaceDE w:val="0"/>
        <w:autoSpaceDN w:val="0"/>
        <w:adjustRightInd w:val="0"/>
        <w:spacing w:after="0" w:line="240" w:lineRule="auto"/>
        <w:jc w:val="both"/>
        <w:rPr>
          <w:rFonts w:ascii="Calibri" w:eastAsia="SimSun" w:hAnsi="Calibri" w:cs="Arial"/>
          <w:color w:val="000000"/>
        </w:rPr>
      </w:pPr>
      <w:r w:rsidRPr="00265EF8">
        <w:rPr>
          <w:rFonts w:ascii="Calibri" w:eastAsia="SimSun" w:hAnsi="Calibri" w:cs="Arial"/>
          <w:color w:val="000000"/>
        </w:rPr>
        <w:lastRenderedPageBreak/>
        <w:t xml:space="preserve">Płatności rat kapitałowych i odsetek będą realizowane zgodnie z </w:t>
      </w:r>
      <w:r w:rsidR="00691A3E">
        <w:rPr>
          <w:rFonts w:ascii="Calibri" w:eastAsia="SimSun" w:hAnsi="Calibri" w:cs="Arial"/>
          <w:color w:val="000000"/>
        </w:rPr>
        <w:t xml:space="preserve">pkt. 2 </w:t>
      </w:r>
      <w:proofErr w:type="spellStart"/>
      <w:r w:rsidR="00691A3E">
        <w:rPr>
          <w:rFonts w:ascii="Calibri" w:eastAsia="SimSun" w:hAnsi="Calibri" w:cs="Arial"/>
          <w:color w:val="000000"/>
        </w:rPr>
        <w:t>ppkt</w:t>
      </w:r>
      <w:proofErr w:type="spellEnd"/>
      <w:r w:rsidR="00691A3E">
        <w:rPr>
          <w:rFonts w:ascii="Calibri" w:eastAsia="SimSun" w:hAnsi="Calibri" w:cs="Arial"/>
          <w:color w:val="000000"/>
        </w:rPr>
        <w:t>. 14 zapytania ofertowego,</w:t>
      </w:r>
      <w:r w:rsidRPr="00265EF8">
        <w:rPr>
          <w:rFonts w:ascii="Calibri" w:eastAsia="SimSun" w:hAnsi="Calibri" w:cs="Arial"/>
          <w:color w:val="000000"/>
        </w:rPr>
        <w:t xml:space="preserve"> z tym że jeżeli będzie to dzień świąteczny, niedziela lub dzień wolny od pracy, to płatność nastąpi w pierwszym dniu roboczym po tym dniu.</w:t>
      </w:r>
    </w:p>
    <w:p w:rsidR="003D653F" w:rsidRPr="00265EF8" w:rsidRDefault="003D653F" w:rsidP="003D653F">
      <w:pPr>
        <w:widowControl w:val="0"/>
        <w:numPr>
          <w:ilvl w:val="0"/>
          <w:numId w:val="36"/>
        </w:numPr>
        <w:autoSpaceDE w:val="0"/>
        <w:autoSpaceDN w:val="0"/>
        <w:adjustRightInd w:val="0"/>
        <w:spacing w:after="0" w:line="240" w:lineRule="auto"/>
        <w:jc w:val="both"/>
        <w:rPr>
          <w:rFonts w:ascii="Calibri" w:eastAsia="SimSun" w:hAnsi="Calibri" w:cs="Arial"/>
          <w:color w:val="000000"/>
        </w:rPr>
      </w:pPr>
      <w:r w:rsidRPr="00265EF8">
        <w:rPr>
          <w:rFonts w:ascii="Calibri" w:eastAsia="SimSun" w:hAnsi="Calibri" w:cs="Arial"/>
          <w:color w:val="000000"/>
        </w:rPr>
        <w:t>Zamawiającemu przysługuje prawo wcześniejszej spłaty kapitału w okresie obowiązywania umowy bez uprzedniego powiadomienia Wykonawcy.  Z tego tytułu Zamawiający nie ponosi żadnych kosztów. Powyższe spowoduje ponowne przeliczenie wielkości rat kapitałowych i odsetkowych oraz przesłanie przez bank nowego harmonogramu spłaty.</w:t>
      </w:r>
    </w:p>
    <w:p w:rsidR="00A424A6" w:rsidRDefault="003D653F" w:rsidP="00A424A6">
      <w:pPr>
        <w:pStyle w:val="justify"/>
        <w:ind w:left="720"/>
      </w:pPr>
      <w:r w:rsidRPr="00265EF8">
        <w:rPr>
          <w:rFonts w:ascii="Calibri" w:eastAsia="SimSun" w:hAnsi="Calibri" w:cs="Arial"/>
          <w:color w:val="000000"/>
        </w:rPr>
        <w:t>Zamawiający zastrzega sobie prawo wykorzystania mniejszej kwoty kredytu.</w:t>
      </w:r>
      <w:r w:rsidR="00A424A6">
        <w:rPr>
          <w:rFonts w:ascii="Calibri" w:eastAsia="SimSun" w:hAnsi="Calibri" w:cs="Arial"/>
          <w:color w:val="000000"/>
        </w:rPr>
        <w:t xml:space="preserve"> </w:t>
      </w:r>
      <w:r w:rsidR="00A424A6">
        <w:t>Możliwość wykorzystania kredytu w transzach.</w:t>
      </w:r>
      <w:r w:rsidR="00A424A6">
        <w:t xml:space="preserve"> </w:t>
      </w:r>
      <w:r w:rsidR="00A424A6">
        <w:t>Możliwość wykorzystania kredytu do dnia 31.12.2016 r.</w:t>
      </w:r>
      <w:r w:rsidR="00A424A6" w:rsidRPr="00CF71DB">
        <w:t xml:space="preserve"> </w:t>
      </w:r>
      <w:r w:rsidR="00A424A6">
        <w:t xml:space="preserve">Po upływie  powyższego terminu Zamawiający nie będzie mógł wykorzystać kredytu i nie poniesie z tego tytułu żadnych kosztów. </w:t>
      </w:r>
    </w:p>
    <w:p w:rsidR="003D653F" w:rsidRPr="00265EF8" w:rsidRDefault="003D653F" w:rsidP="003D653F">
      <w:pPr>
        <w:widowControl w:val="0"/>
        <w:numPr>
          <w:ilvl w:val="0"/>
          <w:numId w:val="36"/>
        </w:numPr>
        <w:autoSpaceDE w:val="0"/>
        <w:autoSpaceDN w:val="0"/>
        <w:adjustRightInd w:val="0"/>
        <w:spacing w:after="0" w:line="240" w:lineRule="auto"/>
        <w:jc w:val="both"/>
        <w:rPr>
          <w:rFonts w:ascii="Calibri" w:eastAsia="SimSun" w:hAnsi="Calibri" w:cs="Arial"/>
          <w:color w:val="000000"/>
        </w:rPr>
      </w:pPr>
      <w:r w:rsidRPr="00265EF8">
        <w:rPr>
          <w:rFonts w:ascii="Calibri" w:eastAsia="SimSun" w:hAnsi="Calibri" w:cs="Arial"/>
          <w:color w:val="000000"/>
        </w:rPr>
        <w:t>Wszelkiego rodzaju aneksy do umowy kredytowej sporządzane będą bez dodatkowych opłat</w:t>
      </w:r>
    </w:p>
    <w:p w:rsidR="003D653F" w:rsidRPr="00265EF8" w:rsidRDefault="003D653F" w:rsidP="003D653F">
      <w:pPr>
        <w:numPr>
          <w:ilvl w:val="0"/>
          <w:numId w:val="36"/>
        </w:numPr>
        <w:spacing w:after="0" w:line="240" w:lineRule="auto"/>
        <w:rPr>
          <w:rFonts w:ascii="Calibri" w:hAnsi="Calibri" w:cs="Arial"/>
        </w:rPr>
      </w:pPr>
      <w:r w:rsidRPr="00265EF8">
        <w:rPr>
          <w:rFonts w:ascii="Calibri" w:hAnsi="Calibri" w:cs="Arial"/>
        </w:rPr>
        <w:t xml:space="preserve">Uruchomienie kredytu nastąpi poprzez przelew na konto główne budżetu po uprzednim poinformowaniu przez gminę. </w:t>
      </w:r>
    </w:p>
    <w:p w:rsidR="003D653F" w:rsidRPr="00265EF8" w:rsidRDefault="003D653F" w:rsidP="003D653F">
      <w:pPr>
        <w:numPr>
          <w:ilvl w:val="0"/>
          <w:numId w:val="36"/>
        </w:numPr>
        <w:spacing w:after="0" w:line="240" w:lineRule="auto"/>
        <w:rPr>
          <w:rFonts w:ascii="Calibri" w:hAnsi="Calibri" w:cs="Arial"/>
        </w:rPr>
      </w:pPr>
      <w:r w:rsidRPr="00265EF8">
        <w:rPr>
          <w:rFonts w:ascii="Calibri" w:hAnsi="Calibri" w:cs="Arial"/>
        </w:rPr>
        <w:t>Zamawiającemu przysługuje możliwość wykorzystania w transzach.</w:t>
      </w:r>
    </w:p>
    <w:p w:rsidR="003D653F" w:rsidRDefault="003D653F" w:rsidP="003D653F">
      <w:pPr>
        <w:numPr>
          <w:ilvl w:val="0"/>
          <w:numId w:val="36"/>
        </w:numPr>
        <w:spacing w:after="0" w:line="240" w:lineRule="auto"/>
        <w:rPr>
          <w:rFonts w:ascii="Calibri" w:hAnsi="Calibri" w:cs="Arial"/>
        </w:rPr>
      </w:pPr>
      <w:r w:rsidRPr="00265EF8">
        <w:rPr>
          <w:rFonts w:ascii="Calibri" w:hAnsi="Calibri" w:cs="Arial"/>
        </w:rPr>
        <w:t>Bank będzie informował Zamawiającego pisemnie o wysokości odsetek przypadających w danym miesiącu spłaty.</w:t>
      </w:r>
    </w:p>
    <w:p w:rsidR="003D653F" w:rsidRPr="00430885" w:rsidRDefault="003D653F" w:rsidP="003D653F">
      <w:pPr>
        <w:numPr>
          <w:ilvl w:val="0"/>
          <w:numId w:val="36"/>
        </w:numPr>
        <w:spacing w:after="0" w:line="240" w:lineRule="auto"/>
        <w:rPr>
          <w:rFonts w:ascii="Calibri" w:hAnsi="Calibri" w:cs="Arial"/>
        </w:rPr>
      </w:pPr>
      <w:r>
        <w:rPr>
          <w:rFonts w:ascii="Calibri" w:hAnsi="Calibri" w:cs="Arial"/>
        </w:rPr>
        <w:t xml:space="preserve">Zamawiający nie będzie dokumentował  wykorzystanego kredytu nie wyraża zgody na dokumentowanie wykorzystanego kredytu właściwymi fakturami, zestawieniami, </w:t>
      </w:r>
      <w:r w:rsidRPr="00430885">
        <w:rPr>
          <w:rFonts w:ascii="Calibri" w:hAnsi="Calibri" w:cs="Arial"/>
        </w:rPr>
        <w:t xml:space="preserve">itp. </w:t>
      </w:r>
    </w:p>
    <w:p w:rsidR="002674BA" w:rsidRDefault="002674BA">
      <w:pPr>
        <w:pStyle w:val="p"/>
      </w:pPr>
    </w:p>
    <w:p w:rsidR="002674BA" w:rsidRDefault="002674BA">
      <w:pPr>
        <w:pStyle w:val="p"/>
      </w:pPr>
    </w:p>
    <w:p w:rsidR="002674BA" w:rsidRDefault="002674BA">
      <w:pPr>
        <w:pStyle w:val="p"/>
      </w:pPr>
    </w:p>
    <w:p w:rsidR="002674BA" w:rsidRDefault="004E2A41">
      <w:r>
        <w:rPr>
          <w:rStyle w:val="bold"/>
        </w:rPr>
        <w:t>15. ZAŁĄCZNIKI</w:t>
      </w:r>
    </w:p>
    <w:p w:rsidR="002674BA" w:rsidRDefault="002674BA">
      <w:pPr>
        <w:pStyle w:val="p"/>
      </w:pPr>
    </w:p>
    <w:p w:rsidR="002674BA" w:rsidRDefault="002674BA">
      <w:pPr>
        <w:pStyle w:val="p"/>
      </w:pPr>
    </w:p>
    <w:p w:rsidR="002674BA" w:rsidRDefault="004E2A41">
      <w:pPr>
        <w:numPr>
          <w:ilvl w:val="0"/>
          <w:numId w:val="21"/>
        </w:numPr>
      </w:pPr>
      <w:r>
        <w:t>Formularz oferty</w:t>
      </w:r>
    </w:p>
    <w:p w:rsidR="002674BA" w:rsidRDefault="004E2A41">
      <w:pPr>
        <w:pStyle w:val="right"/>
      </w:pPr>
      <w:r>
        <w:t>.....................................................</w:t>
      </w: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p w:rsidR="00691A3E" w:rsidRDefault="00691A3E">
      <w:pPr>
        <w:pStyle w:val="right"/>
      </w:pPr>
    </w:p>
    <w:tbl>
      <w:tblPr>
        <w:tblStyle w:val="standard"/>
        <w:tblW w:w="0" w:type="auto"/>
        <w:tblInd w:w="60" w:type="dxa"/>
        <w:tblLook w:val="04A0" w:firstRow="1" w:lastRow="0" w:firstColumn="1" w:lastColumn="0" w:noHBand="0" w:noVBand="1"/>
      </w:tblPr>
      <w:tblGrid>
        <w:gridCol w:w="4000"/>
      </w:tblGrid>
      <w:tr w:rsidR="00691A3E" w:rsidTr="00E00134">
        <w:trPr>
          <w:cnfStyle w:val="100000000000" w:firstRow="1" w:lastRow="0" w:firstColumn="0" w:lastColumn="0" w:oddVBand="0" w:evenVBand="0" w:oddHBand="0" w:evenHBand="0" w:firstRowFirstColumn="0" w:firstRowLastColumn="0" w:lastRowFirstColumn="0" w:lastRowLastColumn="0"/>
        </w:trPr>
        <w:tc>
          <w:tcPr>
            <w:tcW w:w="4000" w:type="dxa"/>
            <w:vAlign w:val="center"/>
          </w:tcPr>
          <w:p w:rsidR="00691A3E" w:rsidRDefault="00691A3E" w:rsidP="00E00134">
            <w:pPr>
              <w:pStyle w:val="p"/>
            </w:pPr>
          </w:p>
          <w:p w:rsidR="00691A3E" w:rsidRDefault="00691A3E" w:rsidP="00E00134">
            <w:pPr>
              <w:pStyle w:val="p"/>
            </w:pPr>
          </w:p>
          <w:p w:rsidR="00691A3E" w:rsidRDefault="00691A3E" w:rsidP="00E00134">
            <w:pPr>
              <w:pStyle w:val="tableCenter"/>
            </w:pPr>
            <w:r>
              <w:t>pieczęć wykonawcy</w:t>
            </w:r>
          </w:p>
        </w:tc>
      </w:tr>
    </w:tbl>
    <w:p w:rsidR="00691A3E" w:rsidRDefault="00691A3E" w:rsidP="00691A3E">
      <w:pPr>
        <w:pStyle w:val="p"/>
      </w:pPr>
    </w:p>
    <w:p w:rsidR="00691A3E" w:rsidRDefault="00691A3E" w:rsidP="00691A3E">
      <w:pPr>
        <w:pStyle w:val="center"/>
      </w:pPr>
      <w:r>
        <w:rPr>
          <w:rStyle w:val="bold"/>
        </w:rPr>
        <w:t>FORMULARZ OFERTOWY</w:t>
      </w:r>
    </w:p>
    <w:p w:rsidR="00691A3E" w:rsidRDefault="00691A3E" w:rsidP="00691A3E">
      <w:pPr>
        <w:pStyle w:val="p"/>
      </w:pPr>
    </w:p>
    <w:p w:rsidR="00691A3E" w:rsidRDefault="00691A3E" w:rsidP="00691A3E">
      <w:pPr>
        <w:pStyle w:val="p"/>
      </w:pPr>
    </w:p>
    <w:p w:rsidR="00691A3E" w:rsidRDefault="00691A3E" w:rsidP="00691A3E">
      <w:r>
        <w:rPr>
          <w:rStyle w:val="bold"/>
        </w:rPr>
        <w:t>Kredyt związany z deficytem budżetu</w:t>
      </w:r>
    </w:p>
    <w:p w:rsidR="00691A3E" w:rsidRDefault="00691A3E" w:rsidP="00691A3E">
      <w:r>
        <w:t>Zamawiający:</w:t>
      </w:r>
    </w:p>
    <w:p w:rsidR="00691A3E" w:rsidRDefault="00691A3E" w:rsidP="00691A3E">
      <w:r>
        <w:rPr>
          <w:rStyle w:val="bold"/>
        </w:rPr>
        <w:t>Miasto i Gmina Gołańcz</w:t>
      </w:r>
    </w:p>
    <w:p w:rsidR="00691A3E" w:rsidRDefault="00691A3E" w:rsidP="00691A3E">
      <w:pPr>
        <w:pStyle w:val="right"/>
      </w:pPr>
      <w:r>
        <w:t>......................................., .......................................</w:t>
      </w:r>
    </w:p>
    <w:p w:rsidR="00691A3E" w:rsidRDefault="00691A3E" w:rsidP="00691A3E">
      <w:pPr>
        <w:ind w:left="5040"/>
        <w:jc w:val="center"/>
      </w:pPr>
      <w:r>
        <w:t xml:space="preserve">miejsce </w:t>
      </w:r>
      <w:r>
        <w:tab/>
      </w:r>
      <w:r>
        <w:tab/>
        <w:t>dnia</w:t>
      </w:r>
    </w:p>
    <w:p w:rsidR="00691A3E" w:rsidRDefault="00691A3E" w:rsidP="00691A3E">
      <w:pPr>
        <w:pStyle w:val="p"/>
      </w:pPr>
    </w:p>
    <w:p w:rsidR="00691A3E" w:rsidRDefault="00691A3E" w:rsidP="00691A3E">
      <w:pPr>
        <w:pStyle w:val="p"/>
      </w:pPr>
    </w:p>
    <w:p w:rsidR="00691A3E" w:rsidRDefault="00691A3E" w:rsidP="00691A3E">
      <w:r>
        <w:rPr>
          <w:rStyle w:val="bold"/>
        </w:rPr>
        <w:t>Dane dotyczące wykonawcy:</w:t>
      </w:r>
    </w:p>
    <w:p w:rsidR="00691A3E" w:rsidRDefault="00691A3E" w:rsidP="00691A3E">
      <w:pPr>
        <w:ind w:left="720"/>
      </w:pPr>
      <w:r>
        <w:t>Nazwa</w:t>
      </w:r>
    </w:p>
    <w:p w:rsidR="00691A3E" w:rsidRDefault="00691A3E" w:rsidP="00691A3E">
      <w:pPr>
        <w:ind w:left="720"/>
      </w:pPr>
      <w:r>
        <w:t>............................................................................................................................................................</w:t>
      </w:r>
    </w:p>
    <w:p w:rsidR="00691A3E" w:rsidRDefault="00691A3E" w:rsidP="00691A3E">
      <w:pPr>
        <w:ind w:left="720"/>
      </w:pPr>
      <w:r>
        <w:t>Siedziba</w:t>
      </w:r>
    </w:p>
    <w:p w:rsidR="00691A3E" w:rsidRDefault="00691A3E" w:rsidP="00691A3E">
      <w:pPr>
        <w:ind w:left="720"/>
      </w:pPr>
      <w:r>
        <w:t>............................................................................................................................................................</w:t>
      </w:r>
    </w:p>
    <w:p w:rsidR="00691A3E" w:rsidRDefault="00691A3E" w:rsidP="00691A3E">
      <w:pPr>
        <w:ind w:left="720"/>
      </w:pPr>
      <w:r>
        <w:t>Nr tel.</w:t>
      </w:r>
    </w:p>
    <w:p w:rsidR="00691A3E" w:rsidRDefault="00691A3E" w:rsidP="00691A3E">
      <w:pPr>
        <w:ind w:left="720"/>
      </w:pPr>
      <w:r>
        <w:t>............................................................................................................................................................</w:t>
      </w:r>
    </w:p>
    <w:p w:rsidR="00691A3E" w:rsidRDefault="00691A3E" w:rsidP="00691A3E">
      <w:pPr>
        <w:ind w:left="720"/>
      </w:pPr>
      <w:r>
        <w:t>Nr faksu</w:t>
      </w:r>
    </w:p>
    <w:p w:rsidR="00691A3E" w:rsidRDefault="00691A3E" w:rsidP="00691A3E">
      <w:pPr>
        <w:ind w:left="720"/>
      </w:pPr>
      <w:r>
        <w:t>............................................................................................................................................................</w:t>
      </w:r>
    </w:p>
    <w:p w:rsidR="00691A3E" w:rsidRDefault="00691A3E" w:rsidP="00691A3E">
      <w:pPr>
        <w:ind w:left="720"/>
      </w:pPr>
      <w:r>
        <w:t>Adres e-mail........................................................................................................................................</w:t>
      </w:r>
    </w:p>
    <w:p w:rsidR="00691A3E" w:rsidRDefault="00691A3E" w:rsidP="00691A3E">
      <w:pPr>
        <w:ind w:left="720"/>
      </w:pPr>
      <w:r>
        <w:t>NIP..................................................   REGON....................................................................................</w:t>
      </w:r>
    </w:p>
    <w:p w:rsidR="00691A3E" w:rsidRDefault="00691A3E" w:rsidP="00691A3E">
      <w:r>
        <w:br w:type="page"/>
      </w:r>
    </w:p>
    <w:p w:rsidR="00691A3E" w:rsidRDefault="00691A3E" w:rsidP="00691A3E">
      <w:pPr>
        <w:pStyle w:val="justify"/>
      </w:pPr>
      <w:r>
        <w:lastRenderedPageBreak/>
        <w:t xml:space="preserve">W odpowiedzi na zapytanie ofertowe </w:t>
      </w:r>
      <w:r>
        <w:rPr>
          <w:rStyle w:val="bold"/>
        </w:rPr>
        <w:t xml:space="preserve">w imieniu wykonawcy oferuję wykonanie przedmiotowego zamówienia </w:t>
      </w:r>
      <w:r>
        <w:rPr>
          <w:b/>
          <w:u w:val="single"/>
        </w:rPr>
        <w:t>za następującą cenę:</w:t>
      </w:r>
    </w:p>
    <w:tbl>
      <w:tblPr>
        <w:tblStyle w:val="standard"/>
        <w:tblW w:w="0" w:type="auto"/>
        <w:tblInd w:w="60" w:type="dxa"/>
        <w:tblLook w:val="04A0" w:firstRow="1" w:lastRow="0" w:firstColumn="1" w:lastColumn="0" w:noHBand="0" w:noVBand="1"/>
      </w:tblPr>
      <w:tblGrid>
        <w:gridCol w:w="4253"/>
        <w:gridCol w:w="4122"/>
      </w:tblGrid>
      <w:tr w:rsidR="00691A3E" w:rsidTr="00E00134">
        <w:trPr>
          <w:cnfStyle w:val="100000000000" w:firstRow="1" w:lastRow="0" w:firstColumn="0" w:lastColumn="0" w:oddVBand="0" w:evenVBand="0" w:oddHBand="0" w:evenHBand="0" w:firstRowFirstColumn="0" w:firstRowLastColumn="0" w:lastRowFirstColumn="0" w:lastRowLastColumn="0"/>
        </w:trPr>
        <w:tc>
          <w:tcPr>
            <w:tcW w:w="4253" w:type="dxa"/>
            <w:vAlign w:val="center"/>
          </w:tcPr>
          <w:p w:rsidR="00691A3E" w:rsidRDefault="00691A3E" w:rsidP="00E00134">
            <w:pPr>
              <w:pStyle w:val="tableCenter"/>
            </w:pPr>
            <w:r>
              <w:rPr>
                <w:rStyle w:val="bold"/>
              </w:rPr>
              <w:t>Przedmiot zamówienia</w:t>
            </w:r>
          </w:p>
        </w:tc>
        <w:tc>
          <w:tcPr>
            <w:tcW w:w="4122" w:type="dxa"/>
            <w:vAlign w:val="center"/>
          </w:tcPr>
          <w:p w:rsidR="00691A3E" w:rsidRDefault="00691A3E" w:rsidP="00E00134">
            <w:pPr>
              <w:pStyle w:val="tableCenter"/>
            </w:pPr>
            <w:r>
              <w:rPr>
                <w:rStyle w:val="bold"/>
              </w:rPr>
              <w:t>Cena brutto (cyfrowo / słownie)</w:t>
            </w:r>
          </w:p>
        </w:tc>
      </w:tr>
      <w:tr w:rsidR="00691A3E" w:rsidTr="00E00134">
        <w:tc>
          <w:tcPr>
            <w:tcW w:w="4253" w:type="dxa"/>
            <w:vAlign w:val="center"/>
          </w:tcPr>
          <w:p w:rsidR="00691A3E" w:rsidRDefault="00691A3E" w:rsidP="00E00134">
            <w:pPr>
              <w:pStyle w:val="tableCenter"/>
            </w:pPr>
          </w:p>
        </w:tc>
        <w:tc>
          <w:tcPr>
            <w:tcW w:w="4122" w:type="dxa"/>
            <w:vAlign w:val="center"/>
          </w:tcPr>
          <w:p w:rsidR="00691A3E" w:rsidRDefault="00691A3E" w:rsidP="00E00134">
            <w:pPr>
              <w:pStyle w:val="tableCenter"/>
            </w:pPr>
          </w:p>
        </w:tc>
      </w:tr>
    </w:tbl>
    <w:p w:rsidR="00691A3E" w:rsidRDefault="00691A3E" w:rsidP="00691A3E">
      <w:pPr>
        <w:pStyle w:val="p"/>
      </w:pPr>
    </w:p>
    <w:p w:rsidR="00691A3E" w:rsidRDefault="00691A3E" w:rsidP="00691A3E">
      <w:pPr>
        <w:pStyle w:val="p"/>
      </w:pPr>
    </w:p>
    <w:p w:rsidR="00691A3E" w:rsidRDefault="00691A3E" w:rsidP="00691A3E">
      <w:r>
        <w:t>Załącznikami do niniejszej oferty są (wymienić):</w:t>
      </w:r>
    </w:p>
    <w:p w:rsidR="00691A3E" w:rsidRDefault="00691A3E" w:rsidP="00691A3E">
      <w:pPr>
        <w:ind w:left="720"/>
        <w:jc w:val="both"/>
      </w:pPr>
      <w:r>
        <w:t>1. ............................................................................................................................................................</w:t>
      </w:r>
    </w:p>
    <w:p w:rsidR="00691A3E" w:rsidRDefault="00691A3E" w:rsidP="00691A3E">
      <w:pPr>
        <w:ind w:left="720"/>
        <w:jc w:val="both"/>
      </w:pPr>
      <w:r>
        <w:t>2. ............................................................................................................................................................</w:t>
      </w:r>
    </w:p>
    <w:p w:rsidR="00691A3E" w:rsidRDefault="00691A3E" w:rsidP="00691A3E">
      <w:pPr>
        <w:ind w:left="720"/>
        <w:jc w:val="both"/>
      </w:pPr>
      <w:r>
        <w:t>3. ............................................................................................................................................................</w:t>
      </w:r>
    </w:p>
    <w:p w:rsidR="00691A3E" w:rsidRDefault="00691A3E" w:rsidP="00691A3E">
      <w:pPr>
        <w:ind w:left="720"/>
        <w:jc w:val="both"/>
      </w:pPr>
      <w:r>
        <w:t>4. ............................................................................................................................................................</w:t>
      </w:r>
    </w:p>
    <w:p w:rsidR="00691A3E" w:rsidRDefault="00691A3E" w:rsidP="00691A3E">
      <w:pPr>
        <w:ind w:left="720"/>
        <w:jc w:val="both"/>
      </w:pPr>
      <w:r>
        <w:t>5. ............................................................................................................................................................</w:t>
      </w:r>
    </w:p>
    <w:p w:rsidR="00691A3E" w:rsidRDefault="00691A3E" w:rsidP="00691A3E">
      <w:pPr>
        <w:ind w:left="720"/>
        <w:jc w:val="both"/>
      </w:pPr>
      <w:r>
        <w:t>6. ............................................................................................................................................................</w:t>
      </w:r>
    </w:p>
    <w:p w:rsidR="00691A3E" w:rsidRDefault="00691A3E" w:rsidP="00691A3E">
      <w:pPr>
        <w:ind w:left="720"/>
        <w:jc w:val="both"/>
      </w:pPr>
      <w:r>
        <w:t>7. ............................................................................................................................................................</w:t>
      </w:r>
    </w:p>
    <w:p w:rsidR="00691A3E" w:rsidRDefault="00691A3E" w:rsidP="00691A3E">
      <w:pPr>
        <w:ind w:left="720"/>
        <w:jc w:val="both"/>
      </w:pPr>
      <w:r>
        <w:t>8. ............................................................................................................................................................</w:t>
      </w:r>
    </w:p>
    <w:p w:rsidR="00691A3E" w:rsidRDefault="00691A3E" w:rsidP="00691A3E">
      <w:pPr>
        <w:ind w:left="720"/>
        <w:jc w:val="both"/>
      </w:pPr>
      <w:r>
        <w:t>9. ............................................................................................................................................................</w:t>
      </w:r>
    </w:p>
    <w:p w:rsidR="00691A3E" w:rsidRDefault="00691A3E" w:rsidP="00691A3E">
      <w:pPr>
        <w:ind w:left="720"/>
        <w:jc w:val="both"/>
      </w:pPr>
      <w:r>
        <w:t>10. ..........................................................................................................................................................</w:t>
      </w:r>
    </w:p>
    <w:p w:rsidR="00691A3E" w:rsidRDefault="00691A3E" w:rsidP="00691A3E">
      <w:pPr>
        <w:pStyle w:val="p"/>
      </w:pPr>
    </w:p>
    <w:p w:rsidR="00691A3E" w:rsidRDefault="00691A3E" w:rsidP="00691A3E">
      <w:pPr>
        <w:pStyle w:val="p"/>
      </w:pPr>
    </w:p>
    <w:p w:rsidR="00691A3E" w:rsidRDefault="00691A3E" w:rsidP="00691A3E">
      <w:pPr>
        <w:pStyle w:val="right"/>
      </w:pPr>
      <w:r>
        <w:t>....................................................................................................................</w:t>
      </w:r>
    </w:p>
    <w:p w:rsidR="00691A3E" w:rsidRDefault="00691A3E" w:rsidP="00691A3E">
      <w:pPr>
        <w:pStyle w:val="right"/>
      </w:pPr>
      <w:r>
        <w:rPr>
          <w:sz w:val="18"/>
          <w:szCs w:val="18"/>
        </w:rPr>
        <w:t>podpis i pieczęć osoby uprawnionej do składania oświadczeń woli w imieniu wykonawcy</w:t>
      </w:r>
    </w:p>
    <w:p w:rsidR="00691A3E" w:rsidRDefault="00691A3E">
      <w:pPr>
        <w:pStyle w:val="right"/>
      </w:pPr>
    </w:p>
    <w:sectPr w:rsidR="00691A3E">
      <w:footerReference w:type="default" r:id="rId10"/>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91D" w:rsidRDefault="0071791D" w:rsidP="00691A3E">
      <w:pPr>
        <w:spacing w:after="0" w:line="240" w:lineRule="auto"/>
      </w:pPr>
      <w:r>
        <w:separator/>
      </w:r>
    </w:p>
  </w:endnote>
  <w:endnote w:type="continuationSeparator" w:id="0">
    <w:p w:rsidR="0071791D" w:rsidRDefault="0071791D" w:rsidP="0069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Univers-PL">
    <w:altName w:val="Courier New"/>
    <w:charset w:val="8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A3E" w:rsidRPr="00691A3E" w:rsidRDefault="00691A3E" w:rsidP="00691A3E">
    <w:pPr>
      <w:pStyle w:val="Stopka"/>
      <w:pBdr>
        <w:top w:val="single" w:sz="4" w:space="1" w:color="D9D9D9"/>
      </w:pBdr>
      <w:jc w:val="right"/>
      <w:rPr>
        <w:sz w:val="18"/>
      </w:rPr>
    </w:pPr>
    <w:r w:rsidRPr="00691A3E">
      <w:rPr>
        <w:sz w:val="18"/>
      </w:rPr>
      <w:fldChar w:fldCharType="begin"/>
    </w:r>
    <w:r w:rsidRPr="00691A3E">
      <w:rPr>
        <w:sz w:val="18"/>
      </w:rPr>
      <w:instrText>PAGE   \* MERGEFORMAT</w:instrText>
    </w:r>
    <w:r w:rsidRPr="00691A3E">
      <w:rPr>
        <w:sz w:val="18"/>
      </w:rPr>
      <w:fldChar w:fldCharType="separate"/>
    </w:r>
    <w:r w:rsidR="00937F64">
      <w:rPr>
        <w:noProof/>
        <w:sz w:val="18"/>
      </w:rPr>
      <w:t>8</w:t>
    </w:r>
    <w:r w:rsidRPr="00691A3E">
      <w:rPr>
        <w:sz w:val="18"/>
      </w:rPr>
      <w:fldChar w:fldCharType="end"/>
    </w:r>
    <w:r w:rsidRPr="00691A3E">
      <w:rPr>
        <w:sz w:val="18"/>
      </w:rPr>
      <w:t xml:space="preserve"> | </w:t>
    </w:r>
    <w:r w:rsidRPr="00691A3E">
      <w:rPr>
        <w:color w:val="7F7F7F"/>
        <w:spacing w:val="60"/>
        <w:sz w:val="18"/>
      </w:rPr>
      <w:t>Strona</w:t>
    </w:r>
  </w:p>
  <w:p w:rsidR="00691A3E" w:rsidRDefault="00691A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91D" w:rsidRDefault="0071791D" w:rsidP="00691A3E">
      <w:pPr>
        <w:spacing w:after="0" w:line="240" w:lineRule="auto"/>
      </w:pPr>
      <w:r>
        <w:separator/>
      </w:r>
    </w:p>
  </w:footnote>
  <w:footnote w:type="continuationSeparator" w:id="0">
    <w:p w:rsidR="0071791D" w:rsidRDefault="0071791D" w:rsidP="00691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725B"/>
    <w:multiLevelType w:val="hybridMultilevel"/>
    <w:tmpl w:val="FE0C9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30E26"/>
    <w:multiLevelType w:val="multilevel"/>
    <w:tmpl w:val="1AB62E7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D71E8"/>
    <w:multiLevelType w:val="multilevel"/>
    <w:tmpl w:val="3A2C060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0A2437"/>
    <w:multiLevelType w:val="multilevel"/>
    <w:tmpl w:val="021A000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1E5974"/>
    <w:multiLevelType w:val="multilevel"/>
    <w:tmpl w:val="FD5EC18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1811EF"/>
    <w:multiLevelType w:val="multilevel"/>
    <w:tmpl w:val="70EEEF1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BE0222"/>
    <w:multiLevelType w:val="multilevel"/>
    <w:tmpl w:val="079A00D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5360DA"/>
    <w:multiLevelType w:val="hybridMultilevel"/>
    <w:tmpl w:val="470E3A9A"/>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238F9"/>
    <w:multiLevelType w:val="multilevel"/>
    <w:tmpl w:val="F3A6A97A"/>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BD58C5"/>
    <w:multiLevelType w:val="hybridMultilevel"/>
    <w:tmpl w:val="672A0F7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07B4187"/>
    <w:multiLevelType w:val="multilevel"/>
    <w:tmpl w:val="10724B7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06352F"/>
    <w:multiLevelType w:val="multilevel"/>
    <w:tmpl w:val="363E325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2C6F34"/>
    <w:multiLevelType w:val="multilevel"/>
    <w:tmpl w:val="B6B01640"/>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B55D05"/>
    <w:multiLevelType w:val="multilevel"/>
    <w:tmpl w:val="94180622"/>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82762"/>
    <w:multiLevelType w:val="multilevel"/>
    <w:tmpl w:val="481A63A6"/>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737458"/>
    <w:multiLevelType w:val="multilevel"/>
    <w:tmpl w:val="63ECEEF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9E517B"/>
    <w:multiLevelType w:val="multilevel"/>
    <w:tmpl w:val="4C78EBD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912A39"/>
    <w:multiLevelType w:val="hybridMultilevel"/>
    <w:tmpl w:val="9B42BD06"/>
    <w:lvl w:ilvl="0" w:tplc="054C9B60">
      <w:start w:val="1"/>
      <w:numFmt w:val="decimal"/>
      <w:lvlText w:val="Rozdział %1."/>
      <w:lvlJc w:val="left"/>
      <w:pPr>
        <w:tabs>
          <w:tab w:val="num" w:pos="360"/>
        </w:tabs>
        <w:ind w:left="360" w:hanging="360"/>
      </w:pPr>
      <w:rPr>
        <w:rFonts w:ascii="Times New Roman" w:hAnsi="Times New Roman" w:hint="default"/>
        <w:b/>
        <w:i/>
        <w:sz w:val="28"/>
      </w:rPr>
    </w:lvl>
    <w:lvl w:ilvl="1" w:tplc="367695EC">
      <w:start w:val="8"/>
      <w:numFmt w:val="decimal"/>
      <w:lvlText w:val="%2)"/>
      <w:lvlJc w:val="left"/>
      <w:pPr>
        <w:tabs>
          <w:tab w:val="num" w:pos="360"/>
        </w:tabs>
        <w:ind w:left="360" w:hanging="360"/>
      </w:pPr>
      <w:rPr>
        <w:rFonts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80E76CA"/>
    <w:multiLevelType w:val="multilevel"/>
    <w:tmpl w:val="FF806DD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EE27388"/>
    <w:multiLevelType w:val="multilevel"/>
    <w:tmpl w:val="F9E0A2A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1C4003C"/>
    <w:multiLevelType w:val="hybridMultilevel"/>
    <w:tmpl w:val="47088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27" w15:restartNumberingAfterBreak="0">
    <w:nsid w:val="56AA04BE"/>
    <w:multiLevelType w:val="multilevel"/>
    <w:tmpl w:val="319207A6"/>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535084"/>
    <w:multiLevelType w:val="multilevel"/>
    <w:tmpl w:val="3C60A23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887B7B"/>
    <w:multiLevelType w:val="multilevel"/>
    <w:tmpl w:val="D4C2952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987B83"/>
    <w:multiLevelType w:val="hybridMultilevel"/>
    <w:tmpl w:val="66FA0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E50782"/>
    <w:multiLevelType w:val="multilevel"/>
    <w:tmpl w:val="486A5AB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822ACC"/>
    <w:multiLevelType w:val="multilevel"/>
    <w:tmpl w:val="4134ED52"/>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E865AB"/>
    <w:multiLevelType w:val="multilevel"/>
    <w:tmpl w:val="1EA2B736"/>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1AE01AC"/>
    <w:multiLevelType w:val="multilevel"/>
    <w:tmpl w:val="96E08FA8"/>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4"/>
  </w:num>
  <w:num w:numId="3">
    <w:abstractNumId w:val="22"/>
  </w:num>
  <w:num w:numId="4">
    <w:abstractNumId w:val="36"/>
  </w:num>
  <w:num w:numId="5">
    <w:abstractNumId w:val="28"/>
  </w:num>
  <w:num w:numId="6">
    <w:abstractNumId w:val="30"/>
  </w:num>
  <w:num w:numId="7">
    <w:abstractNumId w:val="11"/>
  </w:num>
  <w:num w:numId="8">
    <w:abstractNumId w:val="15"/>
  </w:num>
  <w:num w:numId="9">
    <w:abstractNumId w:val="3"/>
  </w:num>
  <w:num w:numId="10">
    <w:abstractNumId w:val="4"/>
  </w:num>
  <w:num w:numId="11">
    <w:abstractNumId w:val="18"/>
  </w:num>
  <w:num w:numId="12">
    <w:abstractNumId w:val="12"/>
  </w:num>
  <w:num w:numId="13">
    <w:abstractNumId w:val="23"/>
  </w:num>
  <w:num w:numId="14">
    <w:abstractNumId w:val="21"/>
  </w:num>
  <w:num w:numId="15">
    <w:abstractNumId w:val="16"/>
  </w:num>
  <w:num w:numId="16">
    <w:abstractNumId w:val="19"/>
  </w:num>
  <w:num w:numId="17">
    <w:abstractNumId w:val="2"/>
  </w:num>
  <w:num w:numId="18">
    <w:abstractNumId w:val="31"/>
  </w:num>
  <w:num w:numId="19">
    <w:abstractNumId w:val="9"/>
  </w:num>
  <w:num w:numId="20">
    <w:abstractNumId w:val="13"/>
  </w:num>
  <w:num w:numId="21">
    <w:abstractNumId w:val="1"/>
  </w:num>
  <w:num w:numId="22">
    <w:abstractNumId w:val="34"/>
  </w:num>
  <w:num w:numId="23">
    <w:abstractNumId w:val="7"/>
  </w:num>
  <w:num w:numId="24">
    <w:abstractNumId w:val="17"/>
  </w:num>
  <w:num w:numId="25">
    <w:abstractNumId w:val="14"/>
  </w:num>
  <w:num w:numId="26">
    <w:abstractNumId w:val="37"/>
  </w:num>
  <w:num w:numId="27">
    <w:abstractNumId w:val="33"/>
  </w:num>
  <w:num w:numId="28">
    <w:abstractNumId w:val="6"/>
  </w:num>
  <w:num w:numId="29">
    <w:abstractNumId w:val="27"/>
  </w:num>
  <w:num w:numId="30">
    <w:abstractNumId w:val="35"/>
  </w:num>
  <w:num w:numId="31">
    <w:abstractNumId w:val="5"/>
  </w:num>
  <w:num w:numId="32">
    <w:abstractNumId w:val="25"/>
  </w:num>
  <w:num w:numId="33">
    <w:abstractNumId w:val="0"/>
  </w:num>
  <w:num w:numId="34">
    <w:abstractNumId w:val="26"/>
  </w:num>
  <w:num w:numId="35">
    <w:abstractNumId w:val="20"/>
  </w:num>
  <w:num w:numId="36">
    <w:abstractNumId w:val="8"/>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BA"/>
    <w:rsid w:val="000A1D5D"/>
    <w:rsid w:val="001806D7"/>
    <w:rsid w:val="002674BA"/>
    <w:rsid w:val="002C18FA"/>
    <w:rsid w:val="002C40C2"/>
    <w:rsid w:val="003C1A52"/>
    <w:rsid w:val="003D4394"/>
    <w:rsid w:val="003D653F"/>
    <w:rsid w:val="004E2A41"/>
    <w:rsid w:val="00542197"/>
    <w:rsid w:val="00636882"/>
    <w:rsid w:val="00691A3E"/>
    <w:rsid w:val="00703654"/>
    <w:rsid w:val="0071791D"/>
    <w:rsid w:val="00937F64"/>
    <w:rsid w:val="009C24BE"/>
    <w:rsid w:val="00A424A6"/>
    <w:rsid w:val="00AA5506"/>
    <w:rsid w:val="00C9366E"/>
    <w:rsid w:val="00CF7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EF22FBB-34FC-47A7-8B10-AF06DB76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D653F"/>
    <w:pPr>
      <w:keepNext/>
      <w:spacing w:before="240" w:after="60"/>
      <w:outlineLvl w:val="0"/>
    </w:pPr>
    <w:rPr>
      <w:rFonts w:asciiTheme="majorHAnsi" w:eastAsiaTheme="majorEastAsia" w:hAnsiTheme="majorHAnsi" w:cstheme="majorBidi"/>
      <w:b/>
      <w:bCs/>
      <w:kern w:val="32"/>
      <w:sz w:val="32"/>
      <w:szCs w:val="32"/>
    </w:rPr>
  </w:style>
  <w:style w:type="paragraph" w:styleId="Nagwek9">
    <w:name w:val="heading 9"/>
    <w:basedOn w:val="Normalny"/>
    <w:link w:val="Nagwek9Znak"/>
    <w:qFormat/>
    <w:rsid w:val="000A1D5D"/>
    <w:pPr>
      <w:keepNext/>
      <w:spacing w:after="0" w:line="240" w:lineRule="auto"/>
      <w:jc w:val="right"/>
      <w:outlineLvl w:val="8"/>
    </w:pPr>
    <w:rPr>
      <w:rFonts w:ascii="Times New Roman" w:eastAsia="Times New Roman" w:hAnsi="Times New Roman" w:cs="Times New Roman"/>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pPr>
      <w:spacing w:after="0"/>
    </w:pPr>
  </w:style>
  <w:style w:type="paragraph" w:customStyle="1" w:styleId="center">
    <w:name w:val="center"/>
    <w:pPr>
      <w:spacing w:after="0"/>
      <w:jc w:val="center"/>
    </w:pPr>
  </w:style>
  <w:style w:type="paragraph" w:customStyle="1" w:styleId="tableCenter">
    <w:name w:val="tableCenter"/>
    <w:pPr>
      <w:spacing w:after="0"/>
      <w:jc w:val="center"/>
    </w:pPr>
  </w:style>
  <w:style w:type="paragraph" w:customStyle="1" w:styleId="right">
    <w:name w:val="right"/>
    <w:pPr>
      <w:spacing w:after="0"/>
      <w:jc w:val="right"/>
    </w:pPr>
  </w:style>
  <w:style w:type="paragraph" w:customStyle="1" w:styleId="justify">
    <w:name w:val="justify"/>
    <w:pPr>
      <w:spacing w:after="0"/>
      <w:jc w:val="both"/>
    </w:pPr>
  </w:style>
  <w:style w:type="character" w:customStyle="1" w:styleId="bold">
    <w:name w:val="bold"/>
    <w:rPr>
      <w:b/>
    </w:rPr>
  </w:style>
  <w:style w:type="table" w:customStyle="1" w:styleId="standard">
    <w:name w:val="standard"/>
    <w:uiPriority w:val="9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customStyle="1" w:styleId="Nagwek9Znak">
    <w:name w:val="Nagłówek 9 Znak"/>
    <w:basedOn w:val="Domylnaczcionkaakapitu"/>
    <w:link w:val="Nagwek9"/>
    <w:rsid w:val="000A1D5D"/>
    <w:rPr>
      <w:rFonts w:ascii="Times New Roman" w:eastAsia="Times New Roman" w:hAnsi="Times New Roman" w:cs="Times New Roman"/>
      <w:bCs/>
      <w:i/>
      <w:iCs/>
      <w:sz w:val="20"/>
      <w:szCs w:val="20"/>
    </w:rPr>
  </w:style>
  <w:style w:type="paragraph" w:customStyle="1" w:styleId="pkt">
    <w:name w:val="pkt"/>
    <w:basedOn w:val="Normalny"/>
    <w:rsid w:val="000A1D5D"/>
    <w:pPr>
      <w:autoSpaceDE w:val="0"/>
      <w:autoSpaceDN w:val="0"/>
      <w:spacing w:before="60" w:after="60" w:line="360" w:lineRule="auto"/>
      <w:ind w:left="851" w:hanging="295"/>
      <w:jc w:val="both"/>
    </w:pPr>
    <w:rPr>
      <w:rFonts w:ascii="Univers-PL" w:eastAsia="Times New Roman" w:hAnsi="Univers-PL" w:cs="Times New Roman"/>
      <w:sz w:val="19"/>
      <w:szCs w:val="19"/>
    </w:rPr>
  </w:style>
  <w:style w:type="character" w:styleId="Hipercze">
    <w:name w:val="Hyperlink"/>
    <w:basedOn w:val="Domylnaczcionkaakapitu"/>
    <w:rsid w:val="000A1D5D"/>
    <w:rPr>
      <w:color w:val="0000FF"/>
      <w:u w:val="single"/>
    </w:rPr>
  </w:style>
  <w:style w:type="character" w:customStyle="1" w:styleId="Nagwek1Znak">
    <w:name w:val="Nagłówek 1 Znak"/>
    <w:basedOn w:val="Domylnaczcionkaakapitu"/>
    <w:link w:val="Nagwek1"/>
    <w:uiPriority w:val="9"/>
    <w:rsid w:val="003D653F"/>
    <w:rPr>
      <w:rFonts w:asciiTheme="majorHAnsi" w:eastAsiaTheme="majorEastAsia" w:hAnsiTheme="majorHAnsi" w:cstheme="majorBidi"/>
      <w:b/>
      <w:bCs/>
      <w:kern w:val="32"/>
      <w:sz w:val="32"/>
      <w:szCs w:val="32"/>
    </w:rPr>
  </w:style>
  <w:style w:type="paragraph" w:styleId="Nagwek">
    <w:name w:val="header"/>
    <w:basedOn w:val="Normalny"/>
    <w:link w:val="NagwekZnak"/>
    <w:uiPriority w:val="99"/>
    <w:unhideWhenUsed/>
    <w:rsid w:val="00691A3E"/>
    <w:pPr>
      <w:tabs>
        <w:tab w:val="center" w:pos="4536"/>
        <w:tab w:val="right" w:pos="9072"/>
      </w:tabs>
    </w:pPr>
  </w:style>
  <w:style w:type="character" w:customStyle="1" w:styleId="NagwekZnak">
    <w:name w:val="Nagłówek Znak"/>
    <w:basedOn w:val="Domylnaczcionkaakapitu"/>
    <w:link w:val="Nagwek"/>
    <w:uiPriority w:val="99"/>
    <w:rsid w:val="00691A3E"/>
  </w:style>
  <w:style w:type="paragraph" w:styleId="Stopka">
    <w:name w:val="footer"/>
    <w:basedOn w:val="Normalny"/>
    <w:link w:val="StopkaZnak"/>
    <w:uiPriority w:val="99"/>
    <w:unhideWhenUsed/>
    <w:rsid w:val="00691A3E"/>
    <w:pPr>
      <w:tabs>
        <w:tab w:val="center" w:pos="4536"/>
        <w:tab w:val="right" w:pos="9072"/>
      </w:tabs>
    </w:pPr>
  </w:style>
  <w:style w:type="character" w:customStyle="1" w:styleId="StopkaZnak">
    <w:name w:val="Stopka Znak"/>
    <w:basedOn w:val="Domylnaczcionkaakapitu"/>
    <w:link w:val="Stopka"/>
    <w:uiPriority w:val="99"/>
    <w:rsid w:val="00691A3E"/>
  </w:style>
  <w:style w:type="paragraph" w:styleId="Tekstdymka">
    <w:name w:val="Balloon Text"/>
    <w:basedOn w:val="Normalny"/>
    <w:link w:val="TekstdymkaZnak"/>
    <w:uiPriority w:val="99"/>
    <w:semiHidden/>
    <w:unhideWhenUsed/>
    <w:rsid w:val="00AA55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5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rbnik@golancz.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linska@golan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1915</Words>
  <Characters>11494</Characters>
  <Application>Microsoft Office Word</Application>
  <DocSecurity>0</DocSecurity>
  <Lines>95</Lines>
  <Paragraphs>26</Paragraphs>
  <ScaleCrop>false</ScaleCrop>
  <HeadingPairs>
    <vt:vector size="6" baseType="variant">
      <vt:variant>
        <vt:lpstr>Tytuł</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Bielecki</dc:creator>
  <cp:keywords/>
  <dc:description/>
  <cp:lastModifiedBy>Edyta Konieczna</cp:lastModifiedBy>
  <cp:revision>12</cp:revision>
  <cp:lastPrinted>2016-11-22T13:15:00Z</cp:lastPrinted>
  <dcterms:created xsi:type="dcterms:W3CDTF">2016-11-18T10:25:00Z</dcterms:created>
  <dcterms:modified xsi:type="dcterms:W3CDTF">2016-11-22T13:28:00Z</dcterms:modified>
  <cp:category/>
</cp:coreProperties>
</file>