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D3" w:rsidRDefault="00DC27D3" w:rsidP="00DC27D3">
      <w:pPr>
        <w:spacing w:after="0" w:line="240" w:lineRule="auto"/>
        <w:ind w:left="5245"/>
        <w:rPr>
          <w:rFonts w:ascii="Arial" w:hAnsi="Arial" w:cs="Arial"/>
          <w:b/>
          <w:sz w:val="20"/>
          <w:szCs w:val="20"/>
        </w:rPr>
      </w:pPr>
      <w:r w:rsidRPr="00046597">
        <w:rPr>
          <w:rFonts w:ascii="Arial" w:hAnsi="Arial" w:cs="Arial"/>
          <w:b/>
          <w:sz w:val="20"/>
          <w:szCs w:val="20"/>
        </w:rPr>
        <w:t>Załącznik</w:t>
      </w:r>
      <w:r>
        <w:rPr>
          <w:rFonts w:ascii="Arial" w:hAnsi="Arial" w:cs="Arial"/>
          <w:b/>
          <w:sz w:val="20"/>
          <w:szCs w:val="20"/>
        </w:rPr>
        <w:t xml:space="preserve"> nr 2</w:t>
      </w:r>
    </w:p>
    <w:p w:rsidR="00DC27D3" w:rsidRDefault="00DC27D3" w:rsidP="00DC27D3">
      <w:pPr>
        <w:spacing w:after="0" w:line="240" w:lineRule="auto"/>
        <w:ind w:left="5245"/>
        <w:rPr>
          <w:rFonts w:ascii="Arial" w:hAnsi="Arial" w:cs="Arial"/>
          <w:b/>
          <w:sz w:val="20"/>
          <w:szCs w:val="20"/>
        </w:rPr>
      </w:pPr>
      <w:r w:rsidRPr="00046597">
        <w:rPr>
          <w:rFonts w:ascii="Arial" w:hAnsi="Arial" w:cs="Arial"/>
          <w:b/>
          <w:sz w:val="20"/>
          <w:szCs w:val="20"/>
        </w:rPr>
        <w:t xml:space="preserve">do Lokalnego Programu Rewitalizacji </w:t>
      </w:r>
    </w:p>
    <w:p w:rsidR="00DC27D3" w:rsidRPr="00046597" w:rsidRDefault="00DC27D3" w:rsidP="00DC27D3">
      <w:pPr>
        <w:spacing w:after="0" w:line="240" w:lineRule="auto"/>
        <w:ind w:left="5245"/>
        <w:rPr>
          <w:rFonts w:ascii="Arial" w:hAnsi="Arial" w:cs="Arial"/>
          <w:b/>
          <w:sz w:val="20"/>
          <w:szCs w:val="20"/>
        </w:rPr>
      </w:pPr>
      <w:r w:rsidRPr="00046597">
        <w:rPr>
          <w:rFonts w:ascii="Arial" w:hAnsi="Arial" w:cs="Arial"/>
          <w:b/>
          <w:sz w:val="20"/>
          <w:szCs w:val="20"/>
        </w:rPr>
        <w:t>Gniewkowa na lata 2009-2015</w:t>
      </w:r>
    </w:p>
    <w:p w:rsidR="00DC27D3" w:rsidRDefault="00DC27D3" w:rsidP="00DC27D3">
      <w:pPr>
        <w:spacing w:after="0" w:line="360" w:lineRule="auto"/>
        <w:rPr>
          <w:rFonts w:ascii="Arial" w:hAnsi="Arial" w:cs="Arial"/>
          <w:b/>
          <w:sz w:val="56"/>
          <w:szCs w:val="56"/>
        </w:rPr>
      </w:pPr>
    </w:p>
    <w:p w:rsidR="00DC27D3" w:rsidRDefault="00DC27D3" w:rsidP="00DC27D3">
      <w:pPr>
        <w:spacing w:after="0" w:line="360" w:lineRule="auto"/>
        <w:rPr>
          <w:rFonts w:ascii="Arial" w:hAnsi="Arial" w:cs="Arial"/>
          <w:b/>
          <w:sz w:val="56"/>
          <w:szCs w:val="56"/>
        </w:rPr>
      </w:pPr>
    </w:p>
    <w:p w:rsidR="00DC27D3" w:rsidRDefault="00DC27D3" w:rsidP="00DC27D3">
      <w:pPr>
        <w:spacing w:after="0" w:line="360" w:lineRule="auto"/>
        <w:rPr>
          <w:rFonts w:ascii="Arial" w:hAnsi="Arial" w:cs="Arial"/>
          <w:b/>
          <w:sz w:val="56"/>
          <w:szCs w:val="56"/>
        </w:rPr>
      </w:pPr>
    </w:p>
    <w:p w:rsidR="00DC27D3" w:rsidRDefault="00DC27D3" w:rsidP="00DC27D3">
      <w:pPr>
        <w:spacing w:after="0" w:line="360" w:lineRule="auto"/>
        <w:jc w:val="center"/>
        <w:rPr>
          <w:rFonts w:ascii="Arial" w:hAnsi="Arial" w:cs="Arial"/>
          <w:b/>
          <w:sz w:val="56"/>
          <w:szCs w:val="56"/>
        </w:rPr>
      </w:pPr>
    </w:p>
    <w:p w:rsidR="00DC27D3" w:rsidRDefault="00DC27D3" w:rsidP="00DC27D3">
      <w:pPr>
        <w:spacing w:after="0" w:line="360" w:lineRule="auto"/>
        <w:jc w:val="center"/>
        <w:rPr>
          <w:rFonts w:ascii="Arial" w:hAnsi="Arial" w:cs="Arial"/>
          <w:b/>
          <w:sz w:val="56"/>
          <w:szCs w:val="56"/>
        </w:rPr>
      </w:pPr>
    </w:p>
    <w:p w:rsidR="00DC27D3" w:rsidRDefault="00DC27D3" w:rsidP="00DC27D3">
      <w:pPr>
        <w:spacing w:after="0" w:line="360" w:lineRule="auto"/>
        <w:jc w:val="center"/>
        <w:rPr>
          <w:rFonts w:ascii="Arial" w:hAnsi="Arial" w:cs="Arial"/>
          <w:b/>
          <w:sz w:val="56"/>
          <w:szCs w:val="56"/>
        </w:rPr>
      </w:pPr>
      <w:r>
        <w:rPr>
          <w:rFonts w:ascii="Arial" w:hAnsi="Arial" w:cs="Arial"/>
          <w:b/>
          <w:sz w:val="56"/>
          <w:szCs w:val="56"/>
        </w:rPr>
        <w:t xml:space="preserve">Raport </w:t>
      </w:r>
    </w:p>
    <w:p w:rsidR="00DC27D3" w:rsidRDefault="00DC27D3" w:rsidP="00DC27D3">
      <w:pPr>
        <w:spacing w:after="0" w:line="360" w:lineRule="auto"/>
        <w:jc w:val="center"/>
        <w:rPr>
          <w:rFonts w:ascii="Arial" w:hAnsi="Arial" w:cs="Arial"/>
          <w:b/>
          <w:sz w:val="56"/>
          <w:szCs w:val="56"/>
        </w:rPr>
      </w:pPr>
      <w:r>
        <w:rPr>
          <w:rFonts w:ascii="Arial" w:hAnsi="Arial" w:cs="Arial"/>
          <w:b/>
          <w:sz w:val="56"/>
          <w:szCs w:val="56"/>
        </w:rPr>
        <w:t>z konsultacji społecznych</w:t>
      </w:r>
    </w:p>
    <w:p w:rsidR="00DC27D3" w:rsidRPr="00DD3640" w:rsidRDefault="00DC27D3" w:rsidP="00DC27D3">
      <w:pPr>
        <w:spacing w:after="0" w:line="360" w:lineRule="auto"/>
        <w:jc w:val="center"/>
        <w:rPr>
          <w:rFonts w:ascii="Arial" w:hAnsi="Arial" w:cs="Arial"/>
          <w:b/>
        </w:rPr>
      </w:pPr>
      <w:r>
        <w:rPr>
          <w:rFonts w:ascii="Arial" w:hAnsi="Arial" w:cs="Arial"/>
          <w:b/>
          <w:sz w:val="56"/>
          <w:szCs w:val="56"/>
        </w:rPr>
        <w:br w:type="page"/>
      </w:r>
      <w:r w:rsidRPr="00DD3640">
        <w:rPr>
          <w:rFonts w:ascii="Arial" w:hAnsi="Arial" w:cs="Arial"/>
          <w:b/>
        </w:rPr>
        <w:lastRenderedPageBreak/>
        <w:t>SPIS TREŚCI</w:t>
      </w:r>
    </w:p>
    <w:p w:rsidR="00DC27D3" w:rsidRPr="00DD3640" w:rsidRDefault="00DC27D3" w:rsidP="00DC27D3">
      <w:pPr>
        <w:spacing w:after="0" w:line="360" w:lineRule="auto"/>
        <w:jc w:val="center"/>
        <w:rPr>
          <w:rFonts w:ascii="Arial" w:hAnsi="Arial" w:cs="Arial"/>
        </w:rPr>
      </w:pPr>
    </w:p>
    <w:tbl>
      <w:tblPr>
        <w:tblW w:w="12351" w:type="dxa"/>
        <w:tblLook w:val="04A0"/>
      </w:tblPr>
      <w:tblGrid>
        <w:gridCol w:w="400"/>
        <w:gridCol w:w="4670"/>
        <w:gridCol w:w="7281"/>
      </w:tblGrid>
      <w:tr w:rsidR="00DC27D3" w:rsidRPr="00DD3640" w:rsidTr="00665A13">
        <w:tc>
          <w:tcPr>
            <w:tcW w:w="400" w:type="dxa"/>
          </w:tcPr>
          <w:p w:rsidR="00DC27D3" w:rsidRPr="00DD3640" w:rsidRDefault="00DC27D3" w:rsidP="00665A13">
            <w:pPr>
              <w:spacing w:after="0" w:line="360" w:lineRule="auto"/>
              <w:jc w:val="center"/>
              <w:rPr>
                <w:rFonts w:ascii="Arial" w:hAnsi="Arial" w:cs="Arial"/>
              </w:rPr>
            </w:pPr>
            <w:r w:rsidRPr="00DD3640">
              <w:rPr>
                <w:rFonts w:ascii="Arial" w:hAnsi="Arial" w:cs="Arial"/>
              </w:rPr>
              <w:t>1.</w:t>
            </w:r>
          </w:p>
        </w:tc>
        <w:tc>
          <w:tcPr>
            <w:tcW w:w="4670" w:type="dxa"/>
          </w:tcPr>
          <w:p w:rsidR="00DC27D3" w:rsidRPr="00DD3640" w:rsidRDefault="00DC27D3" w:rsidP="00665A13">
            <w:pPr>
              <w:spacing w:after="0" w:line="360" w:lineRule="auto"/>
              <w:rPr>
                <w:rFonts w:ascii="Arial" w:hAnsi="Arial" w:cs="Arial"/>
              </w:rPr>
            </w:pPr>
            <w:r w:rsidRPr="00DD3640">
              <w:rPr>
                <w:rFonts w:ascii="Arial" w:hAnsi="Arial" w:cs="Arial"/>
              </w:rPr>
              <w:t>Opis procesu konsultacji społecznych</w:t>
            </w:r>
          </w:p>
        </w:tc>
        <w:tc>
          <w:tcPr>
            <w:tcW w:w="7281" w:type="dxa"/>
          </w:tcPr>
          <w:p w:rsidR="00DC27D3" w:rsidRPr="00DD3640" w:rsidRDefault="00DC27D3" w:rsidP="009261B8">
            <w:pPr>
              <w:spacing w:after="0" w:line="360" w:lineRule="auto"/>
              <w:rPr>
                <w:rFonts w:ascii="Arial" w:hAnsi="Arial" w:cs="Arial"/>
              </w:rPr>
            </w:pPr>
            <w:r w:rsidRPr="00DD3640">
              <w:rPr>
                <w:rFonts w:ascii="Arial" w:hAnsi="Arial" w:cs="Arial"/>
              </w:rPr>
              <w:t>…………………</w:t>
            </w:r>
            <w:r>
              <w:rPr>
                <w:rFonts w:ascii="Arial" w:hAnsi="Arial" w:cs="Arial"/>
              </w:rPr>
              <w:t>…………………..….</w:t>
            </w:r>
            <w:r w:rsidRPr="00DD3640">
              <w:rPr>
                <w:rFonts w:ascii="Arial" w:hAnsi="Arial" w:cs="Arial"/>
              </w:rPr>
              <w:t>………..</w:t>
            </w:r>
            <w:r w:rsidR="009261B8">
              <w:rPr>
                <w:rFonts w:ascii="Arial" w:hAnsi="Arial" w:cs="Arial"/>
                <w:b/>
              </w:rPr>
              <w:t>3</w:t>
            </w:r>
          </w:p>
        </w:tc>
      </w:tr>
      <w:tr w:rsidR="00DC27D3" w:rsidRPr="00DD3640" w:rsidTr="00665A13">
        <w:tc>
          <w:tcPr>
            <w:tcW w:w="400" w:type="dxa"/>
          </w:tcPr>
          <w:p w:rsidR="00DC27D3" w:rsidRPr="00DD3640" w:rsidRDefault="00DC27D3" w:rsidP="00665A13">
            <w:pPr>
              <w:spacing w:after="0" w:line="360" w:lineRule="auto"/>
              <w:jc w:val="center"/>
              <w:rPr>
                <w:rFonts w:ascii="Arial" w:hAnsi="Arial" w:cs="Arial"/>
              </w:rPr>
            </w:pPr>
            <w:r w:rsidRPr="00DD3640">
              <w:rPr>
                <w:rFonts w:ascii="Arial" w:hAnsi="Arial" w:cs="Arial"/>
              </w:rPr>
              <w:t>2.</w:t>
            </w:r>
          </w:p>
        </w:tc>
        <w:tc>
          <w:tcPr>
            <w:tcW w:w="4670" w:type="dxa"/>
          </w:tcPr>
          <w:p w:rsidR="00DC27D3" w:rsidRPr="00DD3640" w:rsidRDefault="00DC27D3" w:rsidP="00665A13">
            <w:pPr>
              <w:spacing w:after="0" w:line="360" w:lineRule="auto"/>
              <w:rPr>
                <w:rFonts w:ascii="Arial" w:hAnsi="Arial" w:cs="Arial"/>
              </w:rPr>
            </w:pPr>
            <w:r w:rsidRPr="00DD3640">
              <w:rPr>
                <w:rFonts w:ascii="Arial" w:hAnsi="Arial" w:cs="Arial"/>
              </w:rPr>
              <w:t>Karty projektów</w:t>
            </w:r>
          </w:p>
        </w:tc>
        <w:tc>
          <w:tcPr>
            <w:tcW w:w="7281" w:type="dxa"/>
          </w:tcPr>
          <w:p w:rsidR="00DC27D3" w:rsidRPr="00DD3640" w:rsidRDefault="00DC27D3" w:rsidP="00665A13">
            <w:pPr>
              <w:spacing w:after="0" w:line="360" w:lineRule="auto"/>
              <w:rPr>
                <w:rFonts w:ascii="Arial" w:hAnsi="Arial" w:cs="Arial"/>
              </w:rPr>
            </w:pPr>
            <w:r w:rsidRPr="00DD3640">
              <w:rPr>
                <w:rFonts w:ascii="Arial" w:hAnsi="Arial" w:cs="Arial"/>
              </w:rPr>
              <w:t>……………………………</w:t>
            </w:r>
            <w:r>
              <w:rPr>
                <w:rFonts w:ascii="Arial" w:hAnsi="Arial" w:cs="Arial"/>
              </w:rPr>
              <w:t>………...</w:t>
            </w:r>
            <w:r w:rsidRPr="00DD3640">
              <w:rPr>
                <w:rFonts w:ascii="Arial" w:hAnsi="Arial" w:cs="Arial"/>
              </w:rPr>
              <w:t>…………..</w:t>
            </w:r>
            <w:r w:rsidRPr="00DD3640">
              <w:rPr>
                <w:rFonts w:ascii="Arial" w:hAnsi="Arial" w:cs="Arial"/>
                <w:b/>
              </w:rPr>
              <w:t>5</w:t>
            </w:r>
          </w:p>
        </w:tc>
      </w:tr>
      <w:tr w:rsidR="00DC27D3" w:rsidRPr="00DD3640" w:rsidTr="00665A13">
        <w:tc>
          <w:tcPr>
            <w:tcW w:w="400" w:type="dxa"/>
          </w:tcPr>
          <w:p w:rsidR="00DC27D3" w:rsidRPr="00DD3640" w:rsidRDefault="00DC27D3" w:rsidP="00665A13">
            <w:pPr>
              <w:spacing w:after="0" w:line="360" w:lineRule="auto"/>
              <w:jc w:val="center"/>
              <w:rPr>
                <w:rFonts w:ascii="Arial" w:hAnsi="Arial" w:cs="Arial"/>
              </w:rPr>
            </w:pPr>
            <w:r w:rsidRPr="00DD3640">
              <w:rPr>
                <w:rFonts w:ascii="Arial" w:hAnsi="Arial" w:cs="Arial"/>
              </w:rPr>
              <w:t>3.</w:t>
            </w:r>
          </w:p>
        </w:tc>
        <w:tc>
          <w:tcPr>
            <w:tcW w:w="4670" w:type="dxa"/>
          </w:tcPr>
          <w:p w:rsidR="00DC27D3" w:rsidRPr="00DD3640" w:rsidRDefault="00DC27D3" w:rsidP="00665A13">
            <w:pPr>
              <w:spacing w:after="0" w:line="360" w:lineRule="auto"/>
              <w:rPr>
                <w:rFonts w:ascii="Arial" w:hAnsi="Arial" w:cs="Arial"/>
              </w:rPr>
            </w:pPr>
            <w:r w:rsidRPr="00DD3640">
              <w:rPr>
                <w:rFonts w:ascii="Arial" w:hAnsi="Arial" w:cs="Arial"/>
              </w:rPr>
              <w:t>Wzór karty konsultacji społecznych</w:t>
            </w:r>
          </w:p>
        </w:tc>
        <w:tc>
          <w:tcPr>
            <w:tcW w:w="7281" w:type="dxa"/>
          </w:tcPr>
          <w:p w:rsidR="00DC27D3" w:rsidRPr="00DD3640" w:rsidRDefault="00DC27D3" w:rsidP="00665A13">
            <w:pPr>
              <w:spacing w:after="0" w:line="360" w:lineRule="auto"/>
              <w:rPr>
                <w:rFonts w:ascii="Arial" w:hAnsi="Arial" w:cs="Arial"/>
              </w:rPr>
            </w:pPr>
            <w:r w:rsidRPr="00DD3640">
              <w:rPr>
                <w:rFonts w:ascii="Arial" w:hAnsi="Arial" w:cs="Arial"/>
              </w:rPr>
              <w:t>…………………………</w:t>
            </w:r>
            <w:r>
              <w:rPr>
                <w:rFonts w:ascii="Arial" w:hAnsi="Arial" w:cs="Arial"/>
              </w:rPr>
              <w:t>………..….</w:t>
            </w:r>
            <w:r w:rsidRPr="00DD3640">
              <w:rPr>
                <w:rFonts w:ascii="Arial" w:hAnsi="Arial" w:cs="Arial"/>
              </w:rPr>
              <w:t>…………..</w:t>
            </w:r>
            <w:r w:rsidRPr="00DD3640">
              <w:rPr>
                <w:rFonts w:ascii="Arial" w:hAnsi="Arial" w:cs="Arial"/>
                <w:b/>
              </w:rPr>
              <w:t>5</w:t>
            </w:r>
          </w:p>
        </w:tc>
      </w:tr>
      <w:tr w:rsidR="00DC27D3" w:rsidRPr="00DD3640" w:rsidTr="00665A13">
        <w:tc>
          <w:tcPr>
            <w:tcW w:w="400" w:type="dxa"/>
          </w:tcPr>
          <w:p w:rsidR="00DC27D3" w:rsidRPr="00DD3640" w:rsidRDefault="00DC27D3" w:rsidP="00665A13">
            <w:pPr>
              <w:spacing w:after="0" w:line="360" w:lineRule="auto"/>
              <w:jc w:val="center"/>
              <w:rPr>
                <w:rFonts w:ascii="Arial" w:hAnsi="Arial" w:cs="Arial"/>
              </w:rPr>
            </w:pPr>
            <w:r w:rsidRPr="00DD3640">
              <w:rPr>
                <w:rFonts w:ascii="Arial" w:hAnsi="Arial" w:cs="Arial"/>
              </w:rPr>
              <w:t>4.</w:t>
            </w:r>
          </w:p>
        </w:tc>
        <w:tc>
          <w:tcPr>
            <w:tcW w:w="4670" w:type="dxa"/>
          </w:tcPr>
          <w:p w:rsidR="00DC27D3" w:rsidRPr="00DD3640" w:rsidRDefault="00DC27D3" w:rsidP="00665A13">
            <w:pPr>
              <w:spacing w:after="0" w:line="360" w:lineRule="auto"/>
              <w:rPr>
                <w:rFonts w:ascii="Arial" w:hAnsi="Arial" w:cs="Arial"/>
              </w:rPr>
            </w:pPr>
            <w:r w:rsidRPr="00DD3640">
              <w:rPr>
                <w:rFonts w:ascii="Arial" w:hAnsi="Arial" w:cs="Arial"/>
              </w:rPr>
              <w:t>Załączniki</w:t>
            </w:r>
          </w:p>
        </w:tc>
        <w:tc>
          <w:tcPr>
            <w:tcW w:w="7281" w:type="dxa"/>
          </w:tcPr>
          <w:p w:rsidR="00DC27D3" w:rsidRPr="00DD3640" w:rsidRDefault="00DC27D3" w:rsidP="00665A13">
            <w:pPr>
              <w:spacing w:after="0" w:line="360" w:lineRule="auto"/>
              <w:rPr>
                <w:rFonts w:ascii="Arial" w:hAnsi="Arial" w:cs="Arial"/>
              </w:rPr>
            </w:pPr>
            <w:r>
              <w:rPr>
                <w:rFonts w:ascii="Arial" w:hAnsi="Arial" w:cs="Arial"/>
              </w:rPr>
              <w:t>……………………………………………...</w:t>
            </w:r>
            <w:r w:rsidRPr="00DD3640">
              <w:rPr>
                <w:rFonts w:ascii="Arial" w:hAnsi="Arial" w:cs="Arial"/>
              </w:rPr>
              <w:t>…..</w:t>
            </w:r>
            <w:r w:rsidRPr="00DD3640">
              <w:rPr>
                <w:rFonts w:ascii="Arial" w:hAnsi="Arial" w:cs="Arial"/>
                <w:b/>
              </w:rPr>
              <w:t>6</w:t>
            </w:r>
          </w:p>
        </w:tc>
      </w:tr>
      <w:tr w:rsidR="00DC27D3" w:rsidRPr="00FD6720" w:rsidTr="00665A13">
        <w:tc>
          <w:tcPr>
            <w:tcW w:w="400" w:type="dxa"/>
          </w:tcPr>
          <w:p w:rsidR="00DC27D3" w:rsidRPr="00FD6720" w:rsidRDefault="00DC27D3" w:rsidP="00665A13">
            <w:pPr>
              <w:spacing w:after="0" w:line="360" w:lineRule="auto"/>
              <w:jc w:val="center"/>
              <w:rPr>
                <w:b/>
              </w:rPr>
            </w:pPr>
          </w:p>
        </w:tc>
        <w:tc>
          <w:tcPr>
            <w:tcW w:w="4670" w:type="dxa"/>
          </w:tcPr>
          <w:p w:rsidR="00DC27D3" w:rsidRPr="00FD6720" w:rsidRDefault="00DC27D3" w:rsidP="00665A13">
            <w:pPr>
              <w:spacing w:after="0" w:line="360" w:lineRule="auto"/>
              <w:jc w:val="center"/>
              <w:rPr>
                <w:b/>
              </w:rPr>
            </w:pPr>
          </w:p>
        </w:tc>
        <w:tc>
          <w:tcPr>
            <w:tcW w:w="7281" w:type="dxa"/>
          </w:tcPr>
          <w:p w:rsidR="00DC27D3" w:rsidRPr="00FD6720" w:rsidRDefault="00DC27D3" w:rsidP="00665A13">
            <w:pPr>
              <w:spacing w:after="0" w:line="360" w:lineRule="auto"/>
              <w:jc w:val="center"/>
              <w:rPr>
                <w:b/>
              </w:rPr>
            </w:pPr>
          </w:p>
        </w:tc>
      </w:tr>
    </w:tbl>
    <w:p w:rsidR="00DC27D3" w:rsidRPr="00F808E0" w:rsidRDefault="00DC27D3" w:rsidP="00DC27D3">
      <w:pPr>
        <w:spacing w:after="0" w:line="360" w:lineRule="auto"/>
        <w:jc w:val="center"/>
        <w:rPr>
          <w:b/>
        </w:rPr>
      </w:pPr>
    </w:p>
    <w:p w:rsidR="00DC27D3" w:rsidRDefault="00DC27D3" w:rsidP="00DC27D3">
      <w:pPr>
        <w:autoSpaceDE w:val="0"/>
        <w:autoSpaceDN w:val="0"/>
        <w:adjustRightInd w:val="0"/>
        <w:spacing w:after="0" w:line="360" w:lineRule="auto"/>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293F79" w:rsidP="00DC27D3">
      <w:pPr>
        <w:spacing w:after="0" w:line="360" w:lineRule="auto"/>
        <w:jc w:val="center"/>
        <w:rPr>
          <w:rFonts w:ascii="Tahoma" w:hAnsi="Tahoma" w:cs="Tahoma"/>
          <w:sz w:val="21"/>
          <w:szCs w:val="21"/>
        </w:rPr>
      </w:pPr>
      <w:r>
        <w:rPr>
          <w:rFonts w:ascii="Tahoma" w:hAnsi="Tahoma" w:cs="Tahoma"/>
          <w:noProof/>
          <w:sz w:val="21"/>
          <w:szCs w:val="21"/>
          <w:lang w:eastAsia="pl-PL"/>
        </w:rPr>
        <w:pict>
          <v:shapetype id="_x0000_t202" coordsize="21600,21600" o:spt="202" path="m,l,21600r21600,l21600,xe">
            <v:stroke joinstyle="miter"/>
            <v:path gradientshapeok="t" o:connecttype="rect"/>
          </v:shapetype>
          <v:shape id="_x0000_s1026" type="#_x0000_t202" style="position:absolute;left:0;text-align:left;margin-left:82.9pt;margin-top:1.75pt;width:319.5pt;height:88.5pt;z-index:251660288">
            <v:textbox style="mso-next-textbox:#_x0000_s1026">
              <w:txbxContent>
                <w:p w:rsidR="00DC27D3" w:rsidRDefault="00DC27D3" w:rsidP="00DC27D3">
                  <w:pPr>
                    <w:spacing w:after="0" w:line="240" w:lineRule="auto"/>
                    <w:jc w:val="center"/>
                    <w:rPr>
                      <w:rFonts w:ascii="Arial" w:hAnsi="Arial" w:cs="Arial"/>
                      <w:b/>
                    </w:rPr>
                  </w:pPr>
                  <w:r w:rsidRPr="006F16AA">
                    <w:rPr>
                      <w:rFonts w:ascii="Arial" w:hAnsi="Arial" w:cs="Arial"/>
                      <w:b/>
                    </w:rPr>
                    <w:t>AUTOR OPRACOWANIA</w:t>
                  </w:r>
                </w:p>
                <w:p w:rsidR="00DC27D3" w:rsidRDefault="00DC27D3" w:rsidP="00DC27D3">
                  <w:pPr>
                    <w:spacing w:after="0" w:line="240" w:lineRule="auto"/>
                    <w:jc w:val="center"/>
                    <w:rPr>
                      <w:rFonts w:ascii="Arial" w:hAnsi="Arial" w:cs="Arial"/>
                      <w:b/>
                    </w:rPr>
                  </w:pPr>
                </w:p>
                <w:p w:rsidR="00DC27D3" w:rsidRPr="006F16AA" w:rsidRDefault="00DC27D3" w:rsidP="00DC27D3">
                  <w:pPr>
                    <w:spacing w:after="0" w:line="240" w:lineRule="auto"/>
                    <w:jc w:val="center"/>
                    <w:rPr>
                      <w:rFonts w:ascii="Arial" w:hAnsi="Arial" w:cs="Arial"/>
                      <w:b/>
                    </w:rPr>
                  </w:pPr>
                </w:p>
                <w:p w:rsidR="00DC27D3" w:rsidRPr="006F16AA" w:rsidRDefault="00DC27D3" w:rsidP="00DC27D3">
                  <w:pPr>
                    <w:spacing w:after="0" w:line="240" w:lineRule="auto"/>
                    <w:jc w:val="center"/>
                    <w:rPr>
                      <w:rFonts w:ascii="Arial" w:hAnsi="Arial" w:cs="Arial"/>
                      <w:b/>
                    </w:rPr>
                  </w:pPr>
                  <w:r w:rsidRPr="006F16AA">
                    <w:rPr>
                      <w:rFonts w:ascii="Arial" w:hAnsi="Arial" w:cs="Arial"/>
                      <w:b/>
                    </w:rPr>
                    <w:t>E</w:t>
                  </w:r>
                  <w:r>
                    <w:rPr>
                      <w:rFonts w:ascii="Arial" w:hAnsi="Arial" w:cs="Arial"/>
                      <w:b/>
                    </w:rPr>
                    <w:t xml:space="preserve"> </w:t>
                  </w:r>
                  <w:r w:rsidRPr="006F16AA">
                    <w:rPr>
                      <w:rFonts w:ascii="Arial" w:hAnsi="Arial" w:cs="Arial"/>
                      <w:b/>
                    </w:rPr>
                    <w:t>U</w:t>
                  </w:r>
                  <w:r>
                    <w:rPr>
                      <w:rFonts w:ascii="Arial" w:hAnsi="Arial" w:cs="Arial"/>
                      <w:b/>
                    </w:rPr>
                    <w:t xml:space="preserve"> </w:t>
                  </w:r>
                  <w:r w:rsidRPr="006F16AA">
                    <w:rPr>
                      <w:rFonts w:ascii="Arial" w:hAnsi="Arial" w:cs="Arial"/>
                      <w:b/>
                    </w:rPr>
                    <w:t>R</w:t>
                  </w:r>
                  <w:r>
                    <w:rPr>
                      <w:rFonts w:ascii="Arial" w:hAnsi="Arial" w:cs="Arial"/>
                      <w:b/>
                    </w:rPr>
                    <w:t xml:space="preserve"> </w:t>
                  </w:r>
                  <w:r w:rsidRPr="006F16AA">
                    <w:rPr>
                      <w:rFonts w:ascii="Arial" w:hAnsi="Arial" w:cs="Arial"/>
                      <w:b/>
                    </w:rPr>
                    <w:t>O</w:t>
                  </w:r>
                  <w:r>
                    <w:rPr>
                      <w:rFonts w:ascii="Arial" w:hAnsi="Arial" w:cs="Arial"/>
                      <w:b/>
                    </w:rPr>
                    <w:t xml:space="preserve"> </w:t>
                  </w:r>
                  <w:r w:rsidRPr="006F16AA">
                    <w:rPr>
                      <w:rFonts w:ascii="Arial" w:hAnsi="Arial" w:cs="Arial"/>
                      <w:b/>
                    </w:rPr>
                    <w:t>S</w:t>
                  </w:r>
                  <w:r>
                    <w:rPr>
                      <w:rFonts w:ascii="Arial" w:hAnsi="Arial" w:cs="Arial"/>
                      <w:b/>
                    </w:rPr>
                    <w:t xml:space="preserve"> </w:t>
                  </w:r>
                  <w:r w:rsidRPr="006F16AA">
                    <w:rPr>
                      <w:rFonts w:ascii="Arial" w:hAnsi="Arial" w:cs="Arial"/>
                      <w:b/>
                    </w:rPr>
                    <w:t>T</w:t>
                  </w:r>
                  <w:r>
                    <w:rPr>
                      <w:rFonts w:ascii="Arial" w:hAnsi="Arial" w:cs="Arial"/>
                      <w:b/>
                    </w:rPr>
                    <w:t xml:space="preserve"> </w:t>
                  </w:r>
                  <w:r w:rsidRPr="006F16AA">
                    <w:rPr>
                      <w:rFonts w:ascii="Arial" w:hAnsi="Arial" w:cs="Arial"/>
                      <w:b/>
                    </w:rPr>
                    <w:t>O</w:t>
                  </w:r>
                </w:p>
                <w:p w:rsidR="00DC27D3" w:rsidRPr="006F16AA" w:rsidRDefault="00DC27D3" w:rsidP="00DC27D3">
                  <w:pPr>
                    <w:spacing w:after="0" w:line="240" w:lineRule="auto"/>
                    <w:jc w:val="center"/>
                    <w:rPr>
                      <w:rFonts w:ascii="Arial" w:hAnsi="Arial" w:cs="Arial"/>
                      <w:b/>
                    </w:rPr>
                  </w:pPr>
                  <w:r w:rsidRPr="006F16AA">
                    <w:rPr>
                      <w:rFonts w:ascii="Arial" w:hAnsi="Arial" w:cs="Arial"/>
                      <w:b/>
                    </w:rPr>
                    <w:t>Doradztwo i Analizy Gospodarcze</w:t>
                  </w:r>
                </w:p>
                <w:p w:rsidR="00DC27D3" w:rsidRPr="006F16AA" w:rsidRDefault="00DC27D3" w:rsidP="00DC27D3">
                  <w:pPr>
                    <w:spacing w:after="0" w:line="240" w:lineRule="auto"/>
                    <w:jc w:val="center"/>
                    <w:rPr>
                      <w:rFonts w:ascii="Arial" w:hAnsi="Arial" w:cs="Arial"/>
                      <w:b/>
                    </w:rPr>
                  </w:pPr>
                  <w:r w:rsidRPr="006F16AA">
                    <w:rPr>
                      <w:rFonts w:ascii="Arial" w:hAnsi="Arial" w:cs="Arial"/>
                      <w:b/>
                    </w:rPr>
                    <w:t>85-039 Bydgoszcz, ul. Hetmańska 38</w:t>
                  </w:r>
                </w:p>
                <w:p w:rsidR="00DC27D3" w:rsidRPr="006F16AA" w:rsidRDefault="00DC27D3" w:rsidP="00DC27D3">
                  <w:pPr>
                    <w:spacing w:after="0" w:line="240" w:lineRule="auto"/>
                    <w:jc w:val="center"/>
                    <w:rPr>
                      <w:rFonts w:ascii="Arial" w:hAnsi="Arial" w:cs="Arial"/>
                      <w:b/>
                    </w:rPr>
                  </w:pPr>
                </w:p>
              </w:txbxContent>
            </v:textbox>
          </v:shape>
        </w:pict>
      </w: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r>
        <w:rPr>
          <w:rFonts w:ascii="Tahoma" w:hAnsi="Tahoma" w:cs="Tahoma"/>
          <w:noProof/>
          <w:sz w:val="21"/>
          <w:szCs w:val="21"/>
          <w:lang w:eastAsia="pl-PL"/>
        </w:rPr>
        <w:drawing>
          <wp:anchor distT="0" distB="0" distL="114300" distR="114300" simplePos="0" relativeHeight="251661312" behindDoc="1" locked="0" layoutInCell="1" allowOverlap="1">
            <wp:simplePos x="0" y="0"/>
            <wp:positionH relativeFrom="column">
              <wp:posOffset>1624330</wp:posOffset>
            </wp:positionH>
            <wp:positionV relativeFrom="paragraph">
              <wp:posOffset>3482975</wp:posOffset>
            </wp:positionV>
            <wp:extent cx="2676525" cy="485775"/>
            <wp:effectExtent l="19050" t="0" r="9525" b="0"/>
            <wp:wrapNone/>
            <wp:docPr id="3"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l="4297" t="38716" r="9766" b="40543"/>
                    <a:stretch>
                      <a:fillRect/>
                    </a:stretch>
                  </pic:blipFill>
                  <pic:spPr bwMode="auto">
                    <a:xfrm>
                      <a:off x="0" y="0"/>
                      <a:ext cx="2676525" cy="485775"/>
                    </a:xfrm>
                    <a:prstGeom prst="rect">
                      <a:avLst/>
                    </a:prstGeom>
                    <a:noFill/>
                    <a:ln w="9525">
                      <a:noFill/>
                      <a:miter lim="800000"/>
                      <a:headEnd/>
                      <a:tailEnd/>
                    </a:ln>
                  </pic:spPr>
                </pic:pic>
              </a:graphicData>
            </a:graphic>
          </wp:anchor>
        </w:drawing>
      </w: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r>
        <w:rPr>
          <w:rFonts w:ascii="Tahoma" w:hAnsi="Tahoma" w:cs="Tahoma"/>
          <w:noProof/>
          <w:sz w:val="21"/>
          <w:szCs w:val="21"/>
          <w:lang w:eastAsia="pl-PL"/>
        </w:rPr>
        <w:drawing>
          <wp:anchor distT="0" distB="0" distL="114300" distR="114300" simplePos="0" relativeHeight="251662336" behindDoc="1" locked="0" layoutInCell="1" allowOverlap="1">
            <wp:simplePos x="0" y="0"/>
            <wp:positionH relativeFrom="column">
              <wp:posOffset>1681480</wp:posOffset>
            </wp:positionH>
            <wp:positionV relativeFrom="paragraph">
              <wp:posOffset>234315</wp:posOffset>
            </wp:positionV>
            <wp:extent cx="2676525" cy="476250"/>
            <wp:effectExtent l="19050" t="0" r="9525" b="0"/>
            <wp:wrapNone/>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l="4297" t="38716" r="9766" b="40543"/>
                    <a:stretch>
                      <a:fillRect/>
                    </a:stretch>
                  </pic:blipFill>
                  <pic:spPr bwMode="auto">
                    <a:xfrm>
                      <a:off x="0" y="0"/>
                      <a:ext cx="2676525" cy="476250"/>
                    </a:xfrm>
                    <a:prstGeom prst="rect">
                      <a:avLst/>
                    </a:prstGeom>
                    <a:noFill/>
                    <a:ln w="9525">
                      <a:noFill/>
                      <a:miter lim="800000"/>
                      <a:headEnd/>
                      <a:tailEnd/>
                    </a:ln>
                  </pic:spPr>
                </pic:pic>
              </a:graphicData>
            </a:graphic>
          </wp:anchor>
        </w:drawing>
      </w:r>
    </w:p>
    <w:p w:rsidR="00DC27D3" w:rsidRDefault="00DC27D3" w:rsidP="00DC27D3">
      <w:pPr>
        <w:spacing w:after="0" w:line="360" w:lineRule="auto"/>
        <w:jc w:val="center"/>
        <w:rPr>
          <w:rFonts w:ascii="Tahoma" w:hAnsi="Tahoma" w:cs="Tahoma"/>
          <w:sz w:val="21"/>
          <w:szCs w:val="21"/>
        </w:rPr>
      </w:pPr>
    </w:p>
    <w:p w:rsidR="00DC27D3" w:rsidRPr="00B87D1B" w:rsidRDefault="00DC27D3" w:rsidP="00DC27D3">
      <w:pPr>
        <w:numPr>
          <w:ilvl w:val="0"/>
          <w:numId w:val="1"/>
        </w:numPr>
        <w:spacing w:after="0" w:line="360" w:lineRule="auto"/>
        <w:rPr>
          <w:rFonts w:ascii="Arial" w:hAnsi="Arial" w:cs="Arial"/>
          <w:b/>
        </w:rPr>
      </w:pPr>
      <w:r w:rsidRPr="00B87D1B">
        <w:rPr>
          <w:rFonts w:ascii="Arial" w:hAnsi="Arial" w:cs="Arial"/>
          <w:b/>
        </w:rPr>
        <w:t>Opis procesu konsultacji społecznych</w:t>
      </w:r>
    </w:p>
    <w:p w:rsidR="00DC27D3" w:rsidRPr="00B87D1B" w:rsidRDefault="00DC27D3" w:rsidP="00DC27D3">
      <w:pPr>
        <w:spacing w:after="0" w:line="360" w:lineRule="auto"/>
        <w:ind w:left="360"/>
        <w:rPr>
          <w:rFonts w:ascii="Arial" w:hAnsi="Arial" w:cs="Arial"/>
        </w:rPr>
      </w:pPr>
    </w:p>
    <w:p w:rsidR="00DC27D3" w:rsidRPr="00B87D1B" w:rsidRDefault="00DC27D3" w:rsidP="00DC27D3">
      <w:pPr>
        <w:spacing w:after="0" w:line="360" w:lineRule="auto"/>
        <w:ind w:firstLine="360"/>
        <w:jc w:val="both"/>
        <w:rPr>
          <w:rFonts w:ascii="Arial" w:hAnsi="Arial" w:cs="Arial"/>
          <w:lang w:eastAsia="pl-PL"/>
        </w:rPr>
      </w:pPr>
      <w:r w:rsidRPr="00B87D1B">
        <w:rPr>
          <w:rFonts w:ascii="Arial" w:hAnsi="Arial" w:cs="Arial"/>
        </w:rPr>
        <w:t xml:space="preserve">Jednym z założeń dotyczących procesu </w:t>
      </w:r>
      <w:r w:rsidRPr="00B87D1B">
        <w:rPr>
          <w:rFonts w:ascii="Arial" w:hAnsi="Arial" w:cs="Arial"/>
          <w:lang w:eastAsia="pl-PL"/>
        </w:rPr>
        <w:t>przygotowywania lokalnego programu rewitalizacji jest możliwie szerokie przeprowadzenie konsultacji społecznych niniejszego dokumentu. Zarówno wśród przedstawicieli środowisk społecznych, jak i gospodarczych, szczególnie z obszaru objętego</w:t>
      </w:r>
    </w:p>
    <w:p w:rsidR="00DC27D3" w:rsidRPr="00B87D1B" w:rsidRDefault="00DC27D3" w:rsidP="00DC27D3">
      <w:pPr>
        <w:autoSpaceDE w:val="0"/>
        <w:autoSpaceDN w:val="0"/>
        <w:adjustRightInd w:val="0"/>
        <w:spacing w:after="0" w:line="360" w:lineRule="auto"/>
        <w:jc w:val="both"/>
        <w:rPr>
          <w:rFonts w:ascii="Arial" w:hAnsi="Arial" w:cs="Arial"/>
          <w:lang w:eastAsia="pl-PL"/>
        </w:rPr>
      </w:pPr>
      <w:r w:rsidRPr="00B87D1B">
        <w:rPr>
          <w:rFonts w:ascii="Arial" w:hAnsi="Arial" w:cs="Arial"/>
          <w:lang w:eastAsia="pl-PL"/>
        </w:rPr>
        <w:t xml:space="preserve">wsparciem. </w:t>
      </w:r>
    </w:p>
    <w:p w:rsidR="00DC27D3" w:rsidRPr="00B87D1B" w:rsidRDefault="00DC27D3" w:rsidP="00DC27D3">
      <w:pPr>
        <w:autoSpaceDE w:val="0"/>
        <w:autoSpaceDN w:val="0"/>
        <w:adjustRightInd w:val="0"/>
        <w:spacing w:after="0" w:line="360" w:lineRule="auto"/>
        <w:jc w:val="both"/>
        <w:rPr>
          <w:rFonts w:ascii="Arial" w:hAnsi="Arial" w:cs="Arial"/>
          <w:lang w:eastAsia="pl-PL"/>
        </w:rPr>
      </w:pPr>
    </w:p>
    <w:p w:rsidR="00DC27D3" w:rsidRPr="00B87D1B" w:rsidRDefault="00DC27D3" w:rsidP="00DC27D3">
      <w:pPr>
        <w:autoSpaceDE w:val="0"/>
        <w:autoSpaceDN w:val="0"/>
        <w:adjustRightInd w:val="0"/>
        <w:spacing w:after="0" w:line="360" w:lineRule="auto"/>
        <w:ind w:firstLine="708"/>
        <w:jc w:val="both"/>
        <w:rPr>
          <w:rFonts w:ascii="Arial" w:hAnsi="Arial" w:cs="Arial"/>
          <w:lang w:eastAsia="pl-PL"/>
        </w:rPr>
      </w:pPr>
      <w:r w:rsidRPr="00B87D1B">
        <w:rPr>
          <w:rFonts w:ascii="Arial" w:hAnsi="Arial" w:cs="Arial"/>
          <w:lang w:eastAsia="pl-PL"/>
        </w:rPr>
        <w:t xml:space="preserve">W trakcie tworzenia Lokalnego Programu Rewitalizacji Gniewkowa na lata 2009 – 2015  konsultacjom poddano: założenia do LPR, indykatywny wykaz projektów do wsparcie w ramach wyznaczonego obszaru </w:t>
      </w:r>
      <w:proofErr w:type="spellStart"/>
      <w:r w:rsidRPr="00B87D1B">
        <w:rPr>
          <w:rFonts w:ascii="Arial" w:hAnsi="Arial" w:cs="Arial"/>
          <w:lang w:eastAsia="pl-PL"/>
        </w:rPr>
        <w:t>rewitalizowanego</w:t>
      </w:r>
      <w:proofErr w:type="spellEnd"/>
      <w:r w:rsidRPr="00B87D1B">
        <w:rPr>
          <w:rFonts w:ascii="Arial" w:hAnsi="Arial" w:cs="Arial"/>
          <w:lang w:eastAsia="pl-PL"/>
        </w:rPr>
        <w:t>.</w:t>
      </w:r>
    </w:p>
    <w:p w:rsidR="00DC27D3" w:rsidRPr="00B87D1B" w:rsidRDefault="00DC27D3" w:rsidP="00DC27D3">
      <w:pPr>
        <w:autoSpaceDE w:val="0"/>
        <w:autoSpaceDN w:val="0"/>
        <w:adjustRightInd w:val="0"/>
        <w:spacing w:after="0" w:line="360" w:lineRule="auto"/>
        <w:rPr>
          <w:rFonts w:ascii="Arial" w:hAnsi="Arial" w:cs="Arial"/>
          <w:lang w:eastAsia="pl-PL"/>
        </w:rPr>
      </w:pPr>
    </w:p>
    <w:p w:rsidR="00DC27D3" w:rsidRPr="00B87D1B" w:rsidRDefault="00DC27D3" w:rsidP="00DC27D3">
      <w:pPr>
        <w:autoSpaceDE w:val="0"/>
        <w:autoSpaceDN w:val="0"/>
        <w:adjustRightInd w:val="0"/>
        <w:spacing w:after="0" w:line="360" w:lineRule="auto"/>
        <w:jc w:val="both"/>
        <w:rPr>
          <w:rFonts w:ascii="Arial" w:hAnsi="Arial" w:cs="Arial"/>
          <w:lang w:eastAsia="pl-PL"/>
        </w:rPr>
      </w:pPr>
      <w:r w:rsidRPr="00B87D1B">
        <w:rPr>
          <w:rFonts w:ascii="Arial" w:hAnsi="Arial" w:cs="Arial"/>
          <w:lang w:eastAsia="pl-PL"/>
        </w:rPr>
        <w:t>Konsultacje społeczne składały się z następujących elementów:</w:t>
      </w:r>
    </w:p>
    <w:p w:rsidR="00DC27D3" w:rsidRPr="00B87D1B" w:rsidRDefault="00DC27D3" w:rsidP="00DC27D3">
      <w:pPr>
        <w:autoSpaceDE w:val="0"/>
        <w:autoSpaceDN w:val="0"/>
        <w:adjustRightInd w:val="0"/>
        <w:spacing w:after="0" w:line="360" w:lineRule="auto"/>
        <w:jc w:val="both"/>
        <w:rPr>
          <w:rFonts w:ascii="Arial" w:hAnsi="Arial" w:cs="Arial"/>
          <w:lang w:eastAsia="pl-PL"/>
        </w:rPr>
      </w:pPr>
    </w:p>
    <w:p w:rsidR="00DC27D3" w:rsidRPr="00B87D1B" w:rsidRDefault="00DC27D3" w:rsidP="00DC27D3">
      <w:pPr>
        <w:numPr>
          <w:ilvl w:val="0"/>
          <w:numId w:val="2"/>
        </w:numPr>
        <w:autoSpaceDE w:val="0"/>
        <w:autoSpaceDN w:val="0"/>
        <w:adjustRightInd w:val="0"/>
        <w:spacing w:after="0" w:line="360" w:lineRule="auto"/>
        <w:jc w:val="both"/>
        <w:rPr>
          <w:rFonts w:ascii="Arial" w:hAnsi="Arial" w:cs="Arial"/>
          <w:b/>
          <w:lang w:eastAsia="pl-PL"/>
        </w:rPr>
      </w:pPr>
      <w:r w:rsidRPr="00B87D1B">
        <w:rPr>
          <w:rFonts w:ascii="Arial" w:hAnsi="Arial" w:cs="Arial"/>
          <w:b/>
          <w:lang w:eastAsia="pl-PL"/>
        </w:rPr>
        <w:t>Spotkanie konsultacyjne NR 1</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W dniu 18.12.2008 r. w siedzibie Urzędu Miejskiego w Gniewkowie odbyło się spotkanie konsultacyjne, w którym wzięły udział 11 osób. Byli to przedstawiciele sektora pozarządowego, wspólnot mieszkaniowych, instytucji publicznych (Miejsko-Gminny Ośrodek Pomocy Społecznej, Miejsko-Gminna Biblioteka Publiczna, Nadleśnictwo Gniewkowo, Urząd Miejski w Gniewkowie). Informacja o spotkaniu dostępna była w  siedzibie Urzędu Miejskiego w Gniewkowie na tablicy ogłoszeń, na stronie internetowej Urzędu oraz w lokalnym wydaniu Expressu Bydgoskiego (wydanie z dnia 15.12.2008r.)</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W trakcie spotkania zaprezentowano planowany do objęcia wsparciem obszar Gniewkowa, a także zaprezentowano planowane do wsparcie projekty, w tym ich zakres rzeczowy, harmonogram realizacji oraz koszty i poziom dofinansowania ze środków RPO.</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xml:space="preserve">W trakcie spotkania złożono 1 uwagę do planowanych działań ujętych w LPR polegającą na dopisaniu do indykatywnego wykazu projektów zadania polegające go na </w:t>
      </w:r>
      <w:r w:rsidRPr="00B87D1B">
        <w:rPr>
          <w:rFonts w:ascii="Arial" w:hAnsi="Arial" w:cs="Arial"/>
        </w:rPr>
        <w:t>modernizacji budynku mieszkalnego na ul. Dworcowej 1 w Gniewkowie</w:t>
      </w:r>
      <w:r w:rsidRPr="00B87D1B">
        <w:rPr>
          <w:rFonts w:ascii="Arial" w:hAnsi="Arial" w:cs="Arial"/>
          <w:lang w:eastAsia="pl-PL"/>
        </w:rPr>
        <w:t>, zadanie to realizowane ma być przez Wspólnotę Mieszkaniowa, zaś jego koszt całkowity oszacowano na kwotę 200 000 zł.</w:t>
      </w:r>
    </w:p>
    <w:p w:rsidR="00DC27D3" w:rsidRDefault="00DC27D3" w:rsidP="00DC27D3">
      <w:pPr>
        <w:autoSpaceDE w:val="0"/>
        <w:autoSpaceDN w:val="0"/>
        <w:adjustRightInd w:val="0"/>
        <w:spacing w:after="0" w:line="360" w:lineRule="auto"/>
        <w:ind w:left="720" w:firstLine="696"/>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p>
    <w:p w:rsidR="00DC27D3" w:rsidRPr="00B87D1B" w:rsidRDefault="00DC27D3" w:rsidP="00DC27D3">
      <w:pPr>
        <w:numPr>
          <w:ilvl w:val="0"/>
          <w:numId w:val="2"/>
        </w:numPr>
        <w:autoSpaceDE w:val="0"/>
        <w:autoSpaceDN w:val="0"/>
        <w:adjustRightInd w:val="0"/>
        <w:spacing w:after="0" w:line="360" w:lineRule="auto"/>
        <w:jc w:val="both"/>
        <w:rPr>
          <w:rFonts w:ascii="Arial" w:hAnsi="Arial" w:cs="Arial"/>
          <w:b/>
          <w:lang w:eastAsia="pl-PL"/>
        </w:rPr>
      </w:pPr>
      <w:r w:rsidRPr="00B87D1B">
        <w:rPr>
          <w:rFonts w:ascii="Arial" w:hAnsi="Arial" w:cs="Arial"/>
          <w:b/>
          <w:lang w:eastAsia="pl-PL"/>
        </w:rPr>
        <w:lastRenderedPageBreak/>
        <w:t>Spotkanie konsultacyjne NR 2</w:t>
      </w:r>
    </w:p>
    <w:p w:rsidR="00DC27D3" w:rsidRPr="00B87D1B" w:rsidRDefault="00DC27D3" w:rsidP="00DC27D3">
      <w:pPr>
        <w:autoSpaceDE w:val="0"/>
        <w:autoSpaceDN w:val="0"/>
        <w:adjustRightInd w:val="0"/>
        <w:spacing w:after="0" w:line="360" w:lineRule="auto"/>
        <w:ind w:left="720"/>
        <w:jc w:val="both"/>
        <w:rPr>
          <w:rFonts w:ascii="Arial" w:hAnsi="Arial" w:cs="Arial"/>
          <w:b/>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xml:space="preserve">Spotkanie odbyło się w dniu 18.08.2009 r. </w:t>
      </w:r>
      <w:r>
        <w:rPr>
          <w:rFonts w:ascii="Arial" w:hAnsi="Arial" w:cs="Arial"/>
          <w:lang w:eastAsia="pl-PL"/>
        </w:rPr>
        <w:t>w siedzibie Urzędu Miejskiego w </w:t>
      </w:r>
      <w:r w:rsidRPr="00B87D1B">
        <w:rPr>
          <w:rFonts w:ascii="Arial" w:hAnsi="Arial" w:cs="Arial"/>
          <w:lang w:eastAsia="pl-PL"/>
        </w:rPr>
        <w:t>Gniewkowie. Wzięło w nim udział 18 osób: radni Rady Miejskiej w Gniewkowie, przedstawiciele sektora pozarządowego, instytucji publicznych (Miejsko-Gminny Ośrodek Pomocy Społecznej, Miejsko-Gminna Biblioteka Publiczna, szkoły publiczne, Urząd Miejski w Gniewkowie), a także mieszkańcy Gniewkowa.</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Podczas spotkania zaprezentowano planowane inwestycje w ramach działań rewitalizacyjnych, przedstawiono metodę, jaka przeprowadzono delimitację obszaru wsparcia. Pytania oraz sugestie uczestników spotkania dotyczyły przede wszystkim możliwości rozszerzenia obszaru wsparcia, co okazało się niemożliwe wskutek korzystnych wskaźników określających obszar wsparcia.</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p>
    <w:p w:rsidR="00DC27D3" w:rsidRPr="00B87D1B" w:rsidRDefault="00DC27D3" w:rsidP="00DC27D3">
      <w:pPr>
        <w:numPr>
          <w:ilvl w:val="0"/>
          <w:numId w:val="2"/>
        </w:numPr>
        <w:autoSpaceDE w:val="0"/>
        <w:autoSpaceDN w:val="0"/>
        <w:adjustRightInd w:val="0"/>
        <w:spacing w:after="0" w:line="360" w:lineRule="auto"/>
        <w:jc w:val="both"/>
        <w:rPr>
          <w:rFonts w:ascii="Arial" w:hAnsi="Arial" w:cs="Arial"/>
          <w:b/>
          <w:lang w:eastAsia="pl-PL"/>
        </w:rPr>
      </w:pPr>
      <w:r w:rsidRPr="00B87D1B">
        <w:rPr>
          <w:rFonts w:ascii="Arial" w:hAnsi="Arial" w:cs="Arial"/>
          <w:b/>
          <w:lang w:eastAsia="pl-PL"/>
        </w:rPr>
        <w:t>Badanie ankietowe</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Kolejnym elementem konsultacji społecznych było przeprowadzenie badania ankietowego dotyczącego zarówno obszaru wsparcia, jak i planowanych działań, na karcie, której wzór stanowi załącznik do niniejszego Raportu.</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xml:space="preserve">Informacja o wyłożeniu ankiet i możliwości zgłoszenia za ich pośrednictwem uwag dostępna była na tablicach informacyjnych </w:t>
      </w:r>
      <w:r>
        <w:rPr>
          <w:rFonts w:ascii="Arial" w:hAnsi="Arial" w:cs="Arial"/>
          <w:lang w:eastAsia="pl-PL"/>
        </w:rPr>
        <w:t>w siedzibie Urzędu Miejskiego w </w:t>
      </w:r>
      <w:r w:rsidRPr="00B87D1B">
        <w:rPr>
          <w:rFonts w:ascii="Arial" w:hAnsi="Arial" w:cs="Arial"/>
          <w:lang w:eastAsia="pl-PL"/>
        </w:rPr>
        <w:t>Gniewkowie oraz na jego stronie internetowej.</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W wyniku przeprowadzonego badania do Urzędu Miejskiego w Gniewkowie wpłynęło 36 ankiet. Wypełnione były przez:</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osoby prywatne – mieszkańców Gniewkowa (10 ankiet);</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przedstawicieli, pracowników instytucji publicznych (16 ankiet);</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lokalnych przedsiębiorców (5 ankiet);</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organizacje pozarządowe (4 ankiety);</w:t>
      </w:r>
    </w:p>
    <w:p w:rsidR="00DC27D3" w:rsidRPr="00B87D1B" w:rsidRDefault="00DC27D3" w:rsidP="00DC27D3">
      <w:pPr>
        <w:autoSpaceDE w:val="0"/>
        <w:autoSpaceDN w:val="0"/>
        <w:adjustRightInd w:val="0"/>
        <w:spacing w:after="0" w:line="360" w:lineRule="auto"/>
        <w:ind w:left="720" w:firstLine="696"/>
        <w:jc w:val="both"/>
        <w:rPr>
          <w:rFonts w:ascii="Arial" w:hAnsi="Arial" w:cs="Arial"/>
          <w:lang w:eastAsia="pl-PL"/>
        </w:rPr>
      </w:pPr>
      <w:r w:rsidRPr="00B87D1B">
        <w:rPr>
          <w:rFonts w:ascii="Arial" w:hAnsi="Arial" w:cs="Arial"/>
          <w:lang w:eastAsia="pl-PL"/>
        </w:rPr>
        <w:t>- wspólnotę mieszkaniową (1 ankieta).</w:t>
      </w:r>
    </w:p>
    <w:p w:rsidR="00DC27D3" w:rsidRPr="00B87D1B" w:rsidRDefault="00DC27D3" w:rsidP="00DC27D3">
      <w:pPr>
        <w:autoSpaceDE w:val="0"/>
        <w:autoSpaceDN w:val="0"/>
        <w:adjustRightInd w:val="0"/>
        <w:spacing w:after="0" w:line="360" w:lineRule="auto"/>
        <w:jc w:val="both"/>
        <w:rPr>
          <w:rFonts w:ascii="Arial" w:hAnsi="Arial" w:cs="Arial"/>
          <w:lang w:eastAsia="pl-PL"/>
        </w:rPr>
      </w:pPr>
    </w:p>
    <w:p w:rsidR="00DC27D3" w:rsidRPr="00B87D1B" w:rsidRDefault="00DC27D3" w:rsidP="00DC27D3">
      <w:pPr>
        <w:autoSpaceDE w:val="0"/>
        <w:autoSpaceDN w:val="0"/>
        <w:adjustRightInd w:val="0"/>
        <w:spacing w:after="0" w:line="360" w:lineRule="auto"/>
        <w:jc w:val="both"/>
        <w:rPr>
          <w:rFonts w:ascii="Arial" w:hAnsi="Arial" w:cs="Arial"/>
          <w:lang w:eastAsia="pl-PL"/>
        </w:rPr>
      </w:pPr>
      <w:r w:rsidRPr="00B87D1B">
        <w:rPr>
          <w:rFonts w:ascii="Arial" w:hAnsi="Arial" w:cs="Arial"/>
          <w:lang w:eastAsia="pl-PL"/>
        </w:rPr>
        <w:tab/>
        <w:t>Do najczęściej zgłaszanych uwag należało:</w:t>
      </w:r>
    </w:p>
    <w:p w:rsidR="00DC27D3" w:rsidRPr="00B87D1B" w:rsidRDefault="00DC27D3" w:rsidP="00DC27D3">
      <w:pPr>
        <w:autoSpaceDE w:val="0"/>
        <w:autoSpaceDN w:val="0"/>
        <w:adjustRightInd w:val="0"/>
        <w:spacing w:after="0" w:line="360" w:lineRule="auto"/>
        <w:ind w:left="708"/>
        <w:jc w:val="both"/>
        <w:rPr>
          <w:rFonts w:ascii="Arial" w:hAnsi="Arial" w:cs="Arial"/>
          <w:lang w:eastAsia="pl-PL"/>
        </w:rPr>
      </w:pPr>
      <w:r w:rsidRPr="00B87D1B">
        <w:rPr>
          <w:rFonts w:ascii="Arial" w:hAnsi="Arial" w:cs="Arial"/>
          <w:lang w:eastAsia="pl-PL"/>
        </w:rPr>
        <w:t>- objęcie obszarem wsparcia większej części miasta (co jest niemożliwe ze względów obiektywnych – delimitacja za pomocą obiektywnych wskaźników);</w:t>
      </w:r>
    </w:p>
    <w:p w:rsidR="00DC27D3" w:rsidRPr="00B87D1B" w:rsidRDefault="00DC27D3" w:rsidP="00DC27D3">
      <w:pPr>
        <w:autoSpaceDE w:val="0"/>
        <w:autoSpaceDN w:val="0"/>
        <w:adjustRightInd w:val="0"/>
        <w:spacing w:after="0" w:line="360" w:lineRule="auto"/>
        <w:ind w:left="705"/>
        <w:jc w:val="both"/>
        <w:rPr>
          <w:rFonts w:ascii="Arial" w:hAnsi="Arial" w:cs="Arial"/>
          <w:lang w:eastAsia="pl-PL"/>
        </w:rPr>
      </w:pPr>
      <w:r w:rsidRPr="00B87D1B">
        <w:rPr>
          <w:rFonts w:ascii="Arial" w:hAnsi="Arial" w:cs="Arial"/>
          <w:lang w:eastAsia="pl-PL"/>
        </w:rPr>
        <w:t>- zwiększenie nakładów na infrastrukturę wodno-kanalizacyjną (dodatkowe zadania obecnie są już realizowana na terenie miasta ze środków budżetowych Gminy Gniewkowo);</w:t>
      </w:r>
    </w:p>
    <w:p w:rsidR="00DC27D3" w:rsidRPr="00B87D1B" w:rsidRDefault="00DC27D3" w:rsidP="00DC27D3">
      <w:pPr>
        <w:autoSpaceDE w:val="0"/>
        <w:autoSpaceDN w:val="0"/>
        <w:adjustRightInd w:val="0"/>
        <w:spacing w:after="0" w:line="360" w:lineRule="auto"/>
        <w:ind w:left="705"/>
        <w:jc w:val="both"/>
        <w:rPr>
          <w:rFonts w:ascii="Arial" w:hAnsi="Arial" w:cs="Arial"/>
        </w:rPr>
      </w:pPr>
      <w:r w:rsidRPr="00B87D1B">
        <w:rPr>
          <w:rFonts w:ascii="Arial" w:hAnsi="Arial" w:cs="Arial"/>
          <w:lang w:eastAsia="pl-PL"/>
        </w:rPr>
        <w:lastRenderedPageBreak/>
        <w:t xml:space="preserve">- doprecyzowanie zakresu działań (w ankietach wskazano jakie działania powinny być włączone w ramach projektu dotyczącego powstania Muzeum w Gniewkowie oraz projektu dotyczącego modernizacji budynku </w:t>
      </w:r>
      <w:r w:rsidRPr="00B87D1B">
        <w:rPr>
          <w:rFonts w:ascii="Arial" w:hAnsi="Arial" w:cs="Arial"/>
        </w:rPr>
        <w:t>Miejsko-Gminnego Ośrodka Kultury, Sportu i Rekreacji w Gniewkowie.</w:t>
      </w:r>
    </w:p>
    <w:p w:rsidR="00DC27D3" w:rsidRPr="00B87D1B" w:rsidRDefault="00DC27D3" w:rsidP="00DC27D3">
      <w:pPr>
        <w:autoSpaceDE w:val="0"/>
        <w:autoSpaceDN w:val="0"/>
        <w:adjustRightInd w:val="0"/>
        <w:spacing w:after="0" w:line="360" w:lineRule="auto"/>
        <w:jc w:val="both"/>
        <w:rPr>
          <w:rFonts w:ascii="Arial" w:hAnsi="Arial" w:cs="Arial"/>
        </w:rPr>
      </w:pPr>
    </w:p>
    <w:p w:rsidR="00DC27D3" w:rsidRPr="00B87D1B" w:rsidRDefault="00DC27D3" w:rsidP="00DC27D3">
      <w:pPr>
        <w:autoSpaceDE w:val="0"/>
        <w:autoSpaceDN w:val="0"/>
        <w:adjustRightInd w:val="0"/>
        <w:spacing w:after="0" w:line="360" w:lineRule="auto"/>
        <w:ind w:left="709" w:firstLine="707"/>
        <w:jc w:val="both"/>
        <w:rPr>
          <w:rFonts w:ascii="Arial" w:hAnsi="Arial" w:cs="Arial"/>
          <w:lang w:eastAsia="pl-PL"/>
        </w:rPr>
      </w:pPr>
      <w:r w:rsidRPr="00B87D1B">
        <w:rPr>
          <w:rFonts w:ascii="Arial" w:hAnsi="Arial" w:cs="Arial"/>
        </w:rPr>
        <w:t>Wskazano także dodatkowe zadanie w ramach wyznaczonego obszaru wsparcia. Zostało ono zgłoszone przez wspólnotę mieszkaniową i dopisane na listę proponowanych zadań. W trakcie kolejnego badania ankietowego zadanie to również zostało poddane konsultacjom społecznym.</w:t>
      </w:r>
    </w:p>
    <w:p w:rsidR="00DC27D3" w:rsidRPr="00B87D1B" w:rsidRDefault="00DC27D3" w:rsidP="00DC27D3">
      <w:pPr>
        <w:autoSpaceDE w:val="0"/>
        <w:autoSpaceDN w:val="0"/>
        <w:adjustRightInd w:val="0"/>
        <w:spacing w:after="0" w:line="360" w:lineRule="auto"/>
        <w:jc w:val="both"/>
        <w:rPr>
          <w:rFonts w:ascii="Arial" w:hAnsi="Arial" w:cs="Arial"/>
          <w:lang w:eastAsia="pl-PL"/>
        </w:rPr>
      </w:pPr>
    </w:p>
    <w:p w:rsidR="00DC27D3" w:rsidRPr="00B87D1B" w:rsidRDefault="00DC27D3" w:rsidP="00DC27D3">
      <w:pPr>
        <w:numPr>
          <w:ilvl w:val="0"/>
          <w:numId w:val="2"/>
        </w:numPr>
        <w:autoSpaceDE w:val="0"/>
        <w:autoSpaceDN w:val="0"/>
        <w:adjustRightInd w:val="0"/>
        <w:spacing w:after="0" w:line="360" w:lineRule="auto"/>
        <w:jc w:val="both"/>
        <w:rPr>
          <w:rFonts w:ascii="Arial" w:hAnsi="Arial" w:cs="Arial"/>
          <w:b/>
          <w:lang w:eastAsia="pl-PL"/>
        </w:rPr>
      </w:pPr>
      <w:r w:rsidRPr="00B87D1B">
        <w:rPr>
          <w:rFonts w:ascii="Arial" w:hAnsi="Arial" w:cs="Arial"/>
          <w:b/>
          <w:lang w:eastAsia="pl-PL"/>
        </w:rPr>
        <w:t>Wyłożenie LPR</w:t>
      </w:r>
    </w:p>
    <w:p w:rsidR="00DC27D3" w:rsidRPr="00B87D1B" w:rsidRDefault="00DC27D3" w:rsidP="00DC27D3">
      <w:pPr>
        <w:autoSpaceDE w:val="0"/>
        <w:autoSpaceDN w:val="0"/>
        <w:adjustRightInd w:val="0"/>
        <w:spacing w:after="0" w:line="360" w:lineRule="auto"/>
        <w:ind w:left="720"/>
        <w:jc w:val="center"/>
        <w:rPr>
          <w:rFonts w:ascii="Arial" w:hAnsi="Arial" w:cs="Arial"/>
          <w:color w:val="FF0000"/>
          <w:lang w:eastAsia="pl-PL"/>
        </w:rPr>
      </w:pP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r w:rsidRPr="00B87D1B">
        <w:rPr>
          <w:rFonts w:ascii="Arial" w:hAnsi="Arial" w:cs="Arial"/>
          <w:lang w:eastAsia="pl-PL"/>
        </w:rPr>
        <w:t xml:space="preserve">W dniach 1-18.08.2009 r. projekt Lokalnego Programu Rewitalizacji Gniewkowa na lata 2009 – 2015 został wyłożony do wglądu </w:t>
      </w:r>
      <w:r>
        <w:rPr>
          <w:rFonts w:ascii="Arial" w:hAnsi="Arial" w:cs="Arial"/>
          <w:lang w:eastAsia="pl-PL"/>
        </w:rPr>
        <w:t>w siedzibie Urzędu Miejskiego w </w:t>
      </w:r>
      <w:r w:rsidRPr="00B87D1B">
        <w:rPr>
          <w:rFonts w:ascii="Arial" w:hAnsi="Arial" w:cs="Arial"/>
          <w:lang w:eastAsia="pl-PL"/>
        </w:rPr>
        <w:t>Gniewkowie, Miejsko-Gminnego Ośrodka Pomocy Społecznej oraz Miejsko-Gminnej Biblioteki Publicznej. Wraz z LPR udostępniona została ankieta konsultacyjna (załącznik). W trakcie tego etapu tworzenia LPR złożono 14 uwag, które dotyczyły:</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r w:rsidRPr="00B87D1B">
        <w:rPr>
          <w:rFonts w:ascii="Arial" w:hAnsi="Arial" w:cs="Arial"/>
          <w:lang w:eastAsia="pl-PL"/>
        </w:rPr>
        <w:t>- poszerzenia obszaru wsparcia;</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r w:rsidRPr="00B87D1B">
        <w:rPr>
          <w:rFonts w:ascii="Arial" w:hAnsi="Arial" w:cs="Arial"/>
          <w:lang w:eastAsia="pl-PL"/>
        </w:rPr>
        <w:t>- zmiany harmonogramu realizacji projektów;</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r w:rsidRPr="00B87D1B">
        <w:rPr>
          <w:rFonts w:ascii="Arial" w:hAnsi="Arial" w:cs="Arial"/>
          <w:lang w:eastAsia="pl-PL"/>
        </w:rPr>
        <w:t>- kosztów zaplanowanych w projekcie LPR inwestycji.</w:t>
      </w:r>
    </w:p>
    <w:p w:rsidR="00DC27D3" w:rsidRPr="00B87D1B" w:rsidRDefault="00DC27D3" w:rsidP="00DC27D3">
      <w:pPr>
        <w:autoSpaceDE w:val="0"/>
        <w:autoSpaceDN w:val="0"/>
        <w:adjustRightInd w:val="0"/>
        <w:spacing w:after="0" w:line="360" w:lineRule="auto"/>
        <w:ind w:left="720"/>
        <w:jc w:val="both"/>
        <w:rPr>
          <w:rFonts w:ascii="Arial" w:hAnsi="Arial" w:cs="Arial"/>
          <w:lang w:eastAsia="pl-PL"/>
        </w:rPr>
      </w:pPr>
    </w:p>
    <w:p w:rsidR="00DC27D3" w:rsidRPr="00B87D1B" w:rsidRDefault="00DC27D3" w:rsidP="00DC27D3">
      <w:pPr>
        <w:spacing w:after="0" w:line="360" w:lineRule="auto"/>
        <w:rPr>
          <w:rFonts w:ascii="Arial" w:hAnsi="Arial" w:cs="Arial"/>
        </w:rPr>
      </w:pPr>
    </w:p>
    <w:p w:rsidR="00DC27D3" w:rsidRPr="00B87D1B" w:rsidRDefault="00DC27D3" w:rsidP="00DC27D3">
      <w:pPr>
        <w:numPr>
          <w:ilvl w:val="0"/>
          <w:numId w:val="1"/>
        </w:numPr>
        <w:spacing w:after="0" w:line="360" w:lineRule="auto"/>
        <w:rPr>
          <w:rFonts w:ascii="Arial" w:hAnsi="Arial" w:cs="Arial"/>
          <w:b/>
        </w:rPr>
      </w:pPr>
      <w:r w:rsidRPr="00B87D1B">
        <w:rPr>
          <w:rFonts w:ascii="Arial" w:hAnsi="Arial" w:cs="Arial"/>
          <w:b/>
        </w:rPr>
        <w:t>Katy projektów</w:t>
      </w:r>
    </w:p>
    <w:p w:rsidR="00DC27D3" w:rsidRPr="00B87D1B" w:rsidRDefault="00DC27D3" w:rsidP="00DC27D3">
      <w:pPr>
        <w:spacing w:after="0" w:line="360" w:lineRule="auto"/>
        <w:ind w:left="360"/>
        <w:rPr>
          <w:rFonts w:ascii="Arial" w:hAnsi="Arial" w:cs="Arial"/>
        </w:rPr>
      </w:pPr>
    </w:p>
    <w:p w:rsidR="00DC27D3" w:rsidRPr="00B87D1B" w:rsidRDefault="00DC27D3" w:rsidP="00DC27D3">
      <w:pPr>
        <w:spacing w:after="0" w:line="360" w:lineRule="auto"/>
        <w:ind w:left="709"/>
        <w:jc w:val="both"/>
        <w:rPr>
          <w:rFonts w:ascii="Arial" w:hAnsi="Arial" w:cs="Arial"/>
        </w:rPr>
      </w:pPr>
      <w:r w:rsidRPr="00B87D1B">
        <w:rPr>
          <w:rFonts w:ascii="Arial" w:hAnsi="Arial" w:cs="Arial"/>
        </w:rPr>
        <w:t>W trakcie ko</w:t>
      </w:r>
      <w:r w:rsidR="008F4931">
        <w:rPr>
          <w:rFonts w:ascii="Arial" w:hAnsi="Arial" w:cs="Arial"/>
        </w:rPr>
        <w:t>nsultacji społecznych mieszkańcom</w:t>
      </w:r>
      <w:r w:rsidRPr="00B87D1B">
        <w:rPr>
          <w:rFonts w:ascii="Arial" w:hAnsi="Arial" w:cs="Arial"/>
        </w:rPr>
        <w:t xml:space="preserve"> prezentowane były karty projektów dostępne na stronie internetowej Urzędu Miejskiego w Gniewkowie. Wraz z kartami projektów dostępny był wykaz ulic planowanych do ujęcia w obszarze wsparcia. Były to ulice, które ostatecznie zostały objęte wsparciem.</w:t>
      </w:r>
    </w:p>
    <w:p w:rsidR="00DC27D3" w:rsidRPr="00B87D1B" w:rsidRDefault="00DC27D3" w:rsidP="00DC27D3">
      <w:pPr>
        <w:spacing w:after="0" w:line="360" w:lineRule="auto"/>
        <w:ind w:left="360"/>
        <w:rPr>
          <w:rFonts w:ascii="Arial" w:hAnsi="Arial" w:cs="Arial"/>
        </w:rPr>
      </w:pPr>
    </w:p>
    <w:p w:rsidR="00DC27D3" w:rsidRPr="00B87D1B" w:rsidRDefault="00DC27D3" w:rsidP="00DC27D3">
      <w:pPr>
        <w:numPr>
          <w:ilvl w:val="0"/>
          <w:numId w:val="1"/>
        </w:numPr>
        <w:spacing w:after="0" w:line="360" w:lineRule="auto"/>
        <w:rPr>
          <w:rFonts w:ascii="Arial" w:hAnsi="Arial" w:cs="Arial"/>
          <w:b/>
        </w:rPr>
      </w:pPr>
      <w:r w:rsidRPr="00B87D1B">
        <w:rPr>
          <w:rFonts w:ascii="Arial" w:hAnsi="Arial" w:cs="Arial"/>
          <w:b/>
        </w:rPr>
        <w:t xml:space="preserve">Wzór karty konsultacji społecznych – </w:t>
      </w:r>
      <w:r w:rsidRPr="00B87D1B">
        <w:rPr>
          <w:rFonts w:ascii="Arial" w:hAnsi="Arial" w:cs="Arial"/>
        </w:rPr>
        <w:t>załącznik</w:t>
      </w:r>
    </w:p>
    <w:p w:rsidR="00DC27D3" w:rsidRPr="00B87D1B" w:rsidRDefault="00DC27D3" w:rsidP="00DC27D3">
      <w:pPr>
        <w:spacing w:after="0" w:line="360" w:lineRule="auto"/>
        <w:ind w:left="360"/>
        <w:rPr>
          <w:rFonts w:ascii="Arial" w:hAnsi="Arial" w:cs="Arial"/>
        </w:rPr>
      </w:pPr>
    </w:p>
    <w:p w:rsidR="00DC27D3" w:rsidRPr="00B87D1B" w:rsidRDefault="00DC27D3" w:rsidP="00DC27D3">
      <w:pPr>
        <w:spacing w:after="0" w:line="360" w:lineRule="auto"/>
        <w:ind w:left="709"/>
        <w:jc w:val="both"/>
        <w:rPr>
          <w:rFonts w:ascii="Arial" w:hAnsi="Arial" w:cs="Arial"/>
        </w:rPr>
      </w:pPr>
      <w:r w:rsidRPr="00B87D1B">
        <w:rPr>
          <w:rFonts w:ascii="Arial" w:hAnsi="Arial" w:cs="Arial"/>
        </w:rPr>
        <w:t xml:space="preserve">W załączeniu do </w:t>
      </w:r>
      <w:r w:rsidRPr="00B87D1B">
        <w:rPr>
          <w:rFonts w:ascii="Arial" w:hAnsi="Arial" w:cs="Arial"/>
          <w:i/>
        </w:rPr>
        <w:t xml:space="preserve">Raportu </w:t>
      </w:r>
      <w:r w:rsidRPr="00B87D1B">
        <w:rPr>
          <w:rFonts w:ascii="Arial" w:hAnsi="Arial" w:cs="Arial"/>
        </w:rPr>
        <w:t>przedstawiono 2 wersje kart konsultacji społecznych. Pierwsza wersja dotyczy okresu do dnia 18.12.2008</w:t>
      </w:r>
      <w:r w:rsidR="008F4931">
        <w:rPr>
          <w:rFonts w:ascii="Arial" w:hAnsi="Arial" w:cs="Arial"/>
        </w:rPr>
        <w:t>r.</w:t>
      </w:r>
      <w:r w:rsidRPr="00B87D1B">
        <w:rPr>
          <w:rFonts w:ascii="Arial" w:hAnsi="Arial" w:cs="Arial"/>
        </w:rPr>
        <w:t>, kiedy to zgłoszono kolejne zadanie w ramach wyznaczonego obszaru wsparcia. Od tego dnia udostępnione zostały ankiety w wersji zawierającej tę poprawkę.</w:t>
      </w:r>
    </w:p>
    <w:p w:rsidR="00DC27D3" w:rsidRPr="00B87D1B" w:rsidRDefault="00DC27D3" w:rsidP="00DC27D3">
      <w:pPr>
        <w:spacing w:after="0" w:line="360" w:lineRule="auto"/>
        <w:ind w:left="360"/>
        <w:jc w:val="both"/>
        <w:rPr>
          <w:rFonts w:ascii="Arial" w:hAnsi="Arial" w:cs="Arial"/>
        </w:rPr>
      </w:pPr>
    </w:p>
    <w:p w:rsidR="00DC27D3" w:rsidRPr="00B87D1B" w:rsidRDefault="00DC27D3" w:rsidP="00DC27D3">
      <w:pPr>
        <w:spacing w:after="0" w:line="360" w:lineRule="auto"/>
        <w:ind w:left="360"/>
        <w:jc w:val="both"/>
        <w:rPr>
          <w:rFonts w:ascii="Arial" w:hAnsi="Arial" w:cs="Arial"/>
          <w:b/>
        </w:rPr>
      </w:pPr>
      <w:r w:rsidRPr="00B87D1B">
        <w:rPr>
          <w:rFonts w:ascii="Arial" w:hAnsi="Arial" w:cs="Arial"/>
          <w:b/>
        </w:rPr>
        <w:t>Załączniki</w:t>
      </w:r>
    </w:p>
    <w:p w:rsidR="00DC27D3" w:rsidRPr="00B87D1B" w:rsidRDefault="00DC27D3" w:rsidP="00DC27D3">
      <w:pPr>
        <w:spacing w:after="0" w:line="360" w:lineRule="auto"/>
        <w:ind w:left="360"/>
        <w:jc w:val="both"/>
        <w:rPr>
          <w:rFonts w:ascii="Arial" w:hAnsi="Arial" w:cs="Arial"/>
          <w:b/>
        </w:rPr>
      </w:pPr>
    </w:p>
    <w:p w:rsidR="00DC27D3" w:rsidRPr="00B87D1B" w:rsidRDefault="00DC27D3" w:rsidP="00DC27D3">
      <w:pPr>
        <w:numPr>
          <w:ilvl w:val="1"/>
          <w:numId w:val="1"/>
        </w:numPr>
        <w:spacing w:after="0" w:line="360" w:lineRule="auto"/>
        <w:rPr>
          <w:rFonts w:ascii="Arial" w:hAnsi="Arial" w:cs="Arial"/>
        </w:rPr>
      </w:pPr>
      <w:r w:rsidRPr="00B87D1B">
        <w:rPr>
          <w:rFonts w:ascii="Arial" w:hAnsi="Arial" w:cs="Arial"/>
        </w:rPr>
        <w:t>Karta konsultacyjna - wersja 1.</w:t>
      </w:r>
    </w:p>
    <w:p w:rsidR="00DC27D3" w:rsidRPr="008F4931" w:rsidRDefault="00DC27D3" w:rsidP="008F4931">
      <w:pPr>
        <w:numPr>
          <w:ilvl w:val="1"/>
          <w:numId w:val="1"/>
        </w:numPr>
        <w:spacing w:after="0" w:line="360" w:lineRule="auto"/>
        <w:rPr>
          <w:rFonts w:ascii="Arial" w:hAnsi="Arial" w:cs="Arial"/>
        </w:rPr>
      </w:pPr>
      <w:r w:rsidRPr="00B87D1B">
        <w:rPr>
          <w:rFonts w:ascii="Arial" w:hAnsi="Arial" w:cs="Arial"/>
        </w:rPr>
        <w:t>Karta konsultacyjna - wersja 2.</w:t>
      </w:r>
    </w:p>
    <w:p w:rsidR="00DC27D3" w:rsidRPr="00B87D1B" w:rsidRDefault="00DC27D3" w:rsidP="00DC27D3">
      <w:pPr>
        <w:numPr>
          <w:ilvl w:val="1"/>
          <w:numId w:val="1"/>
        </w:numPr>
        <w:spacing w:after="0" w:line="360" w:lineRule="auto"/>
        <w:rPr>
          <w:rFonts w:ascii="Arial" w:hAnsi="Arial" w:cs="Arial"/>
        </w:rPr>
      </w:pPr>
      <w:r w:rsidRPr="00B87D1B">
        <w:rPr>
          <w:rFonts w:ascii="Arial" w:hAnsi="Arial" w:cs="Arial"/>
        </w:rPr>
        <w:t>Prezentacja multimedialna z konsultacji społecznych.</w:t>
      </w: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DC27D3" w:rsidRDefault="00DC27D3" w:rsidP="00DC27D3">
      <w:pPr>
        <w:spacing w:after="0" w:line="360" w:lineRule="auto"/>
        <w:jc w:val="center"/>
        <w:rPr>
          <w:rFonts w:ascii="Tahoma" w:hAnsi="Tahoma" w:cs="Tahoma"/>
          <w:sz w:val="21"/>
          <w:szCs w:val="21"/>
        </w:rPr>
      </w:pPr>
    </w:p>
    <w:p w:rsidR="002F2202" w:rsidRDefault="002F2202"/>
    <w:sectPr w:rsidR="002F2202" w:rsidSect="009261B8">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1B8" w:rsidRDefault="009261B8" w:rsidP="009261B8">
      <w:pPr>
        <w:spacing w:after="0" w:line="240" w:lineRule="auto"/>
      </w:pPr>
      <w:r>
        <w:separator/>
      </w:r>
    </w:p>
  </w:endnote>
  <w:endnote w:type="continuationSeparator" w:id="1">
    <w:p w:rsidR="009261B8" w:rsidRDefault="009261B8" w:rsidP="00926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253"/>
      <w:docPartObj>
        <w:docPartGallery w:val="Page Numbers (Bottom of Page)"/>
        <w:docPartUnique/>
      </w:docPartObj>
    </w:sdtPr>
    <w:sdtContent>
      <w:p w:rsidR="009261B8" w:rsidRDefault="00293F79">
        <w:pPr>
          <w:pStyle w:val="Stopka"/>
          <w:jc w:val="center"/>
        </w:pPr>
        <w:fldSimple w:instr=" PAGE   \* MERGEFORMAT ">
          <w:r w:rsidR="008F4931">
            <w:rPr>
              <w:noProof/>
            </w:rPr>
            <w:t>6</w:t>
          </w:r>
        </w:fldSimple>
      </w:p>
    </w:sdtContent>
  </w:sdt>
  <w:p w:rsidR="009261B8" w:rsidRDefault="009261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1B8" w:rsidRDefault="009261B8" w:rsidP="009261B8">
      <w:pPr>
        <w:spacing w:after="0" w:line="240" w:lineRule="auto"/>
      </w:pPr>
      <w:r>
        <w:separator/>
      </w:r>
    </w:p>
  </w:footnote>
  <w:footnote w:type="continuationSeparator" w:id="1">
    <w:p w:rsidR="009261B8" w:rsidRDefault="009261B8" w:rsidP="00926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46DD"/>
    <w:multiLevelType w:val="hybridMultilevel"/>
    <w:tmpl w:val="00B2F92C"/>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51002ED0"/>
    <w:multiLevelType w:val="hybridMultilevel"/>
    <w:tmpl w:val="3F588E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27D3"/>
    <w:rsid w:val="00293F79"/>
    <w:rsid w:val="002F2202"/>
    <w:rsid w:val="0039622E"/>
    <w:rsid w:val="008F4931"/>
    <w:rsid w:val="009261B8"/>
    <w:rsid w:val="00DC27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27D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261B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261B8"/>
    <w:rPr>
      <w:rFonts w:ascii="Calibri" w:eastAsia="Calibri" w:hAnsi="Calibri" w:cs="Times New Roman"/>
    </w:rPr>
  </w:style>
  <w:style w:type="paragraph" w:styleId="Stopka">
    <w:name w:val="footer"/>
    <w:basedOn w:val="Normalny"/>
    <w:link w:val="StopkaZnak"/>
    <w:uiPriority w:val="99"/>
    <w:unhideWhenUsed/>
    <w:rsid w:val="009261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1B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845</Words>
  <Characters>5075</Characters>
  <Application>Microsoft Office Word</Application>
  <DocSecurity>0</DocSecurity>
  <Lines>42</Lines>
  <Paragraphs>11</Paragraphs>
  <ScaleCrop>false</ScaleCrop>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Drzazdzewski</cp:lastModifiedBy>
  <cp:revision>4</cp:revision>
  <dcterms:created xsi:type="dcterms:W3CDTF">2009-09-20T16:00:00Z</dcterms:created>
  <dcterms:modified xsi:type="dcterms:W3CDTF">2009-09-20T19:08:00Z</dcterms:modified>
</cp:coreProperties>
</file>