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XVIII/112/2025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Gniewkowie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Wieloletniej Prognozy Finansowej Gniewkowa na lata 2025-2039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230 ust. 6 ustawy z dnia 27 sierpnia 2009 roku o finansach publicznych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2024 r. poz. 1530 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zm.) uchwala się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uchwale nr XI/65/2024 Rady Miejskiej w Gniewkowie z dnia 18.12.2024 r. w sprawie Wieloletniej Prognozy Finansowej Gniewkowa na lata 2025-2039 z późn. zmianami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 nr 1 – Wieloletnia Prognoza Finansowa Gniewkowa na lata 2025-2039 otrzymuje brzmienie załącznika nr 1 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Wykazie wieloletnich przedsięwzięć Gniewkowa, stanowiącym załącznik nr 2 do zmienianej uchwały – określone w załączniku nr 2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Burmistrzowi Gniewkowa.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z 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Stefański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XVIII/112/2025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Gniewkowie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czerwca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6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Zalacznik1.pdf</w:t>
        </w:r>
      </w:hyperlink>
    </w:p>
    <w:p w:rsidR="00A77B3E">
      <w:pPr>
        <w:keepNext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 Nr XVIII/112/2025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t>Rady Miejskiej w Gniewkowie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czerwca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hyperlink r:id="rId8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  <w:vertAlign w:val="baseline"/>
          </w:rPr>
          <w:t>Zalacznik2.pdf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320" w:afterAutospacing="0" w:line="240" w:lineRule="auto"/>
        <w:ind w:left="0" w:right="0" w:firstLine="0"/>
        <w:contextualSpacing w:val="0"/>
        <w:jc w:val="center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Objaśnienia przyjętych wartości do Wieloletniej Prognozy Finansowej Gniewkowa na lata 2025-2039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Zgodnie ze zmianami w budżecie na dzień 25 czerwca 2025 r., dokonano następujących zmian w Wieloletniej Prognozie Finansowej Gniewkowa: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Dochody ogółem zmniejszono o 331 004,97 zł, z czego dochody bieżące zwiększono o 437 395,03 zł, a dochody majątkowe zmniejszono o 768 400,00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Wydatki ogółem zmniejszono o 331 004,97 zł, z czego wydatki bieżące zwiększono o 407 278,03 zł, a wydatki majątkowe zmniejszono o 738 283,00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Wynik budżetu nie uległ zmianie.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Zmiany w dochodach i wydatkach w 2025 roku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96 154 122,92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-331 004,97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95 823 117,95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88 704 752,27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+437 395,03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89 142 147,30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13 020 757,27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+203 970,00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13 224 727,27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26 480 755,48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+233 425,03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26 714 180,51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7 449 370,65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-768 400,00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6 680 970,65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99 254 014,85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-331 004,97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98 923 009,88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89 440 222,00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+407 278,03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89 847 500,03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46 610 283,87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+15 265,85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46 625 549,72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40 229 938,13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+392 012,18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40 621 950,31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9 813 792,85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-738 283,00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9 075 509,85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 Wieloletniej Prognozie Finansowej Gniewkowa: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Przychody ogółem w roku budżetowym nie uległy zmianie.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Rozchody ogółem w roku budżetowym nie uległy zmianie.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Od 2026 nie dokonywano zmian w zakresie planowanych przychodów.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Od 2026 nie dokonywano zmian w zakresie planowanych rozchodów.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Zmiany w Wieloletniej Prognozie Finansowej Gniewkowa na lata 2025-2039 spowodowały modyfikacje w kształtowaniu się relacji z art. 243 ustawy o finansach publicznych. Szczegóły zaprezentowano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825"/>
        <w:gridCol w:w="1649"/>
        <w:gridCol w:w="1650"/>
        <w:gridCol w:w="1649"/>
        <w:gridCol w:w="1650"/>
        <w:gridCol w:w="1649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b/>
                <w:szCs w:val="20"/>
                <w:lang w:val="x-none" w:eastAsia="en-US" w:bidi="ar-SA"/>
              </w:rPr>
            </w:pPr>
            <w:r>
              <w:rPr>
                <w:b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6,77%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6,40%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6,67%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6,00%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4,95%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5,23%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5,91%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4,57%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4,84%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5,77%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4,91%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5,19%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5,63%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5,10%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5,37%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NIE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4,97%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5,27%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5,54%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4,79%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5,64%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5,91%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4,51%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6,43%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6,43%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4,24%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6,96%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6,96%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3,41%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6,72%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6,72%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2,59%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6,59%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2,42%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6,57%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6,57%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2,26%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6,64%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6,64%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1,60%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6,74%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6,74%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2039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1,02%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6,88%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6,88%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>TAK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Dane zawarte w tabeli wskazują, że w latach 2025-2029 Miasto i Gmina Gniewkowo nie spełnia relacji z art. 243 ust. 1 ustawy o finansach publicznych zarówno po 3 kwartale roku poprzedzającego jak i po wykonaniu. Wskazać przy tym należy, że relacja planowanej kwoty długu na koniec roku do dochodów ogółem pomniejszonych o dotacje i środki o podobnym charakterze oraz powiększonych o przychody z tytułów określonych w art. 217 ust. 2 pkt 4-8 ustawy o finansach publicznych, nieprzeznaczone na sfinansowanie deficytu budżetowego, wynosi: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2025 roku wyniesie 45,84%;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2026 roku wyniesie 40,98%;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2027 roku wyniesie 36,56%;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2028 roku wyniesie 32,13%;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2029 roku wyniesie 27,68%.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Zgodnie z art. 7 ust. 1 ustawy z dnia 15 września 2022 r. o zmianie ustawy o dochodach JST oraz niektórych innych ustaw, relacja ograniczająca wysokość spłaty zobowiązań jednostki samorządu terytorialnego, o której mowa w art. 243 ust. 1 ustawy o finansach publicznych, może być niezachowana w latach 2022-2029 w przypadku, gdy prognozowana łączna kwota długu jednostki samorządu terytorialnego na koniec danego roku nie przekroczy 100% planowanych dochodów ogółem pomniejszonych o dotacje i środki o podobnym charakterze oraz powiększonych o przychody z tytułów określonych w art. 217 ust. 2 pkt 4-8 ustawy o finansach publicznych. W związku z powyższym niespełnienie relacji z art. 243 ust. 1 ustawy w latach 2025-2029 jest dopuszczalne.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Zmiana Wieloletniej Prognozy Finansowej Gniewkowa obejmuje również zmiany w załączniku nr 2, które szczegółowo opisano poniżej.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Do załącznika przedsięwzięć dodano następujące przedsięwzięcia: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Modernizacja kompleksu sportowego "Moje boisko - ORLIK 2012" przy SP1 w Gniewkowie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Pełen zakres zmian obrazują załączniki nr 1 i 2 do niniejszej uchwały.</w:t>
      </w:r>
    </w:p>
    <w:sectPr>
      <w:footerReference w:type="default" r:id="rId9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D918E930-448C-45DF-9072-462910C74C45.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D918E930-448C-45DF-9072-462910C74C45.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D918E930-448C-45DF-9072-462910C74C45.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D918E930-448C-45DF-9072-462910C74C45.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>
    <w:nsid w:val="00000003"/>
    <w:multiLevelType w:val="multilevel"/>
    <w:tmpl w:val="00000000"/>
    <w:lvl w:ilvl="0">
      <w:start w:val="1"/>
      <w:numFmt w:val="bullet"/>
      <w:lvlText w:val="·"/>
      <w:lvlJc w:val="left"/>
      <w:pPr>
        <w:ind w:left="709" w:hanging="425"/>
      </w:pPr>
      <w:rPr>
        <w:rFonts w:ascii="Symbol" w:hAnsi="Symbol"/>
        <w:b w:val="0"/>
        <w:i w:val="0"/>
        <w:strike w:val="0"/>
        <w:color w:val="auto"/>
        <w:sz w:val="20"/>
        <w:u w:val="none"/>
      </w:rPr>
    </w:lvl>
    <w:lvl w:ilvl="1">
      <w:start w:val="1"/>
      <w:numFmt w:val="bullet"/>
      <w:lvlText w:val="·"/>
      <w:lvlJc w:val="left"/>
      <w:pPr>
        <w:ind w:left="1069" w:hanging="425"/>
      </w:pPr>
      <w:rPr>
        <w:rFonts w:ascii="Symbol" w:hAnsi="Symbol"/>
        <w:b w:val="0"/>
        <w:i w:val="0"/>
        <w:strike w:val="0"/>
        <w:color w:val="auto"/>
        <w:sz w:val="20"/>
        <w:u w:val="none"/>
      </w:rPr>
    </w:lvl>
    <w:lvl w:ilvl="2">
      <w:start w:val="1"/>
      <w:numFmt w:val="bullet"/>
      <w:lvlText w:val="·"/>
      <w:lvlJc w:val="left"/>
      <w:pPr>
        <w:ind w:left="1429" w:hanging="425"/>
      </w:pPr>
      <w:rPr>
        <w:rFonts w:ascii="Symbol" w:hAnsi="Symbol"/>
        <w:b w:val="0"/>
        <w:i w:val="0"/>
        <w:strike w:val="0"/>
        <w:color w:val="auto"/>
        <w:sz w:val="20"/>
        <w:u w:val="none"/>
      </w:rPr>
    </w:lvl>
    <w:lvl w:ilvl="3">
      <w:start w:val="1"/>
      <w:numFmt w:val="bullet"/>
      <w:lvlText w:val="·"/>
      <w:lvlJc w:val="left"/>
      <w:pPr>
        <w:ind w:left="1789" w:hanging="425"/>
      </w:pPr>
      <w:rPr>
        <w:rFonts w:ascii="Symbol" w:hAnsi="Symbol"/>
        <w:b w:val="0"/>
        <w:i w:val="0"/>
        <w:strike w:val="0"/>
        <w:color w:val="auto"/>
        <w:sz w:val="20"/>
        <w:u w:val="none"/>
      </w:rPr>
    </w:lvl>
    <w:lvl w:ilvl="4">
      <w:start w:val="1"/>
      <w:numFmt w:val="bullet"/>
      <w:lvlText w:val="·"/>
      <w:lvlJc w:val="left"/>
      <w:pPr>
        <w:ind w:left="2149" w:hanging="425"/>
      </w:pPr>
      <w:rPr>
        <w:rFonts w:ascii="Symbol" w:hAnsi="Symbol"/>
        <w:b w:val="0"/>
        <w:i w:val="0"/>
        <w:strike w:val="0"/>
        <w:color w:val="auto"/>
        <w:sz w:val="20"/>
        <w:u w:val="none"/>
      </w:rPr>
    </w:lvl>
    <w:lvl w:ilvl="5">
      <w:start w:val="1"/>
      <w:numFmt w:val="bullet"/>
      <w:lvlText w:val="·"/>
      <w:lvlJc w:val="left"/>
      <w:pPr>
        <w:ind w:left="2509" w:hanging="425"/>
      </w:pPr>
      <w:rPr>
        <w:rFonts w:ascii="Symbol" w:hAnsi="Symbol"/>
        <w:b w:val="0"/>
        <w:i w:val="0"/>
        <w:strike w:val="0"/>
        <w:color w:val="auto"/>
        <w:sz w:val="20"/>
        <w:u w:val="none"/>
      </w:rPr>
    </w:lvl>
    <w:lvl w:ilvl="6">
      <w:start w:val="1"/>
      <w:numFmt w:val="bullet"/>
      <w:lvlText w:val="·"/>
      <w:lvlJc w:val="left"/>
      <w:pPr>
        <w:ind w:left="2869" w:hanging="425"/>
      </w:pPr>
      <w:rPr>
        <w:rFonts w:ascii="Symbol" w:hAnsi="Symbol"/>
        <w:b w:val="0"/>
        <w:i w:val="0"/>
        <w:strike w:val="0"/>
        <w:color w:val="auto"/>
        <w:sz w:val="20"/>
        <w:u w:val="none"/>
      </w:rPr>
    </w:lvl>
    <w:lvl w:ilvl="7">
      <w:start w:val="1"/>
      <w:numFmt w:val="bullet"/>
      <w:lvlText w:val="·"/>
      <w:lvlJc w:val="left"/>
      <w:pPr>
        <w:ind w:left="3229" w:hanging="425"/>
      </w:pPr>
      <w:rPr>
        <w:rFonts w:ascii="Symbol" w:hAnsi="Symbol"/>
        <w:b w:val="0"/>
        <w:i w:val="0"/>
        <w:strike w:val="0"/>
        <w:color w:val="auto"/>
        <w:sz w:val="20"/>
        <w:u w:val="none"/>
      </w:rPr>
    </w:lvl>
    <w:lvl w:ilvl="8">
      <w:start w:val="1"/>
      <w:numFmt w:val="bullet"/>
      <w:lvlText w:val="·"/>
      <w:lvlJc w:val="left"/>
      <w:pPr>
        <w:ind w:left="3589" w:hanging="425"/>
      </w:pPr>
      <w:rPr>
        <w:rFonts w:ascii="Symbol" w:hAnsi="Symbol"/>
        <w:b w:val="0"/>
        <w:i w:val="0"/>
        <w:strike w:val="0"/>
        <w:color w:val="auto"/>
        <w:sz w:val="20"/>
        <w:u w:val="none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customStyle="1" w:styleId="TytuPublink">
    <w:name w:val="Tytuł (Publink)"/>
    <w:basedOn w:val="Normal"/>
    <w:pPr>
      <w:spacing w:before="160" w:after="320"/>
      <w:jc w:val="center"/>
    </w:pPr>
    <w:rPr>
      <w:rFonts w:ascii="Arial" w:hAnsi="Arial"/>
      <w:b/>
      <w:sz w:val="32"/>
      <w:szCs w:val="20"/>
      <w:lang w:val="x-none" w:eastAsia="en-US" w:bidi="ar-SA"/>
    </w:rPr>
  </w:style>
  <w:style w:type="paragraph" w:customStyle="1" w:styleId="TekstPublink">
    <w:name w:val="Tekst (Publink)"/>
    <w:basedOn w:val="Normal"/>
    <w:pPr>
      <w:spacing w:after="160"/>
    </w:pPr>
    <w:rPr>
      <w:rFonts w:ascii="Arial" w:hAnsi="Arial"/>
      <w:sz w:val="20"/>
      <w:szCs w:val="20"/>
      <w:lang w:val="x-none" w:eastAsia="en-US" w:bidi="ar-SA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hyperlink" Target="Zalacznik2.pdf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Gniewkowie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XVIII/112/2025 z dnia 25 czerwca 2025 r.</dc:title>
  <dc:subject>w sprawie zmian Wieloletniej Prognozy Finansowej Gniewkowa na lata 2025-2039</dc:subject>
  <dc:creator>Jadwiga Stefańska</dc:creator>
  <cp:lastModifiedBy>Jadwiga Stefańska</cp:lastModifiedBy>
  <cp:revision>1</cp:revision>
  <dcterms:created xsi:type="dcterms:W3CDTF">2025-07-01T14:34:23Z</dcterms:created>
  <dcterms:modified xsi:type="dcterms:W3CDTF">2025-07-01T14:34:23Z</dcterms:modified>
  <cp:category>Akt prawny</cp:category>
</cp:coreProperties>
</file>