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XVIII/110/2025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Gniewkowie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absolutorium dla Burmistrza Gniewkowa za 2024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art.18 ust. 2 pkt 4, art. 28a ust. 2 ustawy z dnia 8 marca 1990 r. o samorządzie gminnym (Dz. U.  z 2024 r. poz. 1465 ze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 oraz art. 271 ust. 1 ustawy z dnia 27 sierpnia 2009 r. o finansach publicznych (Dz.U. z 2024 r. poz. 1530 ze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Udzielić Burmistrzowi Gniewkowa absolutorium za wykonanie budżetu Gminy Gniewkowo za rok 2024.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z dniem podjęcia i podlega ogłoszeniu w sposób zwyczajowo przyjęty na terenie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Stefański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                         Uchwalanie budżetu gminy, rozpatrywanie sprawozdania z wykonania budżetu oraz podejmowanie uchwały w sprawie udzielenia lub nieudzielenia absolutorium z tego tytułu należy do wyłącznej właściwości rady gminy (art. 18 ust. 2 pkt 4 usg).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271 ust. 1 ustawy o finansach publicznych rada gminy podejmuje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uchwałę w sprawie absolutorium po zapoznaniu się z:</w:t>
        <w:br/>
        <w:t> 1) sprawozdaniem z wykonania budżetu jednostki samorządu terytorialnego;</w:t>
        <w:br/>
        <w:t> 2) sprawozdaniem finansowym;</w:t>
        <w:br/>
        <w:t> 3) opinią z badania sprawozdania finansowego, o którym mowa w art. 268;</w:t>
        <w:br/>
        <w:t> 4) opinią regionalnej izby obrachunkowej, o której mowa w art. 270 ust. 2;</w:t>
        <w:br/>
        <w:t> 5)  informacją o stanie mienia jednostki samorządu terytorialnego;</w:t>
        <w:br/>
        <w:t> 6)  stanowiskiem komisji rewizyjnej.</w:t>
        <w:br/>
        <w:t xml:space="preserve">Komisja rewizyjna opiniuje wykonanie budżetu gminy i występuje z wnioskiem do rady gminy w sprawie udzielenia lub nieudzielenia absolutorium. Wniosek w sprawie absolutorium podlega zaopiniowaniu przez regionalną izbę obrachunkową (art. 18a ust. 3 usg). Regionalna Izba Obrachunkowa w Bydgoszczy  uchwałą Nr 16/S/2025 z dnia  24 kwietnia 2025 roku pozytywnie  z zastrzeżeniami zaopiniowała sprawozdanie z  wykonania budżetu Gminy Gniewkowo za rok 2024, a uchwałą Nr 4/Kr/2025 z dnia 14 maja 2025 r. pozytywnie zaopiniowała wniosek Komisji Rewizyjnej z dnia 8 maja 2025 r. o udzielenie absolutorium Burmistrzowi Gniewkowa z tytułu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wykonania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budżetu 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za 2024 rok.</w:t>
        <w:br/>
        <w:t xml:space="preserve">                           Stosownie do art. 28a ust. 2 ustawy z dnia 8 marca 1990 r. o samorządzie gminnym- udzielenie absolutorium następuje bezwzględną większością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głosów ustawowego składu rady gminy.</w:t>
        <w:br/>
        <w:t xml:space="preserve">Bezwzględna większość ustawowego składu Rady Miejskiej w Gniewkowie wynosi 8 głosów. </w:t>
        <w:br/>
        <w:t xml:space="preserve">Za udzieleniem absolutorium głosowało </w:t>
      </w:r>
      <w:r>
        <w:rPr>
          <w:color w:val="000000"/>
          <w:sz w:val="24"/>
          <w:szCs w:val="20"/>
          <w:shd w:val="clear" w:color="auto" w:fill="FFFFFF"/>
        </w:rPr>
        <w:t xml:space="preserve">13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radnych. W  głosowaniu uczestniczyło </w:t>
      </w:r>
      <w:r>
        <w:rPr>
          <w:color w:val="000000"/>
          <w:sz w:val="24"/>
          <w:szCs w:val="20"/>
          <w:shd w:val="clear" w:color="auto" w:fill="FFFFFF"/>
        </w:rPr>
        <w:t xml:space="preserve">15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radnych.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6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9ADD3C07-1889-4BAA-B632-24F6DA1991D4.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9ADD3C07-1889-4BAA-B632-24F6DA1991D4.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Dz.U. z 2024 r. poz. 1572, 1907, 1940.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Dz.U. z 2024 r. 1572, 1717, 1756, 1907, z 2025 r. poz. 39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Gniewkowie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XVIII/110/2025 z dnia 25 czerwca 2025 r.</dc:title>
  <dc:subject>w sprawie udzielenia absolutorium dla Burmistrza Gniewkowa za 2024^rok</dc:subject>
  <dc:creator>Jadwiga Stefańska</dc:creator>
  <cp:lastModifiedBy>Jadwiga Stefańska</cp:lastModifiedBy>
  <cp:revision>1</cp:revision>
  <dcterms:created xsi:type="dcterms:W3CDTF">2025-07-01T14:34:49Z</dcterms:created>
  <dcterms:modified xsi:type="dcterms:W3CDTF">2025-07-01T14:34:49Z</dcterms:modified>
  <cp:category>Akt prawny</cp:category>
</cp:coreProperties>
</file>