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XVIII/108/2025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Miejskiej w Gniewkowie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udzielenia Burmistrzowi Gniewkowa wotum zaufania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art.18 ust. 2 pkt 4a, art. 28aa ust. 9 ustawy z dnia 8 marca 1990 r.  o samorządzie gminnym (Dz. U.  z 2024 r. poz. 1465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rozpatrzeniu Raportu o stanie Gminy Gniewkowo za rok 2024 oraz po przeprowadzeniu debaty postanawia się udzielić wotum zaufania Burmistrzowi Gniewkowa.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 życie z dniem podjęcia i podlega ogłoszeniu w sposób zwyczajowo przyjęty na terenie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Stefański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5954"/>
        </w:tabs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art.18 ust. 2 pkt 4a, art. 28 aa ust. 1  ustawy  z  dnia 8  marca 1990 r.  o samorządzie gminnym (Dz. U.  z 2024 r. poz.1465 ze zm.) wójt co roku do dnia 31 maja przedstawia radzie gminy raport o stanie gminy, który obejmuje podsumowanie jego działalności w roku poprzednim, w szczególności realizację polityk, programów i strategii rady gminy i budżetu obywatelskiego.</w:t>
        <w:br/>
        <w:t xml:space="preserve">Burmistrz Gniewkowa- Pani Ilona Wodniak-Kuraszkiewicz przedłożyła w dniu 30 maja 2025r. Radzie Miejskiej raport o stanie Gminy za 2024 rok. 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5954"/>
        </w:tabs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 omówieniu raportu przez Komisje Rady oraz po przeprowadzeniu debaty w jego sprawie– Rada Miejska, biorąc pod uwagę przebieg tej debaty oraz informacje uzyskane w trakcie omawiania raportu, postanowiła udzielić wotum zaufania Burmistrzowi Gniewkowa.</w:t>
        <w:br/>
        <w:t xml:space="preserve">Mając powyższe na uwadze, podjęcie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6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054583E5-9503-41DA-B5D8-FFB6E4DFB342.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054583E5-9503-41DA-B5D8-FFB6E4DFB342.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Dz.U. z 2024 r. poz. 1572, 1907, 1940.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Gniewkowie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XVIII/108/2025 z dnia 25 czerwca 2025 r.</dc:title>
  <dc:subject>w sprawie udzielenia Burmistrzowi Gniewkowa wotum zaufania</dc:subject>
  <dc:creator>Jadwiga Stefańska</dc:creator>
  <cp:lastModifiedBy>Jadwiga Stefańska</cp:lastModifiedBy>
  <cp:revision>1</cp:revision>
  <dcterms:created xsi:type="dcterms:W3CDTF">2025-07-01T14:35:11Z</dcterms:created>
  <dcterms:modified xsi:type="dcterms:W3CDTF">2025-07-01T14:35:11Z</dcterms:modified>
  <cp:category>Akt prawny</cp:category>
</cp:coreProperties>
</file>