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671B" w14:textId="166B5218" w:rsidR="00CF56B8" w:rsidRPr="009E4DC7" w:rsidRDefault="00ED3CA4" w:rsidP="00CF56B8">
      <w:pPr>
        <w:spacing w:before="100" w:beforeAutospacing="1" w:after="240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  <w:r w:rsidR="00CF56B8">
        <w:rPr>
          <w:sz w:val="24"/>
          <w:szCs w:val="24"/>
        </w:rPr>
        <w:br/>
        <w:t>w Bydgoszczy II</w:t>
      </w:r>
      <w:r w:rsidR="00CF56B8">
        <w:rPr>
          <w:sz w:val="24"/>
          <w:szCs w:val="24"/>
        </w:rPr>
        <w:br/>
        <w:t>ul.Jagiellońska 3</w:t>
      </w:r>
      <w:r w:rsidR="00CF56B8">
        <w:rPr>
          <w:sz w:val="24"/>
          <w:szCs w:val="24"/>
        </w:rPr>
        <w:br/>
        <w:t>85-950 Bydgoszcz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</w:t>
      </w:r>
      <w:proofErr w:type="gramStart"/>
      <w:r w:rsidRPr="009E4DC7">
        <w:rPr>
          <w:sz w:val="24"/>
          <w:szCs w:val="24"/>
          <w:vertAlign w:val="superscript"/>
        </w:rPr>
        <w:t xml:space="preserve">miejscowość)   </w:t>
      </w:r>
      <w:proofErr w:type="gramEnd"/>
      <w:r w:rsidRPr="009E4DC7">
        <w:rPr>
          <w:sz w:val="24"/>
          <w:szCs w:val="24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9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469FF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CF56B8"/>
    <w:rsid w:val="00E06CA2"/>
    <w:rsid w:val="00EA06BC"/>
    <w:rsid w:val="00EB0FAE"/>
    <w:rsid w:val="00ED3CA4"/>
    <w:rsid w:val="00FA6087"/>
    <w:rsid w:val="00FE1088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Jadwiga Stefańska</cp:lastModifiedBy>
  <cp:revision>3</cp:revision>
  <cp:lastPrinted>2025-02-14T09:09:00Z</cp:lastPrinted>
  <dcterms:created xsi:type="dcterms:W3CDTF">2025-02-14T09:09:00Z</dcterms:created>
  <dcterms:modified xsi:type="dcterms:W3CDTF">2025-02-14T09:21:00Z</dcterms:modified>
</cp:coreProperties>
</file>