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41" w:rsidRDefault="005505C0" w:rsidP="004205CF">
      <w:pPr>
        <w:spacing w:line="360" w:lineRule="auto"/>
        <w:rPr>
          <w:rFonts w:ascii="Arial" w:hAnsi="Arial"/>
          <w:sz w:val="22"/>
          <w:szCs w:val="22"/>
        </w:rPr>
      </w:pPr>
      <w:r w:rsidRPr="00C7279B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3EA34A8B" wp14:editId="196F9775">
            <wp:extent cx="5761355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46C" w:rsidRPr="00A1746C" w:rsidRDefault="00A1746C" w:rsidP="00A1746C">
      <w:pPr>
        <w:widowControl w:val="0"/>
        <w:suppressAutoHyphens w:val="0"/>
        <w:ind w:left="-284"/>
        <w:jc w:val="both"/>
        <w:rPr>
          <w:rFonts w:ascii="Arial" w:eastAsia="Times New Roman" w:hAnsi="Arial"/>
          <w:snapToGrid w:val="0"/>
          <w:kern w:val="0"/>
          <w:sz w:val="28"/>
          <w:lang w:eastAsia="pl-PL" w:bidi="ar-SA"/>
        </w:rPr>
      </w:pPr>
    </w:p>
    <w:p w:rsidR="00A1746C" w:rsidRPr="00A1746C" w:rsidRDefault="00A8514C" w:rsidP="00A1746C">
      <w:pPr>
        <w:widowControl w:val="0"/>
        <w:suppressAutoHyphens w:val="0"/>
        <w:ind w:left="-284"/>
        <w:jc w:val="right"/>
        <w:rPr>
          <w:rFonts w:ascii="Arial" w:eastAsia="Times New Roman" w:hAnsi="Arial"/>
          <w:kern w:val="0"/>
          <w:szCs w:val="22"/>
          <w:lang w:eastAsia="pl-PL" w:bidi="ar-SA"/>
        </w:rPr>
      </w:pPr>
      <w:r>
        <w:rPr>
          <w:rFonts w:ascii="Arial" w:eastAsia="Times New Roman" w:hAnsi="Arial"/>
          <w:snapToGrid w:val="0"/>
          <w:kern w:val="0"/>
          <w:szCs w:val="22"/>
          <w:lang w:eastAsia="pl-PL" w:bidi="ar-SA"/>
        </w:rPr>
        <w:t>Gniewkowo, dnia 13.12</w:t>
      </w:r>
      <w:r w:rsidR="00A1746C" w:rsidRPr="00A1746C">
        <w:rPr>
          <w:rFonts w:ascii="Arial" w:eastAsia="Times New Roman" w:hAnsi="Arial"/>
          <w:snapToGrid w:val="0"/>
          <w:kern w:val="0"/>
          <w:szCs w:val="22"/>
          <w:lang w:eastAsia="pl-PL" w:bidi="ar-SA"/>
        </w:rPr>
        <w:t>.2021 r.</w:t>
      </w:r>
    </w:p>
    <w:p w:rsidR="00A1746C" w:rsidRPr="00A1746C" w:rsidRDefault="00A1746C" w:rsidP="00A1746C">
      <w:pPr>
        <w:widowControl w:val="0"/>
        <w:suppressAutoHyphens w:val="0"/>
        <w:ind w:left="-284"/>
        <w:jc w:val="right"/>
        <w:rPr>
          <w:rFonts w:ascii="Arial" w:eastAsia="Times New Roman" w:hAnsi="Arial"/>
          <w:kern w:val="0"/>
          <w:szCs w:val="22"/>
          <w:lang w:eastAsia="pl-PL" w:bidi="ar-SA"/>
        </w:rPr>
      </w:pPr>
    </w:p>
    <w:p w:rsidR="00A1746C" w:rsidRPr="00A1746C" w:rsidRDefault="00A1746C" w:rsidP="00A1746C">
      <w:pPr>
        <w:suppressAutoHyphens w:val="0"/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>Zamawiający:</w:t>
      </w:r>
    </w:p>
    <w:p w:rsidR="00A1746C" w:rsidRPr="00A1746C" w:rsidRDefault="00A1746C" w:rsidP="00A1746C">
      <w:pPr>
        <w:suppressAutoHyphens w:val="0"/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>Gmina Gniewkowo</w:t>
      </w:r>
    </w:p>
    <w:p w:rsidR="00A1746C" w:rsidRPr="00A1746C" w:rsidRDefault="00A1746C" w:rsidP="00A1746C">
      <w:pPr>
        <w:suppressAutoHyphens w:val="0"/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>ul. 17- stycznia 11</w:t>
      </w:r>
    </w:p>
    <w:p w:rsidR="00A1746C" w:rsidRPr="00A1746C" w:rsidRDefault="00A1746C" w:rsidP="00A1746C">
      <w:pPr>
        <w:suppressAutoHyphens w:val="0"/>
        <w:rPr>
          <w:rFonts w:ascii="Arial" w:eastAsia="Times New Roman" w:hAnsi="Arial"/>
          <w:b/>
          <w:kern w:val="0"/>
          <w:szCs w:val="22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>88-140 Gniewkowo</w:t>
      </w:r>
    </w:p>
    <w:p w:rsidR="00A1746C" w:rsidRPr="00A1746C" w:rsidRDefault="00A1746C" w:rsidP="00A1746C">
      <w:pPr>
        <w:suppressAutoHyphens w:val="0"/>
        <w:ind w:left="4956" w:firstLine="708"/>
        <w:rPr>
          <w:rFonts w:ascii="Arial" w:eastAsia="Times New Roman" w:hAnsi="Arial"/>
          <w:b/>
          <w:snapToGrid w:val="0"/>
          <w:kern w:val="0"/>
          <w:sz w:val="28"/>
          <w:szCs w:val="20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ab/>
      </w:r>
    </w:p>
    <w:p w:rsidR="00A1746C" w:rsidRPr="00A1746C" w:rsidRDefault="00A1746C" w:rsidP="00A1746C">
      <w:pPr>
        <w:suppressAutoHyphens w:val="0"/>
        <w:ind w:left="226" w:hanging="226"/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</w:pPr>
    </w:p>
    <w:p w:rsidR="00A1746C" w:rsidRPr="00A1746C" w:rsidRDefault="00A1746C" w:rsidP="00A1746C">
      <w:pPr>
        <w:suppressAutoHyphens w:val="0"/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</w:pPr>
      <w:r w:rsidRPr="00A1746C">
        <w:rPr>
          <w:rFonts w:ascii="Arial" w:eastAsia="Times New Roman" w:hAnsi="Arial"/>
          <w:b/>
          <w:snapToGrid w:val="0"/>
          <w:kern w:val="0"/>
          <w:szCs w:val="22"/>
          <w:lang w:eastAsia="pl-PL" w:bidi="ar-SA"/>
        </w:rPr>
        <w:tab/>
      </w:r>
    </w:p>
    <w:p w:rsidR="00A1746C" w:rsidRPr="00A1746C" w:rsidRDefault="00A1746C" w:rsidP="00A1746C">
      <w:pPr>
        <w:suppressAutoHyphens w:val="0"/>
        <w:jc w:val="center"/>
        <w:rPr>
          <w:rFonts w:ascii="Arial" w:eastAsia="Calibri" w:hAnsi="Arial"/>
          <w:b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Zawiadomienie o unieważnieniu</w:t>
      </w:r>
      <w:r w:rsidR="00A8514C">
        <w:rPr>
          <w:rFonts w:ascii="Arial" w:eastAsia="Calibri" w:hAnsi="Arial"/>
          <w:b/>
          <w:kern w:val="0"/>
          <w:szCs w:val="22"/>
          <w:lang w:eastAsia="en-US" w:bidi="ar-SA"/>
        </w:rPr>
        <w:t xml:space="preserve"> części</w:t>
      </w: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 xml:space="preserve"> postępowania</w:t>
      </w:r>
    </w:p>
    <w:p w:rsidR="00A1746C" w:rsidRPr="00A1746C" w:rsidRDefault="00A1746C" w:rsidP="00A1746C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="Arial" w:eastAsia="Times New Roman" w:hAnsi="Arial"/>
          <w:snapToGrid w:val="0"/>
          <w:kern w:val="0"/>
          <w:sz w:val="22"/>
          <w:szCs w:val="20"/>
          <w:lang w:eastAsia="pl-PL" w:bidi="ar-SA"/>
        </w:rPr>
      </w:pP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b/>
          <w:color w:val="002060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Dotyczy:</w:t>
      </w: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</w:t>
      </w:r>
      <w:r w:rsidR="00A8514C">
        <w:rPr>
          <w:rFonts w:ascii="Arial" w:eastAsia="Calibri" w:hAnsi="Arial"/>
          <w:b/>
          <w:kern w:val="0"/>
          <w:szCs w:val="22"/>
          <w:lang w:eastAsia="en-US" w:bidi="ar-SA"/>
        </w:rPr>
        <w:t>RZp.271.</w:t>
      </w: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2</w:t>
      </w:r>
      <w:r w:rsidR="00A8514C">
        <w:rPr>
          <w:rFonts w:ascii="Arial" w:eastAsia="Calibri" w:hAnsi="Arial"/>
          <w:b/>
          <w:kern w:val="0"/>
          <w:szCs w:val="22"/>
          <w:lang w:eastAsia="en-US" w:bidi="ar-SA"/>
        </w:rPr>
        <w:t>2</w:t>
      </w: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 xml:space="preserve">.2021 </w:t>
      </w:r>
      <w:r w:rsidR="00A8514C">
        <w:rPr>
          <w:rFonts w:ascii="Arial" w:eastAsia="Calibri" w:hAnsi="Arial"/>
          <w:b/>
          <w:kern w:val="0"/>
          <w:szCs w:val="22"/>
          <w:lang w:eastAsia="en-US" w:bidi="ar-SA"/>
        </w:rPr>
        <w:t>Dostawa pomocy dydaktycznych w podziale na części w ramach projektu: Wspieramy wszechstronny rozwój uczniów w Gminie Gniewkowo. Część 3 postępowania- Dostawa wyposażenia</w:t>
      </w:r>
      <w:r w:rsidR="00B61DBD">
        <w:rPr>
          <w:rFonts w:ascii="Arial" w:eastAsia="Calibri" w:hAnsi="Arial"/>
          <w:b/>
          <w:kern w:val="0"/>
          <w:szCs w:val="22"/>
          <w:lang w:eastAsia="en-US" w:bidi="ar-SA"/>
        </w:rPr>
        <w:t>.</w:t>
      </w:r>
    </w:p>
    <w:p w:rsidR="00A1746C" w:rsidRPr="00A1746C" w:rsidRDefault="00A1746C" w:rsidP="00A1746C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="Arial" w:eastAsia="Times New Roman" w:hAnsi="Arial"/>
          <w:b/>
          <w:bCs/>
          <w:kern w:val="0"/>
          <w:szCs w:val="22"/>
          <w:lang w:eastAsia="pl-PL" w:bidi="ar-SA"/>
        </w:rPr>
      </w:pPr>
    </w:p>
    <w:p w:rsidR="00A1746C" w:rsidRPr="00A1746C" w:rsidRDefault="00A1746C" w:rsidP="00A1746C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Działając na podstawie </w:t>
      </w:r>
      <w:r w:rsidR="00A8514C">
        <w:rPr>
          <w:rFonts w:ascii="Arial" w:eastAsia="Calibri" w:hAnsi="Arial"/>
          <w:kern w:val="0"/>
          <w:szCs w:val="22"/>
          <w:lang w:eastAsia="en-US" w:bidi="ar-SA"/>
        </w:rPr>
        <w:t xml:space="preserve">art. 260 </w:t>
      </w: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ustawy z 11 września 2019 r. – Prawo zamówień publicznych (Dz.U. 2021 poz. 1129 ze zm.) – dalej: ustawa </w:t>
      </w:r>
      <w:proofErr w:type="spellStart"/>
      <w:r w:rsidRPr="00A1746C">
        <w:rPr>
          <w:rFonts w:ascii="Arial" w:eastAsia="Calibri" w:hAnsi="Arial"/>
          <w:kern w:val="0"/>
          <w:szCs w:val="22"/>
          <w:lang w:eastAsia="en-US" w:bidi="ar-SA"/>
        </w:rPr>
        <w:t>Pzp</w:t>
      </w:r>
      <w:proofErr w:type="spellEnd"/>
      <w:r w:rsidRPr="00A1746C">
        <w:rPr>
          <w:rFonts w:ascii="Arial" w:eastAsia="Calibri" w:hAnsi="Arial"/>
          <w:kern w:val="0"/>
          <w:szCs w:val="22"/>
          <w:lang w:eastAsia="en-US" w:bidi="ar-SA"/>
        </w:rPr>
        <w:t>, zamawiający informuje, że unie</w:t>
      </w:r>
      <w:r w:rsidR="00A8514C">
        <w:rPr>
          <w:rFonts w:ascii="Arial" w:eastAsia="Calibri" w:hAnsi="Arial"/>
          <w:kern w:val="0"/>
          <w:szCs w:val="22"/>
          <w:lang w:eastAsia="en-US" w:bidi="ar-SA"/>
        </w:rPr>
        <w:t>ważnił prowadzone postępowanie w części 3- Dostawa wyposażenia.</w:t>
      </w:r>
    </w:p>
    <w:p w:rsidR="00A1746C" w:rsidRPr="00A1746C" w:rsidRDefault="00A1746C" w:rsidP="00A1746C">
      <w:pPr>
        <w:suppressAutoHyphens w:val="0"/>
        <w:jc w:val="both"/>
        <w:rPr>
          <w:rFonts w:ascii="Arial" w:eastAsia="Times New Roman" w:hAnsi="Arial"/>
          <w:bCs/>
          <w:kern w:val="0"/>
          <w:szCs w:val="22"/>
          <w:lang w:eastAsia="pl-PL" w:bidi="ar-SA"/>
        </w:rPr>
      </w:pPr>
    </w:p>
    <w:p w:rsidR="00A1746C" w:rsidRPr="00A1746C" w:rsidRDefault="00A1746C" w:rsidP="00A1746C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Uzasadnienie prawne</w:t>
      </w:r>
    </w:p>
    <w:p w:rsidR="00A1746C" w:rsidRPr="00A1746C" w:rsidRDefault="00A1746C" w:rsidP="00A1746C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art. 255 pkt 1 ustawy </w:t>
      </w:r>
      <w:proofErr w:type="spellStart"/>
      <w:r w:rsidRPr="00A1746C">
        <w:rPr>
          <w:rFonts w:ascii="Arial" w:eastAsia="Calibri" w:hAnsi="Arial"/>
          <w:kern w:val="0"/>
          <w:szCs w:val="22"/>
          <w:lang w:eastAsia="en-US" w:bidi="ar-SA"/>
        </w:rPr>
        <w:t>Pzp</w:t>
      </w:r>
      <w:proofErr w:type="spellEnd"/>
      <w:r w:rsidR="00B61DBD">
        <w:rPr>
          <w:rFonts w:ascii="Arial" w:eastAsia="Calibri" w:hAnsi="Arial"/>
          <w:kern w:val="0"/>
          <w:szCs w:val="22"/>
          <w:lang w:eastAsia="en-US" w:bidi="ar-SA"/>
        </w:rPr>
        <w:t>.</w:t>
      </w:r>
      <w:bookmarkStart w:id="0" w:name="_GoBack"/>
      <w:bookmarkEnd w:id="0"/>
    </w:p>
    <w:p w:rsidR="00A1746C" w:rsidRPr="00A1746C" w:rsidRDefault="00A1746C" w:rsidP="00A1746C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kern w:val="0"/>
          <w:szCs w:val="22"/>
          <w:lang w:eastAsia="en-US" w:bidi="ar-SA"/>
        </w:rPr>
      </w:pPr>
    </w:p>
    <w:p w:rsidR="00A1746C" w:rsidRPr="00A1746C" w:rsidRDefault="00A1746C" w:rsidP="00A1746C">
      <w:pPr>
        <w:widowControl w:val="0"/>
        <w:suppressAutoHyphens w:val="0"/>
        <w:spacing w:line="120" w:lineRule="atLeast"/>
        <w:jc w:val="both"/>
        <w:rPr>
          <w:rFonts w:ascii="Arial" w:eastAsia="Calibri" w:hAnsi="Arial"/>
          <w:b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Uzasadnienie faktyczne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     W postępowaniu o udzielenie zamówienia publicznego </w:t>
      </w:r>
      <w:r w:rsidR="00A8514C">
        <w:rPr>
          <w:rFonts w:ascii="Arial" w:eastAsia="Calibri" w:hAnsi="Arial"/>
          <w:kern w:val="0"/>
          <w:szCs w:val="22"/>
          <w:lang w:eastAsia="en-US" w:bidi="ar-SA"/>
        </w:rPr>
        <w:t xml:space="preserve">dla części 3- Dostawa wyposażenia </w:t>
      </w:r>
      <w:r w:rsidRPr="00A1746C">
        <w:rPr>
          <w:rFonts w:ascii="Arial" w:eastAsia="Calibri" w:hAnsi="Arial"/>
          <w:kern w:val="0"/>
          <w:szCs w:val="22"/>
          <w:lang w:eastAsia="en-US" w:bidi="ar-SA"/>
        </w:rPr>
        <w:t>nie została złożona żadna oferta.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    W myśl art. 255 pkt 1 ustawy </w:t>
      </w:r>
      <w:proofErr w:type="spellStart"/>
      <w:r w:rsidRPr="00A1746C">
        <w:rPr>
          <w:rFonts w:ascii="Arial" w:eastAsia="Calibri" w:hAnsi="Arial"/>
          <w:kern w:val="0"/>
          <w:szCs w:val="22"/>
          <w:lang w:eastAsia="en-US" w:bidi="ar-SA"/>
        </w:rPr>
        <w:t>Pzp</w:t>
      </w:r>
      <w:proofErr w:type="spellEnd"/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zamawiający unieważnia postępowanie </w:t>
      </w:r>
      <w:r w:rsidRPr="00A1746C">
        <w:rPr>
          <w:rFonts w:ascii="Arial" w:eastAsia="Calibri" w:hAnsi="Arial"/>
          <w:kern w:val="0"/>
          <w:szCs w:val="22"/>
          <w:lang w:eastAsia="en-US" w:bidi="ar-SA"/>
        </w:rPr>
        <w:br/>
        <w:t>o udzielenie zamówienia, jeżeli nie złożono żadnego wniosku o dopuszczenie do udziału w postępowaniu albo żadnej oferty.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    Unieważnienie postępowania w przypadku określonym w art. 255 pkt 1 ustawy </w:t>
      </w:r>
      <w:proofErr w:type="spellStart"/>
      <w:r w:rsidRPr="00A1746C">
        <w:rPr>
          <w:rFonts w:ascii="Arial" w:eastAsia="Calibri" w:hAnsi="Arial"/>
          <w:kern w:val="0"/>
          <w:szCs w:val="22"/>
          <w:lang w:eastAsia="en-US" w:bidi="ar-SA"/>
        </w:rPr>
        <w:t>Pzp</w:t>
      </w:r>
      <w:proofErr w:type="spellEnd"/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jest  obligatoryjne. Ustawodawca w tym zakresie nie zostawił zamawiającemu możliwości fakultatywnego podejmowania decyzji – zaistnienie okoliczności zawartych w art. 255 skutkuje unieważnieniem postępowania. 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b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    W związku z tym postanowiono jak w sentencji.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b/>
          <w:kern w:val="0"/>
          <w:szCs w:val="22"/>
          <w:lang w:eastAsia="en-US" w:bidi="ar-SA"/>
        </w:rPr>
      </w:pP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b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b/>
          <w:kern w:val="0"/>
          <w:szCs w:val="22"/>
          <w:lang w:eastAsia="en-US" w:bidi="ar-SA"/>
        </w:rPr>
        <w:t>Pouczenie:</w:t>
      </w:r>
    </w:p>
    <w:p w:rsidR="00A1746C" w:rsidRPr="00A1746C" w:rsidRDefault="00A1746C" w:rsidP="00A1746C">
      <w:pPr>
        <w:suppressAutoHyphens w:val="0"/>
        <w:jc w:val="both"/>
        <w:rPr>
          <w:rFonts w:ascii="Arial" w:eastAsia="Calibri" w:hAnsi="Arial"/>
          <w:kern w:val="0"/>
          <w:szCs w:val="22"/>
          <w:lang w:eastAsia="en-US" w:bidi="ar-SA"/>
        </w:rPr>
      </w:pPr>
      <w:r w:rsidRPr="00A1746C">
        <w:rPr>
          <w:rFonts w:ascii="Arial" w:eastAsia="Calibri" w:hAnsi="Arial"/>
          <w:kern w:val="0"/>
          <w:szCs w:val="22"/>
          <w:lang w:eastAsia="en-US" w:bidi="ar-SA"/>
        </w:rPr>
        <w:t>Na czynność unieważnienia postępowania,</w:t>
      </w:r>
      <w:r w:rsidRPr="00A1746C">
        <w:rPr>
          <w:rFonts w:ascii="Arial" w:eastAsia="Times New Roman" w:hAnsi="Arial"/>
          <w:kern w:val="0"/>
          <w:szCs w:val="22"/>
          <w:lang w:eastAsia="en-US" w:bidi="ar-SA"/>
        </w:rPr>
        <w:t xml:space="preserve"> </w:t>
      </w:r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przysługują środki ochrony prawnej na zasadach przewidzianych w Dziale IX ustawy </w:t>
      </w:r>
      <w:proofErr w:type="spellStart"/>
      <w:r w:rsidRPr="00A1746C">
        <w:rPr>
          <w:rFonts w:ascii="Arial" w:eastAsia="Calibri" w:hAnsi="Arial"/>
          <w:kern w:val="0"/>
          <w:szCs w:val="22"/>
          <w:lang w:eastAsia="en-US" w:bidi="ar-SA"/>
        </w:rPr>
        <w:t>Pzp</w:t>
      </w:r>
      <w:proofErr w:type="spellEnd"/>
      <w:r w:rsidRPr="00A1746C">
        <w:rPr>
          <w:rFonts w:ascii="Arial" w:eastAsia="Calibri" w:hAnsi="Arial"/>
          <w:kern w:val="0"/>
          <w:szCs w:val="22"/>
          <w:lang w:eastAsia="en-US" w:bidi="ar-SA"/>
        </w:rPr>
        <w:t xml:space="preserve"> (art. 505–590).</w:t>
      </w:r>
    </w:p>
    <w:p w:rsidR="00A1746C" w:rsidRPr="00C7279B" w:rsidRDefault="00A1746C" w:rsidP="004205CF">
      <w:pPr>
        <w:spacing w:line="360" w:lineRule="auto"/>
        <w:rPr>
          <w:rFonts w:ascii="Arial" w:hAnsi="Arial"/>
          <w:sz w:val="22"/>
          <w:szCs w:val="22"/>
        </w:rPr>
      </w:pPr>
    </w:p>
    <w:sectPr w:rsidR="00A1746C" w:rsidRPr="00C7279B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24954"/>
    <w:multiLevelType w:val="hybridMultilevel"/>
    <w:tmpl w:val="3D4C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6">
    <w:nsid w:val="280C0835"/>
    <w:multiLevelType w:val="hybridMultilevel"/>
    <w:tmpl w:val="D5B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43FF1"/>
    <w:multiLevelType w:val="hybridMultilevel"/>
    <w:tmpl w:val="1FEC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41470"/>
    <w:multiLevelType w:val="hybridMultilevel"/>
    <w:tmpl w:val="A03E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541A"/>
    <w:rsid w:val="000E7B66"/>
    <w:rsid w:val="000F5D16"/>
    <w:rsid w:val="00133449"/>
    <w:rsid w:val="00141E80"/>
    <w:rsid w:val="001879BA"/>
    <w:rsid w:val="0019225A"/>
    <w:rsid w:val="001A35AE"/>
    <w:rsid w:val="001B79F6"/>
    <w:rsid w:val="001E2E3C"/>
    <w:rsid w:val="001F26A0"/>
    <w:rsid w:val="00212E7B"/>
    <w:rsid w:val="00213D41"/>
    <w:rsid w:val="002252E0"/>
    <w:rsid w:val="00261206"/>
    <w:rsid w:val="002B137A"/>
    <w:rsid w:val="002C5FAE"/>
    <w:rsid w:val="002C78DA"/>
    <w:rsid w:val="002D782B"/>
    <w:rsid w:val="002F1E4D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0C7B"/>
    <w:rsid w:val="004F3324"/>
    <w:rsid w:val="00515864"/>
    <w:rsid w:val="00522176"/>
    <w:rsid w:val="0052632B"/>
    <w:rsid w:val="005505C0"/>
    <w:rsid w:val="005525B7"/>
    <w:rsid w:val="0055421F"/>
    <w:rsid w:val="005643CF"/>
    <w:rsid w:val="00580B67"/>
    <w:rsid w:val="005A10BA"/>
    <w:rsid w:val="005E58A9"/>
    <w:rsid w:val="00601D44"/>
    <w:rsid w:val="00622E3B"/>
    <w:rsid w:val="006265B1"/>
    <w:rsid w:val="006305CF"/>
    <w:rsid w:val="00655701"/>
    <w:rsid w:val="00667C06"/>
    <w:rsid w:val="00690468"/>
    <w:rsid w:val="006917D4"/>
    <w:rsid w:val="006B1DEE"/>
    <w:rsid w:val="006B63D3"/>
    <w:rsid w:val="006C5C12"/>
    <w:rsid w:val="006D2BB4"/>
    <w:rsid w:val="006F08B0"/>
    <w:rsid w:val="006F1F1C"/>
    <w:rsid w:val="006F2056"/>
    <w:rsid w:val="006F7FE8"/>
    <w:rsid w:val="0070228C"/>
    <w:rsid w:val="0070319D"/>
    <w:rsid w:val="007135EB"/>
    <w:rsid w:val="00730560"/>
    <w:rsid w:val="00750F96"/>
    <w:rsid w:val="0075717B"/>
    <w:rsid w:val="0077355D"/>
    <w:rsid w:val="00773A9E"/>
    <w:rsid w:val="007A2771"/>
    <w:rsid w:val="007A5602"/>
    <w:rsid w:val="007B0501"/>
    <w:rsid w:val="007E2384"/>
    <w:rsid w:val="007F0C1B"/>
    <w:rsid w:val="007F4D4E"/>
    <w:rsid w:val="00820340"/>
    <w:rsid w:val="00861E07"/>
    <w:rsid w:val="00880B59"/>
    <w:rsid w:val="00897AE6"/>
    <w:rsid w:val="008C531E"/>
    <w:rsid w:val="00942912"/>
    <w:rsid w:val="009443DD"/>
    <w:rsid w:val="00944E26"/>
    <w:rsid w:val="00957FC6"/>
    <w:rsid w:val="00973ACF"/>
    <w:rsid w:val="00980D06"/>
    <w:rsid w:val="0098126E"/>
    <w:rsid w:val="009912DC"/>
    <w:rsid w:val="00992232"/>
    <w:rsid w:val="009B3864"/>
    <w:rsid w:val="009C3AC9"/>
    <w:rsid w:val="009C46BE"/>
    <w:rsid w:val="00A1746C"/>
    <w:rsid w:val="00A2510B"/>
    <w:rsid w:val="00A842FE"/>
    <w:rsid w:val="00A8514C"/>
    <w:rsid w:val="00AA367D"/>
    <w:rsid w:val="00AF326C"/>
    <w:rsid w:val="00B0796B"/>
    <w:rsid w:val="00B151B9"/>
    <w:rsid w:val="00B2796E"/>
    <w:rsid w:val="00B34725"/>
    <w:rsid w:val="00B54B1A"/>
    <w:rsid w:val="00B61DBD"/>
    <w:rsid w:val="00B96077"/>
    <w:rsid w:val="00BE3382"/>
    <w:rsid w:val="00BF6DFE"/>
    <w:rsid w:val="00C05421"/>
    <w:rsid w:val="00C20FFC"/>
    <w:rsid w:val="00C2595F"/>
    <w:rsid w:val="00C377E4"/>
    <w:rsid w:val="00C40FCA"/>
    <w:rsid w:val="00C7279B"/>
    <w:rsid w:val="00C94973"/>
    <w:rsid w:val="00CD276A"/>
    <w:rsid w:val="00CE3D1A"/>
    <w:rsid w:val="00CF4399"/>
    <w:rsid w:val="00D03603"/>
    <w:rsid w:val="00D1221D"/>
    <w:rsid w:val="00D25F56"/>
    <w:rsid w:val="00D41475"/>
    <w:rsid w:val="00D45DD4"/>
    <w:rsid w:val="00DA1C2B"/>
    <w:rsid w:val="00DD2B7F"/>
    <w:rsid w:val="00DD51FB"/>
    <w:rsid w:val="00DE6614"/>
    <w:rsid w:val="00DF51A3"/>
    <w:rsid w:val="00E13163"/>
    <w:rsid w:val="00E421B1"/>
    <w:rsid w:val="00E465BA"/>
    <w:rsid w:val="00E47E35"/>
    <w:rsid w:val="00E50301"/>
    <w:rsid w:val="00E54759"/>
    <w:rsid w:val="00E60E9E"/>
    <w:rsid w:val="00E6305E"/>
    <w:rsid w:val="00E67020"/>
    <w:rsid w:val="00E842E5"/>
    <w:rsid w:val="00E93098"/>
    <w:rsid w:val="00ED0E5A"/>
    <w:rsid w:val="00F15140"/>
    <w:rsid w:val="00F16CF8"/>
    <w:rsid w:val="00F444DC"/>
    <w:rsid w:val="00F55303"/>
    <w:rsid w:val="00F721E1"/>
    <w:rsid w:val="00F836E3"/>
    <w:rsid w:val="00FA1542"/>
    <w:rsid w:val="00FB2F60"/>
    <w:rsid w:val="00FB3943"/>
    <w:rsid w:val="00FC4212"/>
    <w:rsid w:val="00FC6FFD"/>
    <w:rsid w:val="00FD6E9F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465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465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384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146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4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9121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9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6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3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14</cp:revision>
  <cp:lastPrinted>2021-11-09T11:39:00Z</cp:lastPrinted>
  <dcterms:created xsi:type="dcterms:W3CDTF">2021-11-18T10:29:00Z</dcterms:created>
  <dcterms:modified xsi:type="dcterms:W3CDTF">2021-12-13T08:34:00Z</dcterms:modified>
</cp:coreProperties>
</file>