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5BA1C" w14:textId="77777777" w:rsidR="0063023F" w:rsidRDefault="0063023F"/>
    <w:p w14:paraId="2FB19193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4A2A803B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5B862A61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4514A800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447DDCE5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2B900F50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50A84CE6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639AEF6A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49DFA9DF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2484AD39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10F63C0D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516A781E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7C8EF5FB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137F8B48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1F0F0E9E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SPECYFIKACJA TECHNICZNA</w:t>
      </w:r>
    </w:p>
    <w:p w14:paraId="1FB0857D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WYKONANIA I ODBIORU ROBÓT</w:t>
      </w:r>
    </w:p>
    <w:p w14:paraId="51FDC7D4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</w:p>
    <w:p w14:paraId="0FE7EB6E" w14:textId="594509E5" w:rsidR="0063023F" w:rsidRPr="003105B0" w:rsidRDefault="004B22EF" w:rsidP="0063023F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Nawierzchnie</w:t>
      </w:r>
      <w:r w:rsidR="002309DB">
        <w:rPr>
          <w:rFonts w:cs="Calibri"/>
          <w:bCs/>
          <w:sz w:val="48"/>
          <w:szCs w:val="48"/>
        </w:rPr>
        <w:t xml:space="preserve"> </w:t>
      </w:r>
      <w:r w:rsidR="007E054A">
        <w:rPr>
          <w:rFonts w:cs="Calibri"/>
          <w:bCs/>
          <w:sz w:val="48"/>
          <w:szCs w:val="48"/>
        </w:rPr>
        <w:t>z kostki betonowej</w:t>
      </w:r>
      <w:r w:rsidR="006473C3">
        <w:rPr>
          <w:rFonts w:cs="Calibri"/>
          <w:bCs/>
          <w:sz w:val="48"/>
          <w:szCs w:val="48"/>
        </w:rPr>
        <w:t>,</w:t>
      </w:r>
      <w:r w:rsidR="00F133C5">
        <w:rPr>
          <w:rFonts w:cs="Calibri"/>
          <w:bCs/>
          <w:sz w:val="48"/>
          <w:szCs w:val="48"/>
        </w:rPr>
        <w:t xml:space="preserve"> płyt </w:t>
      </w:r>
      <w:r w:rsidR="004E4AF6">
        <w:rPr>
          <w:rFonts w:cs="Calibri"/>
          <w:bCs/>
          <w:sz w:val="48"/>
          <w:szCs w:val="48"/>
        </w:rPr>
        <w:t>betonowych</w:t>
      </w:r>
      <w:r w:rsidR="00F133C5">
        <w:rPr>
          <w:rFonts w:cs="Calibri"/>
          <w:bCs/>
          <w:sz w:val="48"/>
          <w:szCs w:val="48"/>
        </w:rPr>
        <w:t xml:space="preserve"> </w:t>
      </w:r>
      <w:r w:rsidR="006473C3">
        <w:rPr>
          <w:rFonts w:cs="Calibri"/>
          <w:bCs/>
          <w:sz w:val="48"/>
          <w:szCs w:val="48"/>
        </w:rPr>
        <w:t>i desek tarasowych</w:t>
      </w:r>
    </w:p>
    <w:p w14:paraId="4F3FA584" w14:textId="45BA7DE5" w:rsidR="0063023F" w:rsidRPr="003105B0" w:rsidRDefault="00E931F7" w:rsidP="0063023F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ST 01.</w:t>
      </w:r>
      <w:r w:rsidR="00D16030">
        <w:rPr>
          <w:rFonts w:cs="Calibri"/>
          <w:bCs/>
          <w:sz w:val="48"/>
          <w:szCs w:val="48"/>
        </w:rPr>
        <w:t>04</w:t>
      </w:r>
    </w:p>
    <w:p w14:paraId="57BD8887" w14:textId="77777777" w:rsidR="0063023F" w:rsidRPr="003105B0" w:rsidRDefault="0063023F" w:rsidP="00F57BB8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Cs/>
        </w:rPr>
        <w:br w:type="page"/>
      </w:r>
      <w:r w:rsidRPr="003105B0">
        <w:rPr>
          <w:rFonts w:cs="Calibri"/>
          <w:b/>
          <w:bCs/>
        </w:rPr>
        <w:lastRenderedPageBreak/>
        <w:t>WSTĘP</w:t>
      </w:r>
    </w:p>
    <w:p w14:paraId="1D2B7923" w14:textId="77777777" w:rsidR="0063023F" w:rsidRPr="003105B0" w:rsidRDefault="0063023F" w:rsidP="00F57BB8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/>
          <w:bCs/>
        </w:rPr>
        <w:t>Przedmiot specyfikacji</w:t>
      </w:r>
    </w:p>
    <w:p w14:paraId="27D3023E" w14:textId="266FB584" w:rsidR="003237D3" w:rsidRDefault="007807E8" w:rsidP="00DB73F5">
      <w:pPr>
        <w:jc w:val="both"/>
        <w:rPr>
          <w:rFonts w:cs="Calibri"/>
        </w:rPr>
      </w:pPr>
      <w:r w:rsidRPr="007807E8">
        <w:rPr>
          <w:rFonts w:cs="Calibri"/>
          <w:bCs/>
        </w:rPr>
        <w:t xml:space="preserve">Przedmiotem niniejszej Specyfikacji Technicznej są wymagania dotyczące wykonania i odbioru robót związanych z wykonaniem </w:t>
      </w:r>
      <w:r w:rsidR="004B22EF">
        <w:rPr>
          <w:rFonts w:cs="Calibri"/>
          <w:bCs/>
        </w:rPr>
        <w:t>nawierzchni</w:t>
      </w:r>
      <w:r w:rsidRPr="007807E8">
        <w:rPr>
          <w:rFonts w:cs="Calibri"/>
          <w:bCs/>
        </w:rPr>
        <w:t xml:space="preserve"> </w:t>
      </w:r>
      <w:r w:rsidR="00687955">
        <w:rPr>
          <w:rFonts w:cs="Calibri"/>
          <w:bCs/>
        </w:rPr>
        <w:t>z kostki betonowej</w:t>
      </w:r>
      <w:r w:rsidR="002309DB">
        <w:rPr>
          <w:rFonts w:cs="Calibri"/>
          <w:bCs/>
        </w:rPr>
        <w:t xml:space="preserve"> </w:t>
      </w:r>
      <w:r w:rsidR="004E4AF6">
        <w:rPr>
          <w:rFonts w:cs="Calibri"/>
          <w:bCs/>
        </w:rPr>
        <w:t xml:space="preserve">i płyt betonowych </w:t>
      </w:r>
      <w:r w:rsidR="00F133C5">
        <w:rPr>
          <w:rFonts w:cs="Calibri"/>
        </w:rPr>
        <w:t xml:space="preserve">dla inwestycji </w:t>
      </w:r>
      <w:r w:rsidR="004E4AF6" w:rsidRPr="004E4AF6">
        <w:rPr>
          <w:rFonts w:cs="Calibri"/>
        </w:rPr>
        <w:t>Projekt obiektów małej architektury w miejscu publicznym, utwardzeń oraz remontu elewacji Klubu Senior+</w:t>
      </w:r>
      <w:r w:rsidR="00865F7C">
        <w:rPr>
          <w:rFonts w:cs="Calibri"/>
          <w:bCs/>
        </w:rPr>
        <w:t>.</w:t>
      </w:r>
    </w:p>
    <w:p w14:paraId="6509C5C9" w14:textId="77777777" w:rsidR="003E2CE8" w:rsidRDefault="003E2CE8" w:rsidP="003E2CE8">
      <w:pPr>
        <w:spacing w:after="0"/>
        <w:ind w:firstLine="360"/>
        <w:jc w:val="both"/>
        <w:rPr>
          <w:rFonts w:cs="Calibri"/>
          <w:b/>
          <w:bCs/>
        </w:rPr>
      </w:pPr>
      <w:r w:rsidRPr="0074498D">
        <w:rPr>
          <w:rFonts w:cs="Calibri"/>
          <w:b/>
          <w:bCs/>
        </w:rPr>
        <w:t>Klasyfikacja robót wg Wspólnego Słownika Zamówień (CPV).</w:t>
      </w:r>
    </w:p>
    <w:p w14:paraId="42F591E0" w14:textId="045211B9" w:rsidR="003E2CE8" w:rsidRDefault="004E4AF6" w:rsidP="003E2CE8">
      <w:pPr>
        <w:spacing w:after="0"/>
        <w:jc w:val="both"/>
        <w:rPr>
          <w:rFonts w:cs="Calibri"/>
          <w:bCs/>
        </w:rPr>
      </w:pPr>
      <w:r w:rsidRPr="004E4AF6">
        <w:rPr>
          <w:rFonts w:cs="Calibri"/>
          <w:bCs/>
        </w:rPr>
        <w:t>45233200-1 Roboty w zakresie różnych nawierzchni</w:t>
      </w:r>
    </w:p>
    <w:p w14:paraId="61EA20C1" w14:textId="77777777" w:rsidR="0063023F" w:rsidRDefault="003E2CE8" w:rsidP="00F57BB8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Zakres stosowania specyfikacji</w:t>
      </w:r>
    </w:p>
    <w:p w14:paraId="6DF778E8" w14:textId="77777777" w:rsidR="003E2CE8" w:rsidRPr="003E2CE8" w:rsidRDefault="003E2CE8" w:rsidP="003E2CE8">
      <w:pPr>
        <w:spacing w:after="0"/>
        <w:jc w:val="both"/>
        <w:rPr>
          <w:rFonts w:cs="Calibri"/>
          <w:bCs/>
        </w:rPr>
      </w:pPr>
      <w:r w:rsidRPr="003E2CE8">
        <w:rPr>
          <w:rFonts w:cs="Calibri"/>
          <w:bCs/>
        </w:rPr>
        <w:t xml:space="preserve">Szczegółowa specyfikacja techniczna jest </w:t>
      </w:r>
      <w:proofErr w:type="gramStart"/>
      <w:r w:rsidRPr="003E2CE8">
        <w:rPr>
          <w:rFonts w:cs="Calibri"/>
          <w:bCs/>
        </w:rPr>
        <w:t>stosowana  jako</w:t>
      </w:r>
      <w:proofErr w:type="gramEnd"/>
      <w:r w:rsidRPr="003E2CE8">
        <w:rPr>
          <w:rFonts w:cs="Calibri"/>
          <w:bCs/>
        </w:rPr>
        <w:t xml:space="preserve"> dokument pod Zamówienie Publiczne przy zlecaniu i realizacji robót wymienionych w pkt. 1.1.</w:t>
      </w:r>
    </w:p>
    <w:p w14:paraId="49E65298" w14:textId="77777777" w:rsidR="003E2CE8" w:rsidRPr="004E6231" w:rsidRDefault="003E2CE8" w:rsidP="00F57BB8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4E6231">
        <w:rPr>
          <w:rFonts w:cs="Calibri"/>
          <w:b/>
          <w:bCs/>
        </w:rPr>
        <w:t>Zakres robót objętych specyfikacją</w:t>
      </w:r>
    </w:p>
    <w:p w14:paraId="23FB63DE" w14:textId="77777777" w:rsidR="007807E8" w:rsidRDefault="00274CF4" w:rsidP="007807E8">
      <w:pPr>
        <w:spacing w:after="0"/>
        <w:jc w:val="both"/>
        <w:rPr>
          <w:rFonts w:cs="Calibri"/>
          <w:bCs/>
        </w:rPr>
      </w:pPr>
      <w:r w:rsidRPr="007807E8">
        <w:rPr>
          <w:rFonts w:cs="Calibri"/>
          <w:bCs/>
        </w:rPr>
        <w:t xml:space="preserve">Ustalenia zawarte w niniejszej specyfikacji dotyczą zasad prowadzenia robót związanych z wykonaniem </w:t>
      </w:r>
      <w:r>
        <w:rPr>
          <w:rFonts w:cs="Calibri"/>
          <w:bCs/>
        </w:rPr>
        <w:t xml:space="preserve">nawierzchni </w:t>
      </w:r>
      <w:r w:rsidR="00342C49">
        <w:rPr>
          <w:rFonts w:cs="Calibri"/>
          <w:bCs/>
        </w:rPr>
        <w:t>z kostki betonowej</w:t>
      </w:r>
      <w:r>
        <w:rPr>
          <w:rFonts w:cs="Calibri"/>
          <w:bCs/>
        </w:rPr>
        <w:t>.</w:t>
      </w:r>
    </w:p>
    <w:p w14:paraId="7E32FC88" w14:textId="77777777" w:rsidR="003E2CE8" w:rsidRDefault="003E2CE8" w:rsidP="00F57BB8">
      <w:pPr>
        <w:pStyle w:val="Akapitzlist"/>
        <w:numPr>
          <w:ilvl w:val="1"/>
          <w:numId w:val="1"/>
        </w:numPr>
        <w:spacing w:after="0"/>
        <w:jc w:val="both"/>
        <w:rPr>
          <w:rFonts w:cs="Calibri"/>
          <w:b/>
          <w:bCs/>
        </w:rPr>
      </w:pPr>
      <w:r w:rsidRPr="003E2CE8">
        <w:rPr>
          <w:rFonts w:cs="Calibri"/>
          <w:b/>
          <w:bCs/>
        </w:rPr>
        <w:t>Ogólne wymagania dotyczące robót</w:t>
      </w:r>
    </w:p>
    <w:p w14:paraId="050EF927" w14:textId="77777777" w:rsidR="003E2CE8" w:rsidRDefault="003E2CE8" w:rsidP="003E2CE8">
      <w:pPr>
        <w:spacing w:after="0"/>
        <w:jc w:val="both"/>
        <w:rPr>
          <w:rFonts w:cs="Calibri"/>
          <w:bCs/>
        </w:rPr>
      </w:pPr>
      <w:r w:rsidRPr="00B24A08">
        <w:rPr>
          <w:rFonts w:cs="Calibri"/>
          <w:bCs/>
        </w:rPr>
        <w:t xml:space="preserve">Wykonawca robót jest odpowiedzialny za jakość wykonania robót, ich zgodność z dokumentacją projektową, SST i poleceniami Inspektora Nadzoru. Ogólne wymagania dotyczące robót podano w „Wymaganiach ogólnych” </w:t>
      </w:r>
      <w:r w:rsidR="00B24A08">
        <w:rPr>
          <w:rFonts w:cs="Calibri"/>
          <w:bCs/>
        </w:rPr>
        <w:t>Specyfikacji 00.01.</w:t>
      </w:r>
    </w:p>
    <w:p w14:paraId="2A78F781" w14:textId="77777777" w:rsidR="0065333C" w:rsidRDefault="0065333C" w:rsidP="003E2CE8">
      <w:pPr>
        <w:spacing w:after="0"/>
        <w:jc w:val="both"/>
        <w:rPr>
          <w:rFonts w:cs="Calibri"/>
          <w:bCs/>
        </w:rPr>
      </w:pPr>
    </w:p>
    <w:p w14:paraId="7DBBDB63" w14:textId="77777777" w:rsidR="00B24A08" w:rsidRPr="00B24A08" w:rsidRDefault="00B24A08" w:rsidP="00F57BB8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B24A08">
        <w:rPr>
          <w:rFonts w:cs="Calibri"/>
          <w:b/>
          <w:bCs/>
        </w:rPr>
        <w:t>MATERIAŁY</w:t>
      </w:r>
    </w:p>
    <w:p w14:paraId="2ADC68C4" w14:textId="77777777" w:rsidR="00687955" w:rsidRPr="003D4B10" w:rsidRDefault="00687955" w:rsidP="00687955">
      <w:p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Kostka brukowa</w:t>
      </w:r>
    </w:p>
    <w:p w14:paraId="64ABEE29" w14:textId="77777777" w:rsidR="00687955" w:rsidRPr="003D4B10" w:rsidRDefault="00687955" w:rsidP="00687955">
      <w:pPr>
        <w:spacing w:after="0"/>
        <w:jc w:val="both"/>
        <w:rPr>
          <w:rFonts w:cs="Calibri"/>
          <w:bCs/>
          <w:i/>
        </w:rPr>
      </w:pPr>
      <w:r w:rsidRPr="003D4B10">
        <w:rPr>
          <w:rFonts w:cs="Calibri"/>
          <w:bCs/>
          <w:i/>
        </w:rPr>
        <w:t>Aprobata techniczna</w:t>
      </w:r>
    </w:p>
    <w:p w14:paraId="32DC7542" w14:textId="77777777" w:rsidR="00687955" w:rsidRPr="003D4B10" w:rsidRDefault="00687955" w:rsidP="00687955">
      <w:pPr>
        <w:spacing w:after="0"/>
        <w:jc w:val="both"/>
        <w:rPr>
          <w:rFonts w:cs="Calibri"/>
          <w:bCs/>
        </w:rPr>
      </w:pPr>
      <w:r w:rsidRPr="003D4B10">
        <w:rPr>
          <w:rFonts w:cs="Calibri"/>
          <w:bCs/>
        </w:rPr>
        <w:t>Warunkiem dopuszczenia do stosowania jest</w:t>
      </w:r>
      <w:r>
        <w:rPr>
          <w:rFonts w:cs="Calibri"/>
          <w:bCs/>
        </w:rPr>
        <w:t xml:space="preserve"> </w:t>
      </w:r>
      <w:r w:rsidRPr="003D4B10">
        <w:rPr>
          <w:rFonts w:cs="Calibri"/>
          <w:bCs/>
        </w:rPr>
        <w:t>posiadanie aprobaty technicznej, wydanej przez uprawnioną jednostkę.</w:t>
      </w:r>
    </w:p>
    <w:p w14:paraId="4E8B4110" w14:textId="77777777" w:rsidR="00687955" w:rsidRPr="003D4B10" w:rsidRDefault="00687955" w:rsidP="00687955">
      <w:pPr>
        <w:spacing w:after="0"/>
        <w:jc w:val="both"/>
        <w:rPr>
          <w:rFonts w:cs="Calibri"/>
          <w:bCs/>
        </w:rPr>
      </w:pPr>
      <w:r w:rsidRPr="003D4B10">
        <w:rPr>
          <w:rFonts w:cs="Calibri"/>
          <w:bCs/>
          <w:i/>
        </w:rPr>
        <w:t>Kształt, wymiary</w:t>
      </w:r>
      <w:r w:rsidRPr="003D4B10">
        <w:rPr>
          <w:rFonts w:cs="Calibri"/>
          <w:bCs/>
        </w:rPr>
        <w:t xml:space="preserve"> </w:t>
      </w:r>
    </w:p>
    <w:p w14:paraId="4F4BE5B8" w14:textId="77777777" w:rsidR="00687955" w:rsidRPr="003D4B10" w:rsidRDefault="00687955" w:rsidP="00687955">
      <w:pPr>
        <w:spacing w:after="0"/>
        <w:jc w:val="both"/>
        <w:rPr>
          <w:rFonts w:cs="Calibri"/>
          <w:bCs/>
        </w:rPr>
      </w:pPr>
      <w:r w:rsidRPr="003D4B10">
        <w:rPr>
          <w:rFonts w:cs="Calibri"/>
          <w:bCs/>
        </w:rPr>
        <w:t xml:space="preserve">Do wykonania nawierzchni stosuje się </w:t>
      </w:r>
      <w:r>
        <w:rPr>
          <w:rFonts w:cs="Calibri"/>
          <w:bCs/>
        </w:rPr>
        <w:t>kostki brukowe</w:t>
      </w:r>
      <w:r w:rsidRPr="003D4B10">
        <w:rPr>
          <w:rFonts w:cs="Calibri"/>
          <w:bCs/>
        </w:rPr>
        <w:t xml:space="preserve"> o wymiarach określonych w projekcie.</w:t>
      </w:r>
    </w:p>
    <w:p w14:paraId="2DB894B1" w14:textId="77777777" w:rsidR="00687955" w:rsidRPr="003D4B10" w:rsidRDefault="00687955" w:rsidP="00687955">
      <w:pPr>
        <w:spacing w:after="0"/>
        <w:jc w:val="both"/>
        <w:rPr>
          <w:rFonts w:cs="Calibri"/>
          <w:bCs/>
        </w:rPr>
      </w:pPr>
      <w:r w:rsidRPr="003D4B10">
        <w:rPr>
          <w:rFonts w:cs="Calibri"/>
          <w:bCs/>
        </w:rPr>
        <w:t>Kolory kostek wg. projektu.</w:t>
      </w:r>
    </w:p>
    <w:p w14:paraId="1D2D23C5" w14:textId="77777777" w:rsidR="00687955" w:rsidRPr="003D4B10" w:rsidRDefault="00687955" w:rsidP="00687955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Parametry:</w:t>
      </w:r>
    </w:p>
    <w:tbl>
      <w:tblPr>
        <w:tblW w:w="8107" w:type="dxa"/>
        <w:tblInd w:w="762" w:type="dxa"/>
        <w:tblCellMar>
          <w:top w:w="118" w:type="dxa"/>
          <w:left w:w="142" w:type="dxa"/>
          <w:right w:w="102" w:type="dxa"/>
        </w:tblCellMar>
        <w:tblLook w:val="04A0" w:firstRow="1" w:lastRow="0" w:firstColumn="1" w:lastColumn="0" w:noHBand="0" w:noVBand="1"/>
      </w:tblPr>
      <w:tblGrid>
        <w:gridCol w:w="4024"/>
        <w:gridCol w:w="1361"/>
        <w:gridCol w:w="1361"/>
        <w:gridCol w:w="1361"/>
      </w:tblGrid>
      <w:tr w:rsidR="00687955" w:rsidRPr="00656C85" w14:paraId="15797F4B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67C1EB65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Zgodność z normą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15706FB0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PN-EN 1338:2003/AC:2006</w:t>
            </w:r>
          </w:p>
        </w:tc>
      </w:tr>
      <w:tr w:rsidR="00687955" w:rsidRPr="00656C85" w14:paraId="41E50F10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7115173E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J/M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51298BCD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m2</w:t>
            </w:r>
          </w:p>
        </w:tc>
      </w:tr>
      <w:tr w:rsidR="00687955" w:rsidRPr="00656C85" w14:paraId="372BAC15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0B7FBF9E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Waga [kg/m</w:t>
            </w:r>
            <w:r w:rsidRPr="00656C85">
              <w:rPr>
                <w:rFonts w:cs="Calibri"/>
                <w:bCs/>
                <w:vertAlign w:val="superscript"/>
              </w:rPr>
              <w:t>2</w:t>
            </w:r>
            <w:r w:rsidRPr="00656C85">
              <w:rPr>
                <w:rFonts w:cs="Calibri"/>
                <w:bCs/>
              </w:rPr>
              <w:t>] lub [kg/</w:t>
            </w:r>
            <w:proofErr w:type="spellStart"/>
            <w:r w:rsidRPr="00656C85">
              <w:rPr>
                <w:rFonts w:cs="Calibri"/>
                <w:bCs/>
              </w:rPr>
              <w:t>szt</w:t>
            </w:r>
            <w:proofErr w:type="spellEnd"/>
            <w:r w:rsidRPr="00656C85">
              <w:rPr>
                <w:rFonts w:cs="Calibri"/>
                <w:bCs/>
              </w:rPr>
              <w:t>]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3EE6CBF8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180</w:t>
            </w:r>
          </w:p>
        </w:tc>
      </w:tr>
      <w:tr w:rsidR="00687955" w:rsidRPr="00656C85" w14:paraId="0B64346E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217563F1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Wymiar poszczególnych elementów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2F87E4E0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wg katalogu producenta</w:t>
            </w:r>
          </w:p>
        </w:tc>
      </w:tr>
      <w:tr w:rsidR="00687955" w:rsidRPr="00656C85" w14:paraId="33ED527A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1E3C0547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Faza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7FA339CC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bez fazy</w:t>
            </w:r>
          </w:p>
        </w:tc>
      </w:tr>
      <w:tr w:rsidR="00687955" w:rsidRPr="00656C85" w14:paraId="2BE0CE60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3281E677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Rodzaj powierzchni stempla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3C733C65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powierzchnia płaska</w:t>
            </w:r>
          </w:p>
        </w:tc>
      </w:tr>
      <w:tr w:rsidR="00687955" w:rsidRPr="00656C85" w14:paraId="7793D612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6A5A10FD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Struktura betonu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1C4AAB21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proofErr w:type="spellStart"/>
            <w:r w:rsidRPr="00656C85">
              <w:rPr>
                <w:rFonts w:cs="Calibri"/>
                <w:bCs/>
              </w:rPr>
              <w:t>colorflex</w:t>
            </w:r>
            <w:proofErr w:type="spellEnd"/>
          </w:p>
        </w:tc>
      </w:tr>
      <w:tr w:rsidR="00687955" w:rsidRPr="00656C85" w14:paraId="26B28986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7D885C82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Sposób obróbki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7351DDAF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nie dotyczy</w:t>
            </w:r>
          </w:p>
        </w:tc>
      </w:tr>
      <w:tr w:rsidR="00687955" w:rsidRPr="00656C85" w14:paraId="42F4DDA0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2A529267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Klasa betonu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3CC74027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nie dotyczy</w:t>
            </w:r>
          </w:p>
        </w:tc>
      </w:tr>
      <w:tr w:rsidR="00687955" w:rsidRPr="00656C85" w14:paraId="10984E7D" w14:textId="77777777" w:rsidTr="00635584">
        <w:trPr>
          <w:trHeight w:val="595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46E72B93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lastRenderedPageBreak/>
              <w:t>Wytrzymałość charakterystyczna na rozciąganie przy rozłupywaniu [</w:t>
            </w:r>
            <w:proofErr w:type="spellStart"/>
            <w:r w:rsidRPr="00656C85">
              <w:rPr>
                <w:rFonts w:cs="Calibri"/>
                <w:bCs/>
              </w:rPr>
              <w:t>MPa</w:t>
            </w:r>
            <w:proofErr w:type="spellEnd"/>
            <w:r w:rsidRPr="00656C85">
              <w:rPr>
                <w:rFonts w:cs="Calibri"/>
                <w:bCs/>
              </w:rPr>
              <w:t>]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14:paraId="2D7F882F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≥ 3,6</w:t>
            </w:r>
          </w:p>
        </w:tc>
      </w:tr>
      <w:tr w:rsidR="00687955" w:rsidRPr="00656C85" w14:paraId="475E206E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3E07DBF7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Wytrzymałość charakterystyczna na zginanie [</w:t>
            </w:r>
            <w:proofErr w:type="spellStart"/>
            <w:r w:rsidRPr="00656C85">
              <w:rPr>
                <w:rFonts w:cs="Calibri"/>
                <w:bCs/>
              </w:rPr>
              <w:t>Mpa</w:t>
            </w:r>
            <w:proofErr w:type="spellEnd"/>
            <w:r w:rsidRPr="00656C85">
              <w:rPr>
                <w:rFonts w:cs="Calibri"/>
                <w:bCs/>
              </w:rPr>
              <w:t>]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4E8E624E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nie dotyczy</w:t>
            </w:r>
          </w:p>
        </w:tc>
      </w:tr>
      <w:tr w:rsidR="00687955" w:rsidRPr="00656C85" w14:paraId="0F766E58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010EEA7D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Charakterystyczne obciążenie niszczące [</w:t>
            </w:r>
            <w:proofErr w:type="spellStart"/>
            <w:r w:rsidRPr="00656C85">
              <w:rPr>
                <w:rFonts w:cs="Calibri"/>
                <w:bCs/>
              </w:rPr>
              <w:t>kN</w:t>
            </w:r>
            <w:proofErr w:type="spellEnd"/>
            <w:r w:rsidRPr="00656C85">
              <w:rPr>
                <w:rFonts w:cs="Calibri"/>
                <w:bCs/>
              </w:rPr>
              <w:t>]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34467EAC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nie dotyczy</w:t>
            </w:r>
          </w:p>
        </w:tc>
      </w:tr>
      <w:tr w:rsidR="00687955" w:rsidRPr="00656C85" w14:paraId="5DF51718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4D73ED7D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Odporność na warunki atmosferyczne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736AA97D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 xml:space="preserve">klasa 3 </w:t>
            </w:r>
            <w:proofErr w:type="spellStart"/>
            <w:r w:rsidRPr="00656C85">
              <w:rPr>
                <w:rFonts w:cs="Calibri"/>
                <w:bCs/>
              </w:rPr>
              <w:t>ozn</w:t>
            </w:r>
            <w:proofErr w:type="spellEnd"/>
            <w:r w:rsidRPr="00656C85">
              <w:rPr>
                <w:rFonts w:cs="Calibri"/>
                <w:bCs/>
              </w:rPr>
              <w:t>. D</w:t>
            </w:r>
          </w:p>
        </w:tc>
      </w:tr>
      <w:tr w:rsidR="00687955" w:rsidRPr="00656C85" w14:paraId="47FCBCEA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1E83E922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 xml:space="preserve">Odporność na ścieranie 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45938907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 xml:space="preserve">klasa 4 </w:t>
            </w:r>
            <w:proofErr w:type="spellStart"/>
            <w:r w:rsidRPr="00656C85">
              <w:rPr>
                <w:rFonts w:cs="Calibri"/>
                <w:bCs/>
              </w:rPr>
              <w:t>ozn</w:t>
            </w:r>
            <w:proofErr w:type="spellEnd"/>
            <w:r w:rsidRPr="00656C85">
              <w:rPr>
                <w:rFonts w:cs="Calibri"/>
                <w:bCs/>
              </w:rPr>
              <w:t>. I</w:t>
            </w:r>
          </w:p>
        </w:tc>
      </w:tr>
      <w:tr w:rsidR="00687955" w:rsidRPr="00656C85" w14:paraId="018873F7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45E84203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Nasiąkliwość [%]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7A39413B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≤ 6</w:t>
            </w:r>
          </w:p>
        </w:tc>
      </w:tr>
      <w:tr w:rsidR="00687955" w:rsidRPr="00656C85" w14:paraId="66999F8D" w14:textId="77777777" w:rsidTr="00635584">
        <w:trPr>
          <w:trHeight w:val="479"/>
        </w:trPr>
        <w:tc>
          <w:tcPr>
            <w:tcW w:w="4024" w:type="dxa"/>
            <w:vMerge w:val="restart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14:paraId="6AD58433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 xml:space="preserve">Wymiary nominalne - dopuszczalne odchyłki [mm] </w:t>
            </w:r>
          </w:p>
          <w:p w14:paraId="1C3D7E95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 xml:space="preserve"> </w:t>
            </w:r>
          </w:p>
        </w:tc>
        <w:tc>
          <w:tcPr>
            <w:tcW w:w="1361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7E2DE847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długość</w:t>
            </w:r>
          </w:p>
        </w:tc>
        <w:tc>
          <w:tcPr>
            <w:tcW w:w="1361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4234D6F1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szerokość</w:t>
            </w:r>
          </w:p>
        </w:tc>
        <w:tc>
          <w:tcPr>
            <w:tcW w:w="1361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0026ABCE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grubość</w:t>
            </w:r>
          </w:p>
        </w:tc>
      </w:tr>
      <w:tr w:rsidR="00687955" w:rsidRPr="00656C85" w14:paraId="7ECC122B" w14:textId="77777777" w:rsidTr="00635584">
        <w:trPr>
          <w:trHeight w:val="479"/>
        </w:trPr>
        <w:tc>
          <w:tcPr>
            <w:tcW w:w="0" w:type="auto"/>
            <w:vMerge/>
            <w:tcBorders>
              <w:top w:val="nil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14:paraId="2E8ADA63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</w:p>
        </w:tc>
        <w:tc>
          <w:tcPr>
            <w:tcW w:w="1361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1FE8DAFD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±2</w:t>
            </w:r>
          </w:p>
        </w:tc>
        <w:tc>
          <w:tcPr>
            <w:tcW w:w="1361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4325D947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±2</w:t>
            </w:r>
          </w:p>
        </w:tc>
        <w:tc>
          <w:tcPr>
            <w:tcW w:w="1361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1E0D4991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±3</w:t>
            </w:r>
          </w:p>
        </w:tc>
      </w:tr>
      <w:tr w:rsidR="00687955" w:rsidRPr="00656C85" w14:paraId="38AE2762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75E1FB4C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 xml:space="preserve">Wymiary nominalne - przekątne [mm] 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7972803A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 xml:space="preserve">klasa 2 </w:t>
            </w:r>
            <w:proofErr w:type="spellStart"/>
            <w:r w:rsidRPr="00656C85">
              <w:rPr>
                <w:rFonts w:cs="Calibri"/>
                <w:bCs/>
              </w:rPr>
              <w:t>ozn</w:t>
            </w:r>
            <w:proofErr w:type="spellEnd"/>
            <w:r w:rsidRPr="00656C85">
              <w:rPr>
                <w:rFonts w:cs="Calibri"/>
                <w:bCs/>
              </w:rPr>
              <w:t>. K</w:t>
            </w:r>
          </w:p>
        </w:tc>
      </w:tr>
      <w:tr w:rsidR="00687955" w:rsidRPr="00656C85" w14:paraId="27B1F118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0C29AD40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Odporność na poślizg/poślizgnięcie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35E83124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zadowalająca</w:t>
            </w:r>
          </w:p>
        </w:tc>
      </w:tr>
      <w:tr w:rsidR="00687955" w:rsidRPr="00656C85" w14:paraId="6FEFE6AC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707AF657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Trwałość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38495287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zadowalająca</w:t>
            </w:r>
          </w:p>
        </w:tc>
      </w:tr>
      <w:tr w:rsidR="00687955" w:rsidRPr="00656C85" w14:paraId="0F497AD9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61714852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Reakcja na ogień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51F06B19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A1</w:t>
            </w:r>
          </w:p>
        </w:tc>
      </w:tr>
      <w:tr w:rsidR="00687955" w:rsidRPr="00656C85" w14:paraId="70712B1D" w14:textId="77777777" w:rsidTr="00635584">
        <w:trPr>
          <w:trHeight w:val="136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</w:tcPr>
          <w:p w14:paraId="10FA855E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Przeznaczenie i zakres stosowania (opisowo)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75DB12E7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kostka jest przeznaczona do budowy nawierzchni drogowych dla ruchu lekkiego, w tym do nawierzchni placów, parkingów i podjazdów dla samochodów osobowych, do ciągów ruchu pieszego zgodnie z odrębnymi przepisami oraz w zastosowaniach, w których zadeklarowane parametry techniczne wyrobu są wystarczające</w:t>
            </w:r>
          </w:p>
        </w:tc>
      </w:tr>
      <w:tr w:rsidR="00687955" w:rsidRPr="00656C85" w14:paraId="677E0E13" w14:textId="77777777" w:rsidTr="00635584">
        <w:trPr>
          <w:trHeight w:val="403"/>
        </w:trPr>
        <w:tc>
          <w:tcPr>
            <w:tcW w:w="4024" w:type="dxa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408FF9D6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UWAGI</w:t>
            </w:r>
          </w:p>
        </w:tc>
        <w:tc>
          <w:tcPr>
            <w:tcW w:w="4083" w:type="dxa"/>
            <w:gridSpan w:val="3"/>
            <w:tcBorders>
              <w:top w:val="single" w:sz="2" w:space="0" w:color="181717"/>
              <w:left w:val="single" w:sz="2" w:space="0" w:color="181717"/>
              <w:bottom w:val="single" w:sz="2" w:space="0" w:color="181717"/>
              <w:right w:val="single" w:sz="2" w:space="0" w:color="181717"/>
            </w:tcBorders>
            <w:vAlign w:val="center"/>
          </w:tcPr>
          <w:p w14:paraId="6E705BC9" w14:textId="77777777" w:rsidR="00687955" w:rsidRPr="00656C85" w:rsidRDefault="00687955" w:rsidP="00635584">
            <w:pPr>
              <w:spacing w:after="0"/>
              <w:jc w:val="both"/>
              <w:rPr>
                <w:rFonts w:cs="Calibri"/>
                <w:bCs/>
              </w:rPr>
            </w:pPr>
            <w:r w:rsidRPr="00656C85">
              <w:rPr>
                <w:rFonts w:cs="Calibri"/>
                <w:bCs/>
              </w:rPr>
              <w:t>ALS</w:t>
            </w:r>
          </w:p>
        </w:tc>
      </w:tr>
    </w:tbl>
    <w:p w14:paraId="69EEEA02" w14:textId="77777777" w:rsidR="00656C85" w:rsidRDefault="00656C85" w:rsidP="00F7228C">
      <w:pPr>
        <w:spacing w:after="0"/>
        <w:jc w:val="both"/>
        <w:rPr>
          <w:rFonts w:cs="Calibri"/>
          <w:bCs/>
        </w:rPr>
      </w:pPr>
    </w:p>
    <w:p w14:paraId="175301EC" w14:textId="77777777" w:rsidR="00556CAB" w:rsidRDefault="00556CAB" w:rsidP="00F7228C">
      <w:pPr>
        <w:spacing w:after="0"/>
        <w:jc w:val="both"/>
        <w:rPr>
          <w:rFonts w:cs="Calibri"/>
          <w:b/>
          <w:bCs/>
        </w:rPr>
      </w:pPr>
    </w:p>
    <w:p w14:paraId="7595184D" w14:textId="77777777" w:rsidR="00556CAB" w:rsidRDefault="00556CAB" w:rsidP="00F7228C">
      <w:pPr>
        <w:spacing w:after="0"/>
        <w:jc w:val="both"/>
        <w:rPr>
          <w:rFonts w:cs="Calibri"/>
          <w:b/>
          <w:bCs/>
        </w:rPr>
      </w:pPr>
    </w:p>
    <w:p w14:paraId="65557DAD" w14:textId="77777777" w:rsidR="00556CAB" w:rsidRDefault="00556CAB" w:rsidP="00F7228C">
      <w:pPr>
        <w:spacing w:after="0"/>
        <w:jc w:val="both"/>
        <w:rPr>
          <w:rFonts w:cs="Calibri"/>
          <w:b/>
          <w:bCs/>
        </w:rPr>
      </w:pPr>
    </w:p>
    <w:p w14:paraId="2EFA0BB5" w14:textId="77777777" w:rsidR="00556CAB" w:rsidRDefault="00556CAB" w:rsidP="00F7228C">
      <w:pPr>
        <w:spacing w:after="0"/>
        <w:jc w:val="both"/>
        <w:rPr>
          <w:rFonts w:cs="Calibri"/>
          <w:b/>
          <w:bCs/>
        </w:rPr>
      </w:pPr>
    </w:p>
    <w:p w14:paraId="17788342" w14:textId="77777777" w:rsidR="00556CAB" w:rsidRDefault="00556CAB" w:rsidP="00F7228C">
      <w:pPr>
        <w:spacing w:after="0"/>
        <w:jc w:val="both"/>
        <w:rPr>
          <w:rFonts w:cs="Calibri"/>
          <w:b/>
          <w:bCs/>
        </w:rPr>
      </w:pPr>
    </w:p>
    <w:p w14:paraId="717759C6" w14:textId="77777777" w:rsidR="00556CAB" w:rsidRDefault="00556CAB" w:rsidP="00F7228C">
      <w:pPr>
        <w:spacing w:after="0"/>
        <w:jc w:val="both"/>
        <w:rPr>
          <w:rFonts w:cs="Calibri"/>
          <w:b/>
          <w:bCs/>
        </w:rPr>
      </w:pPr>
    </w:p>
    <w:p w14:paraId="679B9D15" w14:textId="77777777" w:rsidR="00556CAB" w:rsidRDefault="00556CAB" w:rsidP="00F7228C">
      <w:pPr>
        <w:spacing w:after="0"/>
        <w:jc w:val="both"/>
        <w:rPr>
          <w:rFonts w:cs="Calibri"/>
          <w:b/>
          <w:bCs/>
        </w:rPr>
      </w:pPr>
    </w:p>
    <w:p w14:paraId="315AF8B0" w14:textId="77777777" w:rsidR="00556CAB" w:rsidRDefault="00556CAB" w:rsidP="00F7228C">
      <w:pPr>
        <w:spacing w:after="0"/>
        <w:jc w:val="both"/>
        <w:rPr>
          <w:rFonts w:cs="Calibri"/>
          <w:b/>
          <w:bCs/>
        </w:rPr>
      </w:pPr>
    </w:p>
    <w:p w14:paraId="381262C2" w14:textId="77777777" w:rsidR="00556CAB" w:rsidRDefault="00556CAB" w:rsidP="00F7228C">
      <w:pPr>
        <w:spacing w:after="0"/>
        <w:jc w:val="both"/>
        <w:rPr>
          <w:rFonts w:cs="Calibri"/>
          <w:b/>
          <w:bCs/>
        </w:rPr>
      </w:pPr>
    </w:p>
    <w:p w14:paraId="6561AE6B" w14:textId="77777777" w:rsidR="00556CAB" w:rsidRDefault="00556CAB" w:rsidP="00F7228C">
      <w:pPr>
        <w:spacing w:after="0"/>
        <w:jc w:val="both"/>
        <w:rPr>
          <w:rFonts w:cs="Calibri"/>
          <w:b/>
          <w:bCs/>
        </w:rPr>
      </w:pPr>
    </w:p>
    <w:p w14:paraId="0D943947" w14:textId="34636D37" w:rsidR="00F133C5" w:rsidRPr="00F133C5" w:rsidRDefault="00F133C5" w:rsidP="00F7228C">
      <w:pPr>
        <w:spacing w:after="0"/>
        <w:jc w:val="both"/>
        <w:rPr>
          <w:rFonts w:cs="Calibri"/>
          <w:b/>
          <w:bCs/>
        </w:rPr>
      </w:pPr>
      <w:r w:rsidRPr="00F133C5">
        <w:rPr>
          <w:rFonts w:cs="Calibri"/>
          <w:b/>
          <w:bCs/>
        </w:rPr>
        <w:lastRenderedPageBreak/>
        <w:t xml:space="preserve">Płyty </w:t>
      </w:r>
      <w:r w:rsidR="004E4AF6">
        <w:rPr>
          <w:rFonts w:cs="Calibri"/>
          <w:b/>
          <w:bCs/>
        </w:rPr>
        <w:t>betonowe</w:t>
      </w:r>
    </w:p>
    <w:p w14:paraId="3C736A27" w14:textId="1AD3C800" w:rsidR="00F133C5" w:rsidRDefault="00F133C5" w:rsidP="00F133C5">
      <w:pPr>
        <w:spacing w:after="0"/>
        <w:jc w:val="both"/>
        <w:rPr>
          <w:rFonts w:cs="Calibri"/>
          <w:bCs/>
        </w:rPr>
      </w:pPr>
    </w:p>
    <w:tbl>
      <w:tblPr>
        <w:tblStyle w:val="Zwykatabela1"/>
        <w:tblW w:w="8447" w:type="dxa"/>
        <w:tblInd w:w="279" w:type="dxa"/>
        <w:tblLook w:val="04A0" w:firstRow="1" w:lastRow="0" w:firstColumn="1" w:lastColumn="0" w:noHBand="0" w:noVBand="1"/>
      </w:tblPr>
      <w:tblGrid>
        <w:gridCol w:w="4012"/>
        <w:gridCol w:w="1552"/>
        <w:gridCol w:w="1533"/>
        <w:gridCol w:w="1350"/>
      </w:tblGrid>
      <w:tr w:rsidR="00556CAB" w14:paraId="4EC5B94A" w14:textId="77777777" w:rsidTr="00A417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6F6D3E19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Zgodność z dokumentem odniesienia</w:t>
            </w:r>
          </w:p>
        </w:tc>
        <w:tc>
          <w:tcPr>
            <w:tcW w:w="4435" w:type="dxa"/>
            <w:gridSpan w:val="3"/>
          </w:tcPr>
          <w:p w14:paraId="4CF42F41" w14:textId="77777777" w:rsidR="00556CAB" w:rsidRDefault="00556CAB" w:rsidP="00A41747">
            <w:pPr>
              <w:spacing w:after="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Norma PN-EN 1339</w:t>
            </w:r>
          </w:p>
        </w:tc>
      </w:tr>
      <w:tr w:rsidR="00556CAB" w14:paraId="47D63803" w14:textId="77777777" w:rsidTr="00A41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12621C36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J/M</w:t>
            </w:r>
          </w:p>
        </w:tc>
        <w:tc>
          <w:tcPr>
            <w:tcW w:w="4435" w:type="dxa"/>
            <w:gridSpan w:val="3"/>
          </w:tcPr>
          <w:p w14:paraId="58E0EC4D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szt.</w:t>
            </w:r>
          </w:p>
        </w:tc>
      </w:tr>
      <w:tr w:rsidR="00556CAB" w14:paraId="27EF8C29" w14:textId="77777777" w:rsidTr="00A4174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002FB677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Waga (kg/m2) lub (kg/szt.)</w:t>
            </w:r>
          </w:p>
        </w:tc>
        <w:tc>
          <w:tcPr>
            <w:tcW w:w="4435" w:type="dxa"/>
            <w:gridSpan w:val="3"/>
          </w:tcPr>
          <w:p w14:paraId="4177B1DF" w14:textId="77777777" w:rsidR="00556CAB" w:rsidRDefault="00556CAB" w:rsidP="00A41747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115</w:t>
            </w:r>
          </w:p>
        </w:tc>
      </w:tr>
      <w:tr w:rsidR="00556CAB" w14:paraId="38554E90" w14:textId="77777777" w:rsidTr="00A41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  <w:vMerge w:val="restart"/>
          </w:tcPr>
          <w:p w14:paraId="2BE0C215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Wymiar poszczególnych elementów (mm)</w:t>
            </w:r>
          </w:p>
        </w:tc>
        <w:tc>
          <w:tcPr>
            <w:tcW w:w="1552" w:type="dxa"/>
          </w:tcPr>
          <w:p w14:paraId="68827A84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Długość:</w:t>
            </w:r>
          </w:p>
        </w:tc>
        <w:tc>
          <w:tcPr>
            <w:tcW w:w="2883" w:type="dxa"/>
            <w:gridSpan w:val="2"/>
          </w:tcPr>
          <w:p w14:paraId="70A30074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800</w:t>
            </w:r>
          </w:p>
        </w:tc>
      </w:tr>
      <w:tr w:rsidR="00556CAB" w14:paraId="5D093767" w14:textId="77777777" w:rsidTr="00A4174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14:paraId="3BB3BDDC" w14:textId="77777777" w:rsidR="00556CAB" w:rsidRDefault="00556CAB" w:rsidP="00A41747">
            <w:pPr>
              <w:spacing w:after="0" w:line="259" w:lineRule="auto"/>
            </w:pPr>
          </w:p>
        </w:tc>
        <w:tc>
          <w:tcPr>
            <w:tcW w:w="1552" w:type="dxa"/>
          </w:tcPr>
          <w:p w14:paraId="798768B3" w14:textId="77777777" w:rsidR="00556CAB" w:rsidRDefault="00556CAB" w:rsidP="00A41747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Szerokość:</w:t>
            </w:r>
          </w:p>
        </w:tc>
        <w:tc>
          <w:tcPr>
            <w:tcW w:w="2883" w:type="dxa"/>
            <w:gridSpan w:val="2"/>
          </w:tcPr>
          <w:p w14:paraId="5AC89BAE" w14:textId="77777777" w:rsidR="00556CAB" w:rsidRDefault="00556CAB" w:rsidP="00A41747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800</w:t>
            </w:r>
          </w:p>
        </w:tc>
      </w:tr>
      <w:tr w:rsidR="00556CAB" w14:paraId="7133676E" w14:textId="77777777" w:rsidTr="00A41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14:paraId="459F586A" w14:textId="77777777" w:rsidR="00556CAB" w:rsidRDefault="00556CAB" w:rsidP="00A41747">
            <w:pPr>
              <w:spacing w:after="0" w:line="259" w:lineRule="auto"/>
            </w:pPr>
          </w:p>
        </w:tc>
        <w:tc>
          <w:tcPr>
            <w:tcW w:w="1552" w:type="dxa"/>
          </w:tcPr>
          <w:p w14:paraId="0D0FA6DD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Grubość</w:t>
            </w:r>
          </w:p>
        </w:tc>
        <w:tc>
          <w:tcPr>
            <w:tcW w:w="2883" w:type="dxa"/>
            <w:gridSpan w:val="2"/>
          </w:tcPr>
          <w:p w14:paraId="2C812349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80</w:t>
            </w:r>
          </w:p>
        </w:tc>
      </w:tr>
      <w:tr w:rsidR="00556CAB" w14:paraId="42EE3C3D" w14:textId="77777777" w:rsidTr="00A4174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5C13E4D7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Faza</w:t>
            </w:r>
          </w:p>
        </w:tc>
        <w:tc>
          <w:tcPr>
            <w:tcW w:w="4435" w:type="dxa"/>
            <w:gridSpan w:val="3"/>
          </w:tcPr>
          <w:p w14:paraId="023EEBF1" w14:textId="77777777" w:rsidR="00556CAB" w:rsidRDefault="00556CAB" w:rsidP="00A41747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Z fazą</w:t>
            </w:r>
          </w:p>
        </w:tc>
      </w:tr>
      <w:tr w:rsidR="00556CAB" w14:paraId="41282D16" w14:textId="77777777" w:rsidTr="00A41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4889D923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Rodzaj powierzchni licowej</w:t>
            </w:r>
          </w:p>
        </w:tc>
        <w:tc>
          <w:tcPr>
            <w:tcW w:w="4435" w:type="dxa"/>
            <w:gridSpan w:val="3"/>
          </w:tcPr>
          <w:p w14:paraId="6B5BF08C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Gładka</w:t>
            </w:r>
          </w:p>
        </w:tc>
      </w:tr>
      <w:tr w:rsidR="00556CAB" w14:paraId="7163DC2A" w14:textId="77777777" w:rsidTr="00A4174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3D567325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Kolorystyka powierzchni</w:t>
            </w:r>
          </w:p>
        </w:tc>
        <w:tc>
          <w:tcPr>
            <w:tcW w:w="4435" w:type="dxa"/>
            <w:gridSpan w:val="3"/>
          </w:tcPr>
          <w:p w14:paraId="388C173A" w14:textId="77777777" w:rsidR="00556CAB" w:rsidRDefault="00556CAB" w:rsidP="00A41747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sz w:val="16"/>
              </w:rPr>
              <w:t>Monokolor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Colormix</w:t>
            </w:r>
            <w:proofErr w:type="spellEnd"/>
          </w:p>
        </w:tc>
      </w:tr>
      <w:tr w:rsidR="00556CAB" w14:paraId="570906CA" w14:textId="77777777" w:rsidTr="00A41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1F023E22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Sposób obróbki końcowej</w:t>
            </w:r>
          </w:p>
        </w:tc>
        <w:tc>
          <w:tcPr>
            <w:tcW w:w="4435" w:type="dxa"/>
            <w:gridSpan w:val="3"/>
          </w:tcPr>
          <w:p w14:paraId="34165008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ND</w:t>
            </w:r>
          </w:p>
        </w:tc>
      </w:tr>
      <w:tr w:rsidR="00556CAB" w14:paraId="06E537ED" w14:textId="77777777" w:rsidTr="00A4174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105662F4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Klasa betonu</w:t>
            </w:r>
          </w:p>
        </w:tc>
        <w:tc>
          <w:tcPr>
            <w:tcW w:w="4435" w:type="dxa"/>
            <w:gridSpan w:val="3"/>
          </w:tcPr>
          <w:p w14:paraId="5D1EEFDF" w14:textId="77777777" w:rsidR="00556CAB" w:rsidRDefault="00556CAB" w:rsidP="00A41747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ND</w:t>
            </w:r>
          </w:p>
        </w:tc>
      </w:tr>
      <w:tr w:rsidR="00556CAB" w14:paraId="578D19A4" w14:textId="77777777" w:rsidTr="00A41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229F2085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Wytrzymałość charakterystyczna na rozciąganie przy rozłupywaniu (</w:t>
            </w:r>
            <w:proofErr w:type="spellStart"/>
            <w:r>
              <w:rPr>
                <w:sz w:val="16"/>
              </w:rPr>
              <w:t>MPa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4435" w:type="dxa"/>
            <w:gridSpan w:val="3"/>
          </w:tcPr>
          <w:p w14:paraId="4DAF423E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ND</w:t>
            </w:r>
          </w:p>
        </w:tc>
      </w:tr>
      <w:tr w:rsidR="00556CAB" w14:paraId="5E86BEA4" w14:textId="77777777" w:rsidTr="00A41747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5B1D8F9A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Wytrzymałość charakterystyczna na zginanie (</w:t>
            </w:r>
            <w:proofErr w:type="spellStart"/>
            <w:r>
              <w:rPr>
                <w:sz w:val="16"/>
              </w:rPr>
              <w:t>MPa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4435" w:type="dxa"/>
            <w:gridSpan w:val="3"/>
          </w:tcPr>
          <w:p w14:paraId="181AFDC9" w14:textId="77777777" w:rsidR="00556CAB" w:rsidRDefault="00556CAB" w:rsidP="00A41747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≥ 4,0 / Klasa 2 (oznaczenie T)</w:t>
            </w:r>
          </w:p>
        </w:tc>
      </w:tr>
      <w:tr w:rsidR="00556CAB" w14:paraId="797C45AB" w14:textId="77777777" w:rsidTr="00A41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724C8360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Charakterystyczne obciążenie niszczące (</w:t>
            </w:r>
            <w:proofErr w:type="spellStart"/>
            <w:r>
              <w:rPr>
                <w:sz w:val="16"/>
              </w:rPr>
              <w:t>kN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4435" w:type="dxa"/>
            <w:gridSpan w:val="3"/>
          </w:tcPr>
          <w:p w14:paraId="7C58E5FE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7,</w:t>
            </w:r>
            <w:proofErr w:type="gramStart"/>
            <w:r>
              <w:rPr>
                <w:sz w:val="16"/>
              </w:rPr>
              <w:t>0  /</w:t>
            </w:r>
            <w:proofErr w:type="gramEnd"/>
            <w:r>
              <w:rPr>
                <w:sz w:val="16"/>
              </w:rPr>
              <w:t xml:space="preserve"> Klasa 70 (oznaczenie 7)</w:t>
            </w:r>
          </w:p>
        </w:tc>
      </w:tr>
      <w:tr w:rsidR="00556CAB" w14:paraId="1F4AA81A" w14:textId="77777777" w:rsidTr="00A4174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2F89AFD3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Udział powierzchni przepuszczającej wodę (%)</w:t>
            </w:r>
          </w:p>
        </w:tc>
        <w:tc>
          <w:tcPr>
            <w:tcW w:w="4435" w:type="dxa"/>
            <w:gridSpan w:val="3"/>
          </w:tcPr>
          <w:p w14:paraId="502B117C" w14:textId="77777777" w:rsidR="00556CAB" w:rsidRDefault="00556CAB" w:rsidP="00A41747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ND</w:t>
            </w:r>
          </w:p>
        </w:tc>
      </w:tr>
      <w:tr w:rsidR="00556CAB" w14:paraId="761BB015" w14:textId="77777777" w:rsidTr="00A41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0E1FB00F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Odporność na warunki atmosferyczne</w:t>
            </w:r>
          </w:p>
        </w:tc>
        <w:tc>
          <w:tcPr>
            <w:tcW w:w="4435" w:type="dxa"/>
            <w:gridSpan w:val="3"/>
          </w:tcPr>
          <w:p w14:paraId="70B1F548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Klasa 3 (oznaczenie D)</w:t>
            </w:r>
          </w:p>
        </w:tc>
      </w:tr>
      <w:tr w:rsidR="00556CAB" w14:paraId="0633545B" w14:textId="77777777" w:rsidTr="00A4174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1F3F093F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Odporność na ścieranie</w:t>
            </w:r>
          </w:p>
        </w:tc>
        <w:tc>
          <w:tcPr>
            <w:tcW w:w="4435" w:type="dxa"/>
            <w:gridSpan w:val="3"/>
          </w:tcPr>
          <w:p w14:paraId="505273DA" w14:textId="77777777" w:rsidR="00556CAB" w:rsidRDefault="00556CAB" w:rsidP="00A41747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klasa 4 (oznaczenie I)</w:t>
            </w:r>
          </w:p>
        </w:tc>
      </w:tr>
      <w:tr w:rsidR="00556CAB" w14:paraId="0E168649" w14:textId="77777777" w:rsidTr="00A41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7A37D895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Nasiąkliwość (%)</w:t>
            </w:r>
          </w:p>
        </w:tc>
        <w:tc>
          <w:tcPr>
            <w:tcW w:w="4435" w:type="dxa"/>
            <w:gridSpan w:val="3"/>
          </w:tcPr>
          <w:p w14:paraId="4B7CCECE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≤ 6 / Klasa 2 (oznaczenie B)</w:t>
            </w:r>
          </w:p>
        </w:tc>
      </w:tr>
      <w:tr w:rsidR="00556CAB" w14:paraId="32DDD1B8" w14:textId="77777777" w:rsidTr="00A4174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  <w:vMerge w:val="restart"/>
          </w:tcPr>
          <w:p w14:paraId="112A6302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Dopuszczalne odchyłki wymiarów (mm)</w:t>
            </w:r>
          </w:p>
        </w:tc>
        <w:tc>
          <w:tcPr>
            <w:tcW w:w="1552" w:type="dxa"/>
          </w:tcPr>
          <w:p w14:paraId="2224F7F4" w14:textId="77777777" w:rsidR="00556CAB" w:rsidRDefault="00556CAB" w:rsidP="00A41747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Długość</w:t>
            </w:r>
          </w:p>
        </w:tc>
        <w:tc>
          <w:tcPr>
            <w:tcW w:w="1533" w:type="dxa"/>
          </w:tcPr>
          <w:p w14:paraId="7F491644" w14:textId="77777777" w:rsidR="00556CAB" w:rsidRDefault="00556CAB" w:rsidP="00A41747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Szerokość</w:t>
            </w:r>
          </w:p>
        </w:tc>
        <w:tc>
          <w:tcPr>
            <w:tcW w:w="1350" w:type="dxa"/>
          </w:tcPr>
          <w:p w14:paraId="31E82B9C" w14:textId="77777777" w:rsidR="00556CAB" w:rsidRDefault="00556CAB" w:rsidP="00A41747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Grubość</w:t>
            </w:r>
          </w:p>
        </w:tc>
      </w:tr>
      <w:tr w:rsidR="00556CAB" w14:paraId="146BD150" w14:textId="77777777" w:rsidTr="00A41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14:paraId="02C355B7" w14:textId="77777777" w:rsidR="00556CAB" w:rsidRDefault="00556CAB" w:rsidP="00A41747">
            <w:pPr>
              <w:spacing w:after="0" w:line="259" w:lineRule="auto"/>
            </w:pPr>
          </w:p>
        </w:tc>
        <w:tc>
          <w:tcPr>
            <w:tcW w:w="1552" w:type="dxa"/>
          </w:tcPr>
          <w:p w14:paraId="1ABC071A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± 3</w:t>
            </w:r>
          </w:p>
        </w:tc>
        <w:tc>
          <w:tcPr>
            <w:tcW w:w="1533" w:type="dxa"/>
          </w:tcPr>
          <w:p w14:paraId="3A693E13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± 3</w:t>
            </w:r>
          </w:p>
        </w:tc>
        <w:tc>
          <w:tcPr>
            <w:tcW w:w="1350" w:type="dxa"/>
          </w:tcPr>
          <w:p w14:paraId="727F3046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± 3</w:t>
            </w:r>
          </w:p>
        </w:tc>
      </w:tr>
      <w:tr w:rsidR="00556CAB" w14:paraId="120D6D03" w14:textId="77777777" w:rsidTr="00A4174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0749A27D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Dopuszczalne odchyłki wymiaru przekątnych (mm)</w:t>
            </w:r>
          </w:p>
        </w:tc>
        <w:tc>
          <w:tcPr>
            <w:tcW w:w="4435" w:type="dxa"/>
            <w:gridSpan w:val="3"/>
          </w:tcPr>
          <w:p w14:paraId="2EEB4045" w14:textId="77777777" w:rsidR="00556CAB" w:rsidRDefault="00556CAB" w:rsidP="00A41747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6 / Klasa 2 (oznaczenie K)</w:t>
            </w:r>
          </w:p>
        </w:tc>
      </w:tr>
      <w:tr w:rsidR="00556CAB" w14:paraId="745D6596" w14:textId="77777777" w:rsidTr="00A41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281BCCAE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Odporność na poślizg/poślizgnięcie</w:t>
            </w:r>
          </w:p>
        </w:tc>
        <w:tc>
          <w:tcPr>
            <w:tcW w:w="4435" w:type="dxa"/>
            <w:gridSpan w:val="3"/>
          </w:tcPr>
          <w:p w14:paraId="4D87F8B7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Zadowalająca</w:t>
            </w:r>
          </w:p>
        </w:tc>
      </w:tr>
      <w:tr w:rsidR="00556CAB" w14:paraId="633366BD" w14:textId="77777777" w:rsidTr="00A4174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3E0F14EB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Trwałość</w:t>
            </w:r>
          </w:p>
        </w:tc>
        <w:tc>
          <w:tcPr>
            <w:tcW w:w="4435" w:type="dxa"/>
            <w:gridSpan w:val="3"/>
          </w:tcPr>
          <w:p w14:paraId="63A244B9" w14:textId="77777777" w:rsidR="00556CAB" w:rsidRDefault="00556CAB" w:rsidP="00A41747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Zadowalająca</w:t>
            </w:r>
          </w:p>
        </w:tc>
      </w:tr>
      <w:tr w:rsidR="00556CAB" w14:paraId="67AB849A" w14:textId="77777777" w:rsidTr="00A41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45F95254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Współczynnik przewodności cieplnej</w:t>
            </w:r>
          </w:p>
        </w:tc>
        <w:tc>
          <w:tcPr>
            <w:tcW w:w="4435" w:type="dxa"/>
            <w:gridSpan w:val="3"/>
          </w:tcPr>
          <w:p w14:paraId="08D8290D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1,42 W/(m*K)</w:t>
            </w:r>
          </w:p>
        </w:tc>
      </w:tr>
      <w:tr w:rsidR="00556CAB" w14:paraId="5E1439C0" w14:textId="77777777" w:rsidTr="00A4174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3A0B0095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Odporność na działanie ognia zewnętrznego</w:t>
            </w:r>
          </w:p>
        </w:tc>
        <w:tc>
          <w:tcPr>
            <w:tcW w:w="4435" w:type="dxa"/>
            <w:gridSpan w:val="3"/>
          </w:tcPr>
          <w:p w14:paraId="5322188A" w14:textId="77777777" w:rsidR="00556CAB" w:rsidRDefault="00556CAB" w:rsidP="00A41747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Zadowalająca</w:t>
            </w:r>
          </w:p>
        </w:tc>
      </w:tr>
      <w:tr w:rsidR="00556CAB" w14:paraId="530A02A2" w14:textId="77777777" w:rsidTr="00A41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48F86FDD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Emisja azbestu</w:t>
            </w:r>
          </w:p>
        </w:tc>
        <w:tc>
          <w:tcPr>
            <w:tcW w:w="4435" w:type="dxa"/>
            <w:gridSpan w:val="3"/>
          </w:tcPr>
          <w:p w14:paraId="7DE84773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Brak zawartości azbestu</w:t>
            </w:r>
          </w:p>
        </w:tc>
      </w:tr>
      <w:tr w:rsidR="00556CAB" w14:paraId="7EB0B4A1" w14:textId="77777777" w:rsidTr="00A4174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4213E46E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Reakcja na ogień</w:t>
            </w:r>
          </w:p>
        </w:tc>
        <w:tc>
          <w:tcPr>
            <w:tcW w:w="4435" w:type="dxa"/>
            <w:gridSpan w:val="3"/>
          </w:tcPr>
          <w:p w14:paraId="102F392A" w14:textId="77777777" w:rsidR="00556CAB" w:rsidRDefault="00556CAB" w:rsidP="00A41747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A1</w:t>
            </w:r>
          </w:p>
        </w:tc>
      </w:tr>
      <w:tr w:rsidR="00556CAB" w14:paraId="77992072" w14:textId="77777777" w:rsidTr="00A417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2" w:type="dxa"/>
          </w:tcPr>
          <w:p w14:paraId="5C0E836A" w14:textId="77777777" w:rsidR="00556CAB" w:rsidRDefault="00556CAB" w:rsidP="00A41747">
            <w:pPr>
              <w:spacing w:after="0" w:line="259" w:lineRule="auto"/>
            </w:pPr>
            <w:r>
              <w:rPr>
                <w:sz w:val="16"/>
              </w:rPr>
              <w:t>Przeznaczenie i zakres stosowania (opisowo)</w:t>
            </w:r>
          </w:p>
        </w:tc>
        <w:tc>
          <w:tcPr>
            <w:tcW w:w="4435" w:type="dxa"/>
            <w:gridSpan w:val="3"/>
          </w:tcPr>
          <w:p w14:paraId="33D46E52" w14:textId="77777777" w:rsidR="00556CAB" w:rsidRDefault="00556CAB" w:rsidP="00A41747">
            <w:pPr>
              <w:spacing w:after="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</w:rPr>
              <w:t>Prefabrykowane betonowe płyty brukowe i elementy uzupełniające przeznaczone są do stosowania na pokrycie nawierzchni zewnętrznych i wewnętrznych oraz jako elementy pokryć dachowych.</w:t>
            </w:r>
          </w:p>
        </w:tc>
      </w:tr>
    </w:tbl>
    <w:p w14:paraId="49AC6644" w14:textId="77777777" w:rsidR="00556CAB" w:rsidRDefault="00556CAB" w:rsidP="00F133C5">
      <w:pPr>
        <w:spacing w:after="0"/>
        <w:jc w:val="both"/>
        <w:rPr>
          <w:rFonts w:cs="Calibri"/>
          <w:bCs/>
        </w:rPr>
      </w:pPr>
    </w:p>
    <w:p w14:paraId="32BC3642" w14:textId="4C951566" w:rsidR="00F133C5" w:rsidRDefault="00F133C5" w:rsidP="00F7228C">
      <w:pPr>
        <w:spacing w:after="0"/>
        <w:jc w:val="both"/>
        <w:rPr>
          <w:rFonts w:cs="Calibri"/>
          <w:bCs/>
        </w:rPr>
      </w:pPr>
    </w:p>
    <w:p w14:paraId="0E62CE3D" w14:textId="7F8EA803" w:rsidR="00A41747" w:rsidRDefault="00A41747" w:rsidP="00F7228C">
      <w:pPr>
        <w:spacing w:after="0"/>
        <w:jc w:val="both"/>
        <w:rPr>
          <w:rFonts w:cs="Calibri"/>
          <w:bCs/>
        </w:rPr>
      </w:pPr>
    </w:p>
    <w:p w14:paraId="1ED08197" w14:textId="48996F35" w:rsidR="00A41747" w:rsidRDefault="00A41747" w:rsidP="00F7228C">
      <w:pPr>
        <w:spacing w:after="0"/>
        <w:jc w:val="both"/>
        <w:rPr>
          <w:rFonts w:cs="Calibri"/>
          <w:bCs/>
        </w:rPr>
      </w:pPr>
    </w:p>
    <w:p w14:paraId="414C1600" w14:textId="7F2127B3" w:rsidR="006473C3" w:rsidRPr="00E17B15" w:rsidRDefault="00E17B15" w:rsidP="00F7228C">
      <w:pPr>
        <w:spacing w:after="0"/>
        <w:jc w:val="both"/>
        <w:rPr>
          <w:rFonts w:cs="Calibri"/>
          <w:b/>
        </w:rPr>
      </w:pPr>
      <w:r w:rsidRPr="00E17B15">
        <w:rPr>
          <w:rFonts w:cs="Calibri"/>
          <w:b/>
        </w:rPr>
        <w:lastRenderedPageBreak/>
        <w:t>Tarasy z desek kompozytowych</w:t>
      </w:r>
    </w:p>
    <w:p w14:paraId="35FD0B58" w14:textId="2C383F1E" w:rsidR="00E17B15" w:rsidRDefault="00E17B15" w:rsidP="00F7228C">
      <w:pPr>
        <w:spacing w:after="0"/>
        <w:jc w:val="both"/>
      </w:pPr>
      <w:r>
        <w:rPr>
          <w:rFonts w:cs="Calibri"/>
          <w:bCs/>
        </w:rPr>
        <w:t xml:space="preserve">Deski wykonane z </w:t>
      </w:r>
      <w:r>
        <w:t>drewna (pył drzewny) i PCW (polichlorku winylu).</w:t>
      </w:r>
    </w:p>
    <w:tbl>
      <w:tblPr>
        <w:tblStyle w:val="TableGrid"/>
        <w:tblW w:w="9542" w:type="dxa"/>
        <w:tblInd w:w="0" w:type="dxa"/>
        <w:tblCellMar>
          <w:top w:w="113" w:type="dxa"/>
          <w:left w:w="72" w:type="dxa"/>
          <w:right w:w="107" w:type="dxa"/>
        </w:tblCellMar>
        <w:tblLook w:val="04A0" w:firstRow="1" w:lastRow="0" w:firstColumn="1" w:lastColumn="0" w:noHBand="0" w:noVBand="1"/>
      </w:tblPr>
      <w:tblGrid>
        <w:gridCol w:w="4321"/>
        <w:gridCol w:w="2520"/>
        <w:gridCol w:w="2701"/>
      </w:tblGrid>
      <w:tr w:rsidR="00E17B15" w14:paraId="1375CB2F" w14:textId="77777777" w:rsidTr="00894CBA">
        <w:trPr>
          <w:trHeight w:val="319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4D92C1" w14:textId="77777777" w:rsidR="00E17B15" w:rsidRDefault="00E17B15" w:rsidP="00894CBA">
            <w:pPr>
              <w:spacing w:after="0" w:line="259" w:lineRule="auto"/>
              <w:ind w:left="33"/>
              <w:jc w:val="center"/>
            </w:pPr>
            <w:r>
              <w:t xml:space="preserve">Test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3E095" w14:textId="77777777" w:rsidR="00E17B15" w:rsidRDefault="00E17B15" w:rsidP="00894CBA">
            <w:pPr>
              <w:spacing w:after="0" w:line="259" w:lineRule="auto"/>
              <w:ind w:left="33"/>
              <w:jc w:val="center"/>
            </w:pPr>
            <w:r>
              <w:t xml:space="preserve">Norma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BB89B" w14:textId="77777777" w:rsidR="00E17B15" w:rsidRDefault="00E17B15" w:rsidP="00894CBA">
            <w:pPr>
              <w:spacing w:after="0" w:line="259" w:lineRule="auto"/>
              <w:ind w:left="34"/>
              <w:jc w:val="center"/>
            </w:pPr>
            <w:r>
              <w:t xml:space="preserve">wynik </w:t>
            </w:r>
          </w:p>
        </w:tc>
      </w:tr>
      <w:tr w:rsidR="00E17B15" w14:paraId="38EB395D" w14:textId="77777777" w:rsidTr="00894CBA">
        <w:trPr>
          <w:trHeight w:val="317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007862" w14:textId="77777777" w:rsidR="00E17B15" w:rsidRDefault="00E17B15" w:rsidP="00894CBA">
            <w:pPr>
              <w:spacing w:after="0" w:line="259" w:lineRule="auto"/>
              <w:ind w:left="29"/>
              <w:jc w:val="center"/>
            </w:pPr>
            <w:proofErr w:type="gramStart"/>
            <w:r>
              <w:t xml:space="preserve">Punkt  </w:t>
            </w:r>
            <w:proofErr w:type="spellStart"/>
            <w:r>
              <w:t>Vicat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1704D2" w14:textId="77777777" w:rsidR="00E17B15" w:rsidRDefault="00E17B15" w:rsidP="00894CBA">
            <w:pPr>
              <w:spacing w:after="0" w:line="259" w:lineRule="auto"/>
              <w:ind w:left="31"/>
              <w:jc w:val="center"/>
            </w:pPr>
            <w:r>
              <w:t xml:space="preserve">EN ISO306/350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0AF21" w14:textId="77777777" w:rsidR="00E17B15" w:rsidRDefault="00E17B15" w:rsidP="00894CBA">
            <w:pPr>
              <w:spacing w:after="0" w:line="259" w:lineRule="auto"/>
              <w:ind w:left="35"/>
              <w:jc w:val="center"/>
            </w:pPr>
            <w:r>
              <w:t xml:space="preserve">90,1 </w:t>
            </w:r>
            <w:proofErr w:type="spellStart"/>
            <w:r>
              <w:t>st°C</w:t>
            </w:r>
            <w:proofErr w:type="spellEnd"/>
            <w:r>
              <w:t xml:space="preserve"> </w:t>
            </w:r>
          </w:p>
        </w:tc>
      </w:tr>
      <w:tr w:rsidR="00E17B15" w14:paraId="7DFF6146" w14:textId="77777777" w:rsidTr="00894CBA">
        <w:trPr>
          <w:trHeight w:val="317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47D5A" w14:textId="77777777" w:rsidR="00E17B15" w:rsidRDefault="00E17B15" w:rsidP="00894CBA">
            <w:pPr>
              <w:spacing w:after="0" w:line="259" w:lineRule="auto"/>
              <w:ind w:left="30"/>
              <w:jc w:val="center"/>
            </w:pPr>
            <w:r>
              <w:t xml:space="preserve">Gęstość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9B3FF" w14:textId="77777777" w:rsidR="00E17B15" w:rsidRDefault="00E17B15" w:rsidP="00894CBA">
            <w:pPr>
              <w:spacing w:after="0" w:line="259" w:lineRule="auto"/>
              <w:ind w:left="31"/>
              <w:jc w:val="center"/>
            </w:pPr>
            <w:r>
              <w:t xml:space="preserve">ISO 1183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8B105B" w14:textId="77777777" w:rsidR="00E17B15" w:rsidRDefault="00E17B15" w:rsidP="00894CBA">
            <w:pPr>
              <w:spacing w:after="0" w:line="259" w:lineRule="auto"/>
              <w:ind w:left="32"/>
              <w:jc w:val="center"/>
            </w:pPr>
            <w:r>
              <w:t xml:space="preserve">1,41 kg/dm3 </w:t>
            </w:r>
          </w:p>
        </w:tc>
      </w:tr>
      <w:tr w:rsidR="00E17B15" w14:paraId="51EA2EEE" w14:textId="77777777" w:rsidTr="00894CBA">
        <w:trPr>
          <w:trHeight w:val="317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3C220" w14:textId="77777777" w:rsidR="00E17B15" w:rsidRDefault="00E17B15" w:rsidP="00894CBA">
            <w:pPr>
              <w:spacing w:after="0" w:line="259" w:lineRule="auto"/>
              <w:ind w:left="32"/>
              <w:jc w:val="center"/>
            </w:pPr>
            <w:r>
              <w:t xml:space="preserve">Twardość wg. </w:t>
            </w:r>
            <w:proofErr w:type="spellStart"/>
            <w:r>
              <w:t>Brinell’a</w:t>
            </w:r>
            <w:proofErr w:type="spellEnd"/>
            <w: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7B1DAA" w14:textId="77777777" w:rsidR="00E17B15" w:rsidRDefault="00E17B15" w:rsidP="00894CBA">
            <w:pPr>
              <w:spacing w:after="0" w:line="259" w:lineRule="auto"/>
              <w:ind w:left="32"/>
              <w:jc w:val="center"/>
            </w:pPr>
            <w:r>
              <w:t xml:space="preserve">ISO 1534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2DED01" w14:textId="77777777" w:rsidR="00E17B15" w:rsidRDefault="00E17B15" w:rsidP="00894CBA">
            <w:pPr>
              <w:spacing w:after="0" w:line="259" w:lineRule="auto"/>
              <w:ind w:left="35"/>
              <w:jc w:val="center"/>
            </w:pPr>
            <w:r>
              <w:t xml:space="preserve">120 N/mm </w:t>
            </w:r>
          </w:p>
        </w:tc>
      </w:tr>
      <w:tr w:rsidR="00E17B15" w14:paraId="534AC729" w14:textId="77777777" w:rsidTr="00894CBA">
        <w:trPr>
          <w:trHeight w:val="317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74C0F" w14:textId="77777777" w:rsidR="00E17B15" w:rsidRDefault="00E17B15" w:rsidP="00894CBA">
            <w:pPr>
              <w:spacing w:after="0" w:line="259" w:lineRule="auto"/>
              <w:ind w:left="33"/>
              <w:jc w:val="center"/>
            </w:pPr>
            <w:r>
              <w:t xml:space="preserve">Giętkość E-moduł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DAEFF" w14:textId="77777777" w:rsidR="00E17B15" w:rsidRDefault="00E17B15" w:rsidP="00894CBA">
            <w:pPr>
              <w:spacing w:after="0" w:line="259" w:lineRule="auto"/>
              <w:ind w:left="32"/>
              <w:jc w:val="center"/>
            </w:pPr>
            <w:r>
              <w:t xml:space="preserve">EN 310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BF346B" w14:textId="77777777" w:rsidR="00E17B15" w:rsidRDefault="00E17B15" w:rsidP="00894CBA">
            <w:pPr>
              <w:spacing w:after="0" w:line="259" w:lineRule="auto"/>
              <w:ind w:left="34"/>
              <w:jc w:val="center"/>
            </w:pPr>
            <w:r>
              <w:t xml:space="preserve">5000-7000 N/mm </w:t>
            </w:r>
          </w:p>
        </w:tc>
      </w:tr>
      <w:tr w:rsidR="00E17B15" w14:paraId="1FDBAF5F" w14:textId="77777777" w:rsidTr="00894CBA">
        <w:trPr>
          <w:trHeight w:val="403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4503" w14:textId="77777777" w:rsidR="00E17B15" w:rsidRDefault="00E17B15" w:rsidP="00894CBA">
            <w:pPr>
              <w:spacing w:after="0" w:line="259" w:lineRule="auto"/>
              <w:ind w:left="29"/>
              <w:jc w:val="center"/>
            </w:pPr>
            <w:r>
              <w:t xml:space="preserve">Łamliwość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F6B1E" w14:textId="77777777" w:rsidR="00E17B15" w:rsidRDefault="00E17B15" w:rsidP="00894CBA">
            <w:pPr>
              <w:spacing w:after="0" w:line="259" w:lineRule="auto"/>
              <w:ind w:left="32"/>
              <w:jc w:val="center"/>
            </w:pPr>
            <w:r>
              <w:t xml:space="preserve">EN 310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2E72" w14:textId="77777777" w:rsidR="00E17B15" w:rsidRDefault="00E17B15" w:rsidP="00894CBA">
            <w:pPr>
              <w:spacing w:after="0" w:line="259" w:lineRule="auto"/>
              <w:ind w:left="34"/>
              <w:jc w:val="center"/>
            </w:pPr>
            <w:r>
              <w:t xml:space="preserve">5000 N </w:t>
            </w:r>
          </w:p>
        </w:tc>
      </w:tr>
      <w:tr w:rsidR="00E17B15" w14:paraId="6194F294" w14:textId="77777777" w:rsidTr="00894CBA">
        <w:trPr>
          <w:trHeight w:val="360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38ED3" w14:textId="77777777" w:rsidR="00E17B15" w:rsidRDefault="00E17B15" w:rsidP="00894CBA">
            <w:pPr>
              <w:spacing w:after="0" w:line="259" w:lineRule="auto"/>
              <w:ind w:left="36"/>
              <w:jc w:val="center"/>
            </w:pPr>
            <w:r>
              <w:t xml:space="preserve">Zginanie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B2126" w14:textId="77777777" w:rsidR="00E17B15" w:rsidRDefault="00E17B15" w:rsidP="00894CBA">
            <w:pPr>
              <w:spacing w:after="0" w:line="259" w:lineRule="auto"/>
              <w:ind w:left="32"/>
              <w:jc w:val="center"/>
            </w:pPr>
            <w:r>
              <w:t xml:space="preserve">EN 310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3893F" w14:textId="77777777" w:rsidR="00E17B15" w:rsidRDefault="00E17B15" w:rsidP="00894CBA">
            <w:pPr>
              <w:spacing w:after="0" w:line="259" w:lineRule="auto"/>
              <w:ind w:left="34"/>
              <w:jc w:val="center"/>
            </w:pPr>
            <w:r>
              <w:t xml:space="preserve">38 N/mm </w:t>
            </w:r>
          </w:p>
        </w:tc>
      </w:tr>
      <w:tr w:rsidR="00E17B15" w14:paraId="7632B902" w14:textId="77777777" w:rsidTr="00894CBA">
        <w:trPr>
          <w:trHeight w:val="320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2AF68D" w14:textId="77777777" w:rsidR="00E17B15" w:rsidRDefault="00E17B15" w:rsidP="00894CBA">
            <w:pPr>
              <w:spacing w:after="0" w:line="259" w:lineRule="auto"/>
              <w:ind w:left="31"/>
              <w:jc w:val="center"/>
            </w:pPr>
            <w:r>
              <w:t xml:space="preserve">Absorpcja wody po 24 h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15072" w14:textId="77777777" w:rsidR="00E17B15" w:rsidRDefault="00E17B15" w:rsidP="00894CBA">
            <w:pPr>
              <w:spacing w:after="0" w:line="259" w:lineRule="auto"/>
              <w:ind w:left="32"/>
              <w:jc w:val="center"/>
            </w:pPr>
            <w:r>
              <w:t xml:space="preserve">EN 317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7FB5B" w14:textId="77777777" w:rsidR="00E17B15" w:rsidRDefault="00E17B15" w:rsidP="00894CBA">
            <w:pPr>
              <w:spacing w:after="0" w:line="259" w:lineRule="auto"/>
              <w:ind w:left="35"/>
              <w:jc w:val="center"/>
            </w:pPr>
            <w:r>
              <w:t xml:space="preserve">0,2-0,6% </w:t>
            </w:r>
          </w:p>
        </w:tc>
      </w:tr>
      <w:tr w:rsidR="00E17B15" w14:paraId="78D5D2EF" w14:textId="77777777" w:rsidTr="00894CBA">
        <w:trPr>
          <w:trHeight w:val="317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07199" w14:textId="77777777" w:rsidR="00E17B15" w:rsidRDefault="00E17B15" w:rsidP="00894CBA">
            <w:pPr>
              <w:spacing w:after="0" w:line="259" w:lineRule="auto"/>
              <w:ind w:left="32"/>
              <w:jc w:val="center"/>
            </w:pPr>
            <w:r>
              <w:t xml:space="preserve">Absorpcja wody po 28 dniach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42B567" w14:textId="77777777" w:rsidR="00E17B15" w:rsidRDefault="00E17B15" w:rsidP="00894CBA">
            <w:pPr>
              <w:spacing w:after="0" w:line="259" w:lineRule="auto"/>
              <w:ind w:left="32"/>
              <w:jc w:val="center"/>
            </w:pPr>
            <w:r>
              <w:t xml:space="preserve">EN 317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35FA72" w14:textId="77777777" w:rsidR="00E17B15" w:rsidRDefault="00E17B15" w:rsidP="00894CBA">
            <w:pPr>
              <w:spacing w:after="0" w:line="259" w:lineRule="auto"/>
              <w:ind w:left="35"/>
              <w:jc w:val="center"/>
            </w:pPr>
            <w:r>
              <w:t xml:space="preserve">3,5% </w:t>
            </w:r>
          </w:p>
        </w:tc>
      </w:tr>
      <w:tr w:rsidR="00E17B15" w14:paraId="361180F1" w14:textId="77777777" w:rsidTr="00894CBA">
        <w:trPr>
          <w:trHeight w:val="317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A0DD7" w14:textId="77777777" w:rsidR="00E17B15" w:rsidRDefault="00E17B15" w:rsidP="00894CBA">
            <w:pPr>
              <w:spacing w:after="0" w:line="259" w:lineRule="auto"/>
              <w:ind w:left="96"/>
            </w:pPr>
            <w:r>
              <w:t xml:space="preserve">Temperatura powierzchni </w:t>
            </w:r>
            <w:proofErr w:type="gramStart"/>
            <w:r>
              <w:t>( przy</w:t>
            </w:r>
            <w:proofErr w:type="gramEnd"/>
            <w:r>
              <w:t xml:space="preserve"> 75 </w:t>
            </w:r>
            <w:proofErr w:type="spellStart"/>
            <w:r>
              <w:t>st°C</w:t>
            </w:r>
            <w:proofErr w:type="spellEnd"/>
            <w:r>
              <w:t xml:space="preserve">)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1C40E" w14:textId="77777777" w:rsidR="00E17B15" w:rsidRDefault="00E17B15" w:rsidP="00894CBA">
            <w:pPr>
              <w:spacing w:after="0" w:line="259" w:lineRule="auto"/>
              <w:ind w:left="108"/>
            </w:pPr>
            <w:r>
              <w:t xml:space="preserve">WI 00249596 </w:t>
            </w:r>
            <w:proofErr w:type="spellStart"/>
            <w:r>
              <w:t>Annex</w:t>
            </w:r>
            <w:proofErr w:type="spellEnd"/>
            <w:r>
              <w:t xml:space="preserve"> F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B037B" w14:textId="77777777" w:rsidR="00E17B15" w:rsidRDefault="00E17B15" w:rsidP="00894CBA">
            <w:pPr>
              <w:spacing w:after="0" w:line="259" w:lineRule="auto"/>
              <w:ind w:left="32"/>
              <w:jc w:val="center"/>
            </w:pPr>
            <w:r>
              <w:t xml:space="preserve">59-64 </w:t>
            </w:r>
            <w:proofErr w:type="spellStart"/>
            <w:r>
              <w:t>st°C</w:t>
            </w:r>
            <w:proofErr w:type="spellEnd"/>
            <w:r>
              <w:t xml:space="preserve"> </w:t>
            </w:r>
          </w:p>
        </w:tc>
      </w:tr>
      <w:tr w:rsidR="00E17B15" w14:paraId="1535BBE0" w14:textId="77777777" w:rsidTr="00894CBA">
        <w:trPr>
          <w:trHeight w:val="317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C6FBF" w14:textId="77777777" w:rsidR="00E17B15" w:rsidRDefault="00E17B15" w:rsidP="00894CBA">
            <w:pPr>
              <w:spacing w:after="0" w:line="259" w:lineRule="auto"/>
              <w:ind w:left="30"/>
              <w:jc w:val="center"/>
            </w:pPr>
            <w:r>
              <w:t xml:space="preserve">Starzenie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7D632" w14:textId="77777777" w:rsidR="00E17B15" w:rsidRDefault="00E17B15" w:rsidP="00894CBA">
            <w:pPr>
              <w:spacing w:after="0" w:line="259" w:lineRule="auto"/>
              <w:ind w:left="31"/>
              <w:jc w:val="center"/>
            </w:pPr>
            <w:r>
              <w:t xml:space="preserve">ISO 4892-2/A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0ED8B" w14:textId="77777777" w:rsidR="00E17B15" w:rsidRDefault="00E17B15" w:rsidP="00894CBA">
            <w:pPr>
              <w:spacing w:after="0" w:line="259" w:lineRule="auto"/>
              <w:ind w:left="32"/>
              <w:jc w:val="center"/>
            </w:pPr>
            <w:r>
              <w:t xml:space="preserve">R 12 </w:t>
            </w:r>
          </w:p>
        </w:tc>
      </w:tr>
      <w:tr w:rsidR="00E17B15" w14:paraId="440EEE74" w14:textId="77777777" w:rsidTr="00894CBA">
        <w:trPr>
          <w:trHeight w:val="389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33B3" w14:textId="77777777" w:rsidR="00E17B15" w:rsidRDefault="00E17B15" w:rsidP="00894CBA">
            <w:pPr>
              <w:spacing w:after="0" w:line="259" w:lineRule="auto"/>
              <w:ind w:left="32"/>
              <w:jc w:val="center"/>
            </w:pPr>
            <w:r>
              <w:t xml:space="preserve">Odporność na ślizganie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4421" w14:textId="77777777" w:rsidR="00E17B15" w:rsidRDefault="00E17B15" w:rsidP="00894CBA">
            <w:pPr>
              <w:spacing w:after="0" w:line="259" w:lineRule="auto"/>
              <w:ind w:left="33"/>
              <w:jc w:val="center"/>
            </w:pPr>
            <w:r>
              <w:t xml:space="preserve">DIN 51130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6142" w14:textId="77777777" w:rsidR="00E17B15" w:rsidRDefault="00E17B15" w:rsidP="00894CBA">
            <w:pPr>
              <w:spacing w:after="0" w:line="259" w:lineRule="auto"/>
              <w:ind w:left="31"/>
              <w:jc w:val="center"/>
            </w:pPr>
            <w:r>
              <w:t xml:space="preserve">59 USRV </w:t>
            </w:r>
          </w:p>
        </w:tc>
      </w:tr>
      <w:tr w:rsidR="00E17B15" w14:paraId="4C6E5A84" w14:textId="77777777" w:rsidTr="00894CBA">
        <w:trPr>
          <w:trHeight w:val="386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EAAF1" w14:textId="77777777" w:rsidR="00E17B15" w:rsidRDefault="00E17B15" w:rsidP="00894CBA">
            <w:pPr>
              <w:spacing w:after="0" w:line="259" w:lineRule="auto"/>
              <w:ind w:left="32"/>
              <w:jc w:val="center"/>
            </w:pPr>
            <w:r>
              <w:t xml:space="preserve">Klasa trwałości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8802" w14:textId="77777777" w:rsidR="00E17B15" w:rsidRDefault="00E17B15" w:rsidP="00894CBA">
            <w:pPr>
              <w:spacing w:after="0" w:line="259" w:lineRule="auto"/>
              <w:ind w:left="32"/>
              <w:jc w:val="center"/>
            </w:pPr>
            <w:r>
              <w:t xml:space="preserve">EN 350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B83A" w14:textId="77777777" w:rsidR="00E17B15" w:rsidRDefault="00E17B15" w:rsidP="00894CBA">
            <w:pPr>
              <w:spacing w:after="0" w:line="259" w:lineRule="auto"/>
              <w:ind w:left="35"/>
              <w:jc w:val="center"/>
            </w:pPr>
            <w:r>
              <w:t xml:space="preserve">1  </w:t>
            </w:r>
          </w:p>
        </w:tc>
      </w:tr>
      <w:tr w:rsidR="00E17B15" w14:paraId="33809498" w14:textId="77777777" w:rsidTr="00894CBA">
        <w:trPr>
          <w:trHeight w:val="475"/>
        </w:trPr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364CD" w14:textId="77777777" w:rsidR="00E17B15" w:rsidRDefault="00E17B15" w:rsidP="00894CBA">
            <w:pPr>
              <w:spacing w:after="0" w:line="259" w:lineRule="auto"/>
            </w:pPr>
            <w:r>
              <w:t xml:space="preserve">                Klasa ognioodporności 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EE70F" w14:textId="77777777" w:rsidR="00E17B15" w:rsidRDefault="00E17B15" w:rsidP="00894CBA">
            <w:pPr>
              <w:spacing w:after="0" w:line="259" w:lineRule="auto"/>
            </w:pPr>
            <w:r>
              <w:t xml:space="preserve">           ISO 9239-1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31B72" w14:textId="77777777" w:rsidR="00E17B15" w:rsidRDefault="00E17B15" w:rsidP="00894CBA">
            <w:pPr>
              <w:spacing w:after="0" w:line="259" w:lineRule="auto"/>
            </w:pPr>
            <w:r>
              <w:t xml:space="preserve">                </w:t>
            </w:r>
            <w:proofErr w:type="spellStart"/>
            <w:r>
              <w:t>Bfl</w:t>
            </w:r>
            <w:proofErr w:type="spellEnd"/>
            <w:r>
              <w:t xml:space="preserve"> s1 </w:t>
            </w:r>
          </w:p>
        </w:tc>
      </w:tr>
    </w:tbl>
    <w:p w14:paraId="52B9AC70" w14:textId="77777777" w:rsidR="006473C3" w:rsidRDefault="006473C3" w:rsidP="00F7228C">
      <w:pPr>
        <w:spacing w:after="0"/>
        <w:jc w:val="both"/>
        <w:rPr>
          <w:rFonts w:cs="Calibri"/>
          <w:bCs/>
        </w:rPr>
      </w:pPr>
    </w:p>
    <w:p w14:paraId="797A3E84" w14:textId="77777777" w:rsidR="00F7228C" w:rsidRDefault="00F7228C" w:rsidP="00F7228C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B24A08">
        <w:rPr>
          <w:rFonts w:cs="Calibri"/>
          <w:b/>
          <w:bCs/>
        </w:rPr>
        <w:t>SPRZĘT</w:t>
      </w:r>
    </w:p>
    <w:p w14:paraId="61BD452A" w14:textId="77777777" w:rsidR="00F7228C" w:rsidRDefault="00F7228C" w:rsidP="00F7228C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Wykonawca zobowiązany jest stosować sprzęt zgodnie z zaleceniami producenta przyjętego systemu.</w:t>
      </w:r>
    </w:p>
    <w:p w14:paraId="351335CC" w14:textId="77777777" w:rsidR="00F7228C" w:rsidRPr="00687955" w:rsidRDefault="00687955" w:rsidP="00687955">
      <w:pPr>
        <w:spacing w:after="0"/>
        <w:jc w:val="both"/>
        <w:rPr>
          <w:rFonts w:cs="Calibri"/>
          <w:bCs/>
        </w:rPr>
      </w:pPr>
      <w:r w:rsidRPr="00687955">
        <w:rPr>
          <w:rFonts w:cs="Calibri"/>
          <w:bCs/>
        </w:rPr>
        <w:t>Przy niewielkich powierzchniach nawierzchni z płyt i kostek chodnikowych roboty wykonuje się ręcznie. Jedynie do zagęszczania nawierzchni stosuje się wibratory płytowe z osłoną z tworzywa sztucznego.</w:t>
      </w:r>
      <w:r>
        <w:rPr>
          <w:rFonts w:cs="Calibri"/>
          <w:bCs/>
        </w:rPr>
        <w:t xml:space="preserve"> </w:t>
      </w:r>
    </w:p>
    <w:p w14:paraId="3D03AF46" w14:textId="77777777" w:rsidR="00F7228C" w:rsidRDefault="00F7228C" w:rsidP="00F7228C">
      <w:pPr>
        <w:spacing w:after="0"/>
        <w:jc w:val="both"/>
        <w:rPr>
          <w:rFonts w:cs="Calibri"/>
          <w:bCs/>
        </w:rPr>
      </w:pPr>
    </w:p>
    <w:p w14:paraId="5167D3F0" w14:textId="77777777" w:rsidR="00F7228C" w:rsidRDefault="00F7228C" w:rsidP="00F7228C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>
        <w:rPr>
          <w:rFonts w:cs="Calibri"/>
          <w:b/>
          <w:bCs/>
          <w:caps/>
        </w:rPr>
        <w:t>Transport</w:t>
      </w:r>
    </w:p>
    <w:p w14:paraId="173A9148" w14:textId="77777777" w:rsidR="00F7228C" w:rsidRDefault="00F7228C" w:rsidP="00F7228C">
      <w:pPr>
        <w:spacing w:after="0"/>
        <w:jc w:val="both"/>
        <w:rPr>
          <w:rFonts w:cs="Calibri"/>
          <w:bCs/>
        </w:rPr>
      </w:pPr>
      <w:r w:rsidRPr="001F7CF6">
        <w:rPr>
          <w:rFonts w:cs="Calibri"/>
          <w:bCs/>
        </w:rPr>
        <w:t>Wykonawca jest zobowiązany do stosowania jedynie takich środków transportu, które nie wpłyną niekorzystnie na jakość wykonanych robót i właściwości przewożonych materiałów</w:t>
      </w:r>
    </w:p>
    <w:p w14:paraId="3CE42AA2" w14:textId="77777777" w:rsidR="00F7228C" w:rsidRPr="001F7CF6" w:rsidRDefault="00F7228C" w:rsidP="00F7228C">
      <w:pPr>
        <w:spacing w:after="0"/>
        <w:jc w:val="both"/>
        <w:rPr>
          <w:rFonts w:cs="Calibri"/>
          <w:bCs/>
        </w:rPr>
      </w:pPr>
    </w:p>
    <w:p w14:paraId="18445A87" w14:textId="77777777" w:rsidR="00F7228C" w:rsidRPr="007807E8" w:rsidRDefault="00F7228C" w:rsidP="00F7228C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7807E8">
        <w:rPr>
          <w:rFonts w:cs="Calibri"/>
          <w:b/>
          <w:bCs/>
          <w:caps/>
        </w:rPr>
        <w:t>Wykonanie robót</w:t>
      </w:r>
    </w:p>
    <w:p w14:paraId="1151A013" w14:textId="77777777" w:rsidR="00F7228C" w:rsidRDefault="00F7228C" w:rsidP="00F7228C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 xml:space="preserve">Podczas wykonywania nawierzchni należy ściśle stosować zaleceń producenta systemu przyjętego do realizacji. </w:t>
      </w:r>
    </w:p>
    <w:p w14:paraId="0376A0C5" w14:textId="357D2127" w:rsidR="00F7228C" w:rsidRDefault="00F7228C" w:rsidP="00F7228C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 xml:space="preserve">Jako elementy krawędziowe należy zastosować obrzeża chodnikowe </w:t>
      </w:r>
      <w:r w:rsidR="00A41747">
        <w:rPr>
          <w:rFonts w:cs="Calibri"/>
          <w:bCs/>
        </w:rPr>
        <w:t xml:space="preserve">betonowe, obrzeża tartanowe, obrzeża </w:t>
      </w:r>
      <w:r w:rsidR="00A41747" w:rsidRPr="00A41747">
        <w:rPr>
          <w:rFonts w:cs="Calibri"/>
          <w:bCs/>
        </w:rPr>
        <w:t>Eko-</w:t>
      </w:r>
      <w:proofErr w:type="spellStart"/>
      <w:r w:rsidR="00A41747" w:rsidRPr="00A41747">
        <w:rPr>
          <w:rFonts w:cs="Calibri"/>
          <w:bCs/>
        </w:rPr>
        <w:t>Bord</w:t>
      </w:r>
      <w:proofErr w:type="spellEnd"/>
      <w:r w:rsidR="00A41747" w:rsidRPr="00A41747">
        <w:rPr>
          <w:rFonts w:cs="Calibri"/>
          <w:bCs/>
        </w:rPr>
        <w:t xml:space="preserve"> MAX</w:t>
      </w:r>
      <w:r w:rsidR="00A41747">
        <w:rPr>
          <w:rFonts w:cs="Calibri"/>
          <w:bCs/>
        </w:rPr>
        <w:t xml:space="preserve"> i krawężniki betonowe</w:t>
      </w:r>
      <w:r>
        <w:rPr>
          <w:rFonts w:cs="Calibri"/>
          <w:bCs/>
        </w:rPr>
        <w:t>.</w:t>
      </w:r>
      <w:r w:rsidR="0011053D">
        <w:rPr>
          <w:rFonts w:cs="Calibri"/>
          <w:bCs/>
        </w:rPr>
        <w:t xml:space="preserve"> </w:t>
      </w:r>
    </w:p>
    <w:p w14:paraId="1C6D947C" w14:textId="413A5E12" w:rsidR="00E17B15" w:rsidRPr="00E17B15" w:rsidRDefault="00E17B15" w:rsidP="00F7228C">
      <w:pPr>
        <w:spacing w:after="0"/>
        <w:jc w:val="both"/>
        <w:rPr>
          <w:rFonts w:cs="Calibri"/>
          <w:b/>
        </w:rPr>
      </w:pPr>
      <w:r w:rsidRPr="00E17B15">
        <w:rPr>
          <w:rFonts w:cs="Calibri"/>
          <w:b/>
        </w:rPr>
        <w:t>Tarasy z desek kompozytowych</w:t>
      </w:r>
    </w:p>
    <w:p w14:paraId="127A0349" w14:textId="77777777" w:rsidR="00E17B15" w:rsidRDefault="00E17B15" w:rsidP="00E17B15">
      <w:pPr>
        <w:spacing w:after="0" w:line="240" w:lineRule="auto"/>
        <w:ind w:left="-5" w:right="-11"/>
        <w:jc w:val="both"/>
      </w:pPr>
      <w:r>
        <w:t xml:space="preserve">Podstawowym i właściwym dokumentem dotyczącym sposobu montażu systemu jest instrukcja montażu, znajdująca się w każdej paczce łączników montażowych. Informacje zawarte w wytycznych zostały sporządzone w oparciu o aktualną instrukcję montażu. </w:t>
      </w:r>
    </w:p>
    <w:p w14:paraId="79D742FF" w14:textId="1321CB1E" w:rsidR="00E17B15" w:rsidRDefault="002C2C37" w:rsidP="00E17B15">
      <w:pPr>
        <w:spacing w:after="0" w:line="240" w:lineRule="auto"/>
        <w:ind w:left="-5" w:right="-11"/>
        <w:jc w:val="both"/>
      </w:pPr>
      <w:hyperlink r:id="rId8">
        <w:r w:rsidR="00E17B15">
          <w:t xml:space="preserve"> </w:t>
        </w:r>
      </w:hyperlink>
      <w:r w:rsidR="00E17B15">
        <w:t xml:space="preserve">Ogólne warunki montażu. </w:t>
      </w:r>
    </w:p>
    <w:p w14:paraId="52321BA2" w14:textId="6DDCC2A3" w:rsidR="00E17B15" w:rsidRDefault="00E17B15" w:rsidP="00E17B15">
      <w:pPr>
        <w:spacing w:after="0"/>
        <w:ind w:left="-5"/>
      </w:pPr>
      <w:r>
        <w:t xml:space="preserve">- Do obróbki profili można stosować standardowe elektronarzędzia, zalecane jest cięcie piłą tarczową   z karbidowym ostrzem. Przy cięciu należy używać okularów ochronnych. </w:t>
      </w:r>
    </w:p>
    <w:p w14:paraId="675AFE60" w14:textId="7D80D2EF" w:rsidR="00E17B15" w:rsidRDefault="00E17B15" w:rsidP="00E17B15">
      <w:pPr>
        <w:spacing w:after="0"/>
        <w:ind w:left="-5"/>
      </w:pPr>
      <w:r>
        <w:lastRenderedPageBreak/>
        <w:t xml:space="preserve">- Deski ze względu na technologię produkcji mają zeszlifowane końcówki i długość ~/+ 0,5% większą niż wymiar nominalny. Należy odciąć końce deski przed zamontowaniem. </w:t>
      </w:r>
    </w:p>
    <w:p w14:paraId="28DD91A0" w14:textId="7F9CDEAE" w:rsidR="00E17B15" w:rsidRDefault="00E17B15" w:rsidP="00E17B15">
      <w:pPr>
        <w:spacing w:after="0"/>
        <w:ind w:left="-5"/>
      </w:pPr>
      <w:r>
        <w:t xml:space="preserve">- Profile można kleić klejem poliuretanowym dwuskładnikowym (dopuszczalny jest klej jednoskładnikowy). Klejone powierzchnie powinny być suche, odtłuszczone i zmatowione. </w:t>
      </w:r>
    </w:p>
    <w:p w14:paraId="57287E6A" w14:textId="698FC4E9" w:rsidR="00E17B15" w:rsidRDefault="00E17B15" w:rsidP="00E17B15">
      <w:pPr>
        <w:spacing w:after="0"/>
        <w:ind w:left="-5"/>
      </w:pPr>
      <w:r>
        <w:t xml:space="preserve">- Montaż profili jest możliwy wyłącznie w temperaturze powyżej 0°C. </w:t>
      </w:r>
    </w:p>
    <w:p w14:paraId="64B7140C" w14:textId="77777777" w:rsidR="00E17B15" w:rsidRDefault="00E17B15" w:rsidP="00E17B15">
      <w:pPr>
        <w:spacing w:after="0"/>
        <w:jc w:val="both"/>
      </w:pPr>
      <w:r>
        <w:t xml:space="preserve">- Deski i wykończenia należy aklimatyzować w miejscu montażu min. przez 24 h, przenosić zawsze we dwie osoby i składować w poziomie pod dachem, w miejscu suchym i przewiewnym. </w:t>
      </w:r>
    </w:p>
    <w:p w14:paraId="7737B1DA" w14:textId="6E4821A1" w:rsidR="00E17B15" w:rsidRDefault="00E17B15" w:rsidP="00E17B15">
      <w:pPr>
        <w:spacing w:after="0"/>
        <w:jc w:val="both"/>
      </w:pPr>
      <w:r>
        <w:t>- Podczas montażu należy używać czystych rękawic roboczych.</w:t>
      </w:r>
    </w:p>
    <w:p w14:paraId="429B0258" w14:textId="77777777" w:rsidR="00E17B15" w:rsidRPr="00E17B15" w:rsidRDefault="00E17B15" w:rsidP="00E17B15">
      <w:pPr>
        <w:spacing w:after="0"/>
        <w:jc w:val="both"/>
        <w:rPr>
          <w:rFonts w:cs="Calibri"/>
          <w:bCs/>
          <w:i/>
          <w:iCs/>
        </w:rPr>
      </w:pPr>
      <w:r w:rsidRPr="00E17B15">
        <w:rPr>
          <w:rFonts w:cs="Calibri"/>
          <w:bCs/>
          <w:i/>
          <w:iCs/>
        </w:rPr>
        <w:t xml:space="preserve">Montaż podkonstrukcji. </w:t>
      </w:r>
    </w:p>
    <w:p w14:paraId="4FB5CBE6" w14:textId="4B0CDA30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W zależności od podłoża należy przygotować podkonstrukcję z profili aluminiowych lub drewna egzotycznego. Dopuszczalne jest zastosowanie podkonstrukcji z profili stalowych oraz innych profili aluminiowych. </w:t>
      </w:r>
    </w:p>
    <w:p w14:paraId="0C5C1FE8" w14:textId="791F1494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>Podkonstrukcję należy wykonać ze spadkiem min. 1,0% /</w:t>
      </w:r>
      <w:proofErr w:type="spellStart"/>
      <w:r w:rsidRPr="00E17B15">
        <w:rPr>
          <w:rFonts w:cs="Calibri"/>
          <w:bCs/>
        </w:rPr>
        <w:t>mb</w:t>
      </w:r>
      <w:proofErr w:type="spellEnd"/>
      <w:r w:rsidRPr="00E17B15">
        <w:rPr>
          <w:rFonts w:cs="Calibri"/>
          <w:bCs/>
        </w:rPr>
        <w:t xml:space="preserve"> w kierunku od budynku i umożliwić odpływ wody spod tarasu rozsuwając profile.   </w:t>
      </w:r>
    </w:p>
    <w:p w14:paraId="4540C998" w14:textId="2A2ECA4F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Profile montażowe należy zakotwić trwale do podłoża </w:t>
      </w:r>
      <w:r w:rsidR="00DB10A6">
        <w:rPr>
          <w:rFonts w:cs="Calibri"/>
          <w:bCs/>
        </w:rPr>
        <w:t>z</w:t>
      </w:r>
      <w:r w:rsidRPr="00E17B15">
        <w:rPr>
          <w:rFonts w:cs="Calibri"/>
          <w:bCs/>
        </w:rPr>
        <w:t xml:space="preserve"> bloczków betonowych - za pomocą kołków, kleju lub kotew chemicznych.  </w:t>
      </w:r>
    </w:p>
    <w:p w14:paraId="61829C8A" w14:textId="77777777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Przytwierdzając do podłoża za pomocą kołków, należy stosować wkręty z łbem grzybkowym i zawsze wywiercić otwór następnie przykręcać wkręt tylko przez 1 dolną profilu.  </w:t>
      </w:r>
    </w:p>
    <w:p w14:paraId="6ABC4F8B" w14:textId="6013F683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Profil montażowy należy odsunąć od ścian o 5mm. </w:t>
      </w:r>
    </w:p>
    <w:p w14:paraId="55447989" w14:textId="78E4FA2B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Kratownicę z drewna egzotycznego należy stosować w przypadku braku możliwości zakotwienia profili do podłoża. </w:t>
      </w:r>
    </w:p>
    <w:p w14:paraId="3EF76824" w14:textId="035E4A1F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Rozstaw profili podkonstrukcji powinien wynosić max. 500mm w osi profilu. </w:t>
      </w:r>
    </w:p>
    <w:p w14:paraId="34631215" w14:textId="7B75333A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W przypadku układania desek na podkonstrukcji pod kątem innym niż 90° należy zmniejszyć rozstaw legarów do 350mm. </w:t>
      </w:r>
    </w:p>
    <w:p w14:paraId="57B983C6" w14:textId="5A3B21A5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Deska może wystawać niepodparta poza obrys tarasu nie więcej niż 50mm. </w:t>
      </w:r>
    </w:p>
    <w:p w14:paraId="03011C19" w14:textId="29868E3C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W przypadku układania wąskich ścieżek/elementów należy zawsze stosować min. 3 profile. </w:t>
      </w:r>
    </w:p>
    <w:p w14:paraId="5C9FA467" w14:textId="77777777" w:rsidR="00E17B15" w:rsidRPr="00DB10A6" w:rsidRDefault="00E17B15" w:rsidP="00E17B15">
      <w:pPr>
        <w:spacing w:after="0"/>
        <w:jc w:val="both"/>
        <w:rPr>
          <w:rFonts w:cs="Calibri"/>
          <w:bCs/>
          <w:i/>
          <w:iCs/>
        </w:rPr>
      </w:pPr>
      <w:r w:rsidRPr="00DB10A6">
        <w:rPr>
          <w:rFonts w:cs="Calibri"/>
          <w:bCs/>
          <w:i/>
          <w:iCs/>
        </w:rPr>
        <w:t xml:space="preserve">Rozpoczęcie układania. </w:t>
      </w:r>
    </w:p>
    <w:p w14:paraId="7372DB88" w14:textId="0B9FA89E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Po ułożeniu i wypoziomowaniu profili można przystąpić do montażu profili startowych. </w:t>
      </w:r>
    </w:p>
    <w:p w14:paraId="185CF8A1" w14:textId="07145F70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Profil przykręcić do pod-konstrukcji, a profil F wariantowo można także przykręcić do ściany. </w:t>
      </w:r>
    </w:p>
    <w:p w14:paraId="41BAF4A8" w14:textId="339DFB58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W powstałą kieszeń należy wsunąć deskę.  </w:t>
      </w:r>
    </w:p>
    <w:p w14:paraId="3C48A567" w14:textId="4EC02686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Deski można układać drobnym lub szerokim ryflowaniem do góry, należy pamiętać o układaniu zawsze tym samym kierunkiem deski (zgodnie z przetłoczeniem wewnątrz komory deski). </w:t>
      </w:r>
    </w:p>
    <w:p w14:paraId="365626F2" w14:textId="5A30B2A8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Następnie dobić deskę młotkiem gumowym, zablokować łącznikiem i przykręcić wkrętem samo wiercącym (zestaw montażowy).  </w:t>
      </w:r>
    </w:p>
    <w:p w14:paraId="2220EB28" w14:textId="77777777" w:rsidR="00E17B15" w:rsidRPr="00DB10A6" w:rsidRDefault="00E17B15" w:rsidP="00E17B15">
      <w:pPr>
        <w:spacing w:after="0"/>
        <w:jc w:val="both"/>
        <w:rPr>
          <w:rFonts w:cs="Calibri"/>
          <w:bCs/>
          <w:i/>
          <w:iCs/>
        </w:rPr>
      </w:pPr>
      <w:r w:rsidRPr="00DB10A6">
        <w:rPr>
          <w:rFonts w:cs="Calibri"/>
          <w:bCs/>
          <w:i/>
          <w:iCs/>
        </w:rPr>
        <w:t xml:space="preserve">Dylatacje. </w:t>
      </w:r>
    </w:p>
    <w:p w14:paraId="63EA1DD1" w14:textId="1942CB8C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Podczas układania desek należy zostawiać dylatacje wg zasady: 2mm/1mb. </w:t>
      </w:r>
    </w:p>
    <w:p w14:paraId="2786D549" w14:textId="32877EA5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Deski powinny mieć zostawione dylatacje 5mm od ścian i krawędzi wzdłuż desek. W przypadku tarasów o bokach dłuższych niż 6m należy unikać łączenia desek 6m z kolejnymi deskami w jednym rzędzie. W takim przypadku należy deski 6m podzielić na krótsze odcinki. </w:t>
      </w:r>
    </w:p>
    <w:p w14:paraId="7AB11CBF" w14:textId="77777777" w:rsidR="00E17B15" w:rsidRPr="00DB10A6" w:rsidRDefault="00E17B15" w:rsidP="00E17B15">
      <w:pPr>
        <w:spacing w:after="0"/>
        <w:jc w:val="both"/>
        <w:rPr>
          <w:rFonts w:cs="Calibri"/>
          <w:bCs/>
          <w:i/>
          <w:iCs/>
        </w:rPr>
      </w:pPr>
      <w:r w:rsidRPr="00DB10A6">
        <w:rPr>
          <w:rFonts w:cs="Calibri"/>
          <w:bCs/>
          <w:i/>
          <w:iCs/>
        </w:rPr>
        <w:t xml:space="preserve">Wykończenie tarasu. </w:t>
      </w:r>
    </w:p>
    <w:p w14:paraId="77A8B34F" w14:textId="3FFBED1F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Na końcach tarasu można zamontować profile: aluminiowy F, listwa maskująca lub zaślepki do poszczególnych desek. </w:t>
      </w:r>
    </w:p>
    <w:p w14:paraId="2F38BCCE" w14:textId="0949F954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 xml:space="preserve">Docinając ostatnią deskę wzdłuż, można zostawić niezabezpieczoną krawędź o szerokości max. 8mm. Jeżeli docięty kawałek jest szerszy, należy zabezpieczyć krawędź profilem. </w:t>
      </w:r>
    </w:p>
    <w:p w14:paraId="2EAFF59E" w14:textId="559C9700" w:rsidR="00E17B15" w:rsidRP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lastRenderedPageBreak/>
        <w:t xml:space="preserve">Profil należy przykręcać do legarów co max. 600mm. Ostatnią deskę należy przykleić do legara za i zamaskować listwą maskującą, przykręcając ją do legara/profilu co max. 300mm. </w:t>
      </w:r>
    </w:p>
    <w:p w14:paraId="603F0F27" w14:textId="4F6310FE" w:rsidR="00E17B15" w:rsidRDefault="00E17B15" w:rsidP="00E17B15">
      <w:pPr>
        <w:spacing w:after="0"/>
        <w:jc w:val="both"/>
        <w:rPr>
          <w:rFonts w:cs="Calibri"/>
          <w:bCs/>
        </w:rPr>
      </w:pPr>
      <w:r w:rsidRPr="00E17B15">
        <w:rPr>
          <w:rFonts w:cs="Calibri"/>
          <w:bCs/>
        </w:rPr>
        <w:t>Stosując zaślepki trzeba zapewnić wentylację każdej z desek. Najpierw należy przewiercić od spodu otwory w każdej komorze, co 1m, następnie zamontować zaślepki.</w:t>
      </w:r>
    </w:p>
    <w:p w14:paraId="79024AF4" w14:textId="77777777" w:rsidR="00F7228C" w:rsidRDefault="00F7228C" w:rsidP="00F7228C">
      <w:pPr>
        <w:spacing w:after="0"/>
        <w:jc w:val="both"/>
        <w:rPr>
          <w:rFonts w:cs="Calibri"/>
          <w:bCs/>
        </w:rPr>
      </w:pPr>
    </w:p>
    <w:p w14:paraId="680264FB" w14:textId="77777777" w:rsidR="00F7228C" w:rsidRPr="002B393E" w:rsidRDefault="00F7228C" w:rsidP="00F7228C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2B393E">
        <w:rPr>
          <w:rFonts w:cs="Calibri"/>
          <w:b/>
          <w:bCs/>
        </w:rPr>
        <w:t>KONTROLA JAKOŚCI ROBÓT</w:t>
      </w:r>
    </w:p>
    <w:p w14:paraId="3EE8D237" w14:textId="77777777" w:rsidR="00F7228C" w:rsidRDefault="00F7228C" w:rsidP="00F7228C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Ogólne wymagania dotycz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>ce kontroli jako</w:t>
      </w:r>
      <w:r w:rsidRPr="00630B79">
        <w:rPr>
          <w:rFonts w:cs="Calibri" w:hint="eastAsia"/>
          <w:bCs/>
        </w:rPr>
        <w:t>ś</w:t>
      </w:r>
      <w:r w:rsidRPr="00630B79">
        <w:rPr>
          <w:rFonts w:cs="Calibri"/>
          <w:bCs/>
        </w:rPr>
        <w:t xml:space="preserve">ci robot podano w </w:t>
      </w:r>
      <w:r w:rsidRPr="00630B79">
        <w:rPr>
          <w:rFonts w:cs="Calibri" w:hint="eastAsia"/>
          <w:bCs/>
        </w:rPr>
        <w:t>„</w:t>
      </w:r>
      <w:r w:rsidRPr="00630B79">
        <w:rPr>
          <w:rFonts w:cs="Calibri"/>
          <w:bCs/>
        </w:rPr>
        <w:t>Wymagania ogólne"</w:t>
      </w:r>
      <w:r>
        <w:rPr>
          <w:rFonts w:cs="Calibri"/>
          <w:bCs/>
        </w:rPr>
        <w:t>.</w:t>
      </w:r>
    </w:p>
    <w:p w14:paraId="04D56A71" w14:textId="77777777" w:rsidR="00F7228C" w:rsidRDefault="00F7228C" w:rsidP="00F7228C">
      <w:p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 xml:space="preserve">Przed przystąpieniem do robót Wykonawca powinien wykonać badania kruszyw przeznaczonych do produkcji mieszanki żwirowej i przedstawić wyniki tych badań   </w:t>
      </w:r>
      <w:proofErr w:type="gramStart"/>
      <w:r w:rsidRPr="00004BAC">
        <w:rPr>
          <w:rFonts w:cs="Calibri"/>
          <w:bCs/>
        </w:rPr>
        <w:t>Zamawiającemu  do</w:t>
      </w:r>
      <w:proofErr w:type="gramEnd"/>
      <w:r w:rsidRPr="00004BAC">
        <w:rPr>
          <w:rFonts w:cs="Calibri"/>
          <w:bCs/>
        </w:rPr>
        <w:t xml:space="preserve"> akceptacji.</w:t>
      </w:r>
    </w:p>
    <w:p w14:paraId="0A611818" w14:textId="77777777" w:rsidR="00F7228C" w:rsidRDefault="00F7228C" w:rsidP="00F7228C">
      <w:p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Odchylenia rzędnych wysokościowych nawierzchni od rzędnych projektowanych nie powinno być większe niż +1 cm i -3 cm.</w:t>
      </w:r>
    </w:p>
    <w:p w14:paraId="49E5F62F" w14:textId="77777777" w:rsidR="00F7228C" w:rsidRDefault="00F7228C" w:rsidP="00F7228C">
      <w:p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Nierówności podłużne nawierzchni należy mierzyć łatą 4-metrową, zgodnie z normą BN-68/8931-04 [5]. Nierówności poprzeczne należy mierzyć 4-metrową łatą. Nierówności nawierzchni nie powinny przekraczać 15 mm.</w:t>
      </w:r>
    </w:p>
    <w:p w14:paraId="16223C06" w14:textId="77777777" w:rsidR="00F7228C" w:rsidRDefault="00F7228C" w:rsidP="00F7228C">
      <w:p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 xml:space="preserve">Grubość warstw należy sprawdzać przez wykopanie dołków kontrolnych w połowie szerokości nawierzchni. Dopuszczalne odchyłki od projektowanej grubości nie powinny przekraczać </w:t>
      </w:r>
      <w:r w:rsidRPr="00004BAC">
        <w:rPr>
          <w:rFonts w:cs="Calibri"/>
          <w:bCs/>
        </w:rPr>
        <w:t> 1 cm.</w:t>
      </w:r>
    </w:p>
    <w:p w14:paraId="3A656894" w14:textId="77777777" w:rsidR="00F7228C" w:rsidRDefault="00F7228C" w:rsidP="00F7228C">
      <w:pPr>
        <w:spacing w:after="0"/>
        <w:jc w:val="both"/>
        <w:rPr>
          <w:rFonts w:cs="Calibri"/>
          <w:bCs/>
        </w:rPr>
      </w:pPr>
    </w:p>
    <w:p w14:paraId="5F69CAA8" w14:textId="77777777" w:rsidR="002B393E" w:rsidRPr="002B393E" w:rsidRDefault="002B393E" w:rsidP="00F57BB8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</w:rPr>
      </w:pPr>
      <w:r w:rsidRPr="002B393E">
        <w:rPr>
          <w:rFonts w:cs="Calibri"/>
          <w:b/>
          <w:bCs/>
        </w:rPr>
        <w:t>OBMIAR ROBÓT</w:t>
      </w:r>
    </w:p>
    <w:p w14:paraId="78908783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Ogólne zasady i wymagania dotyczące obmiaru robót podano w ST 00.01 “Wymagania ogólne".</w:t>
      </w:r>
    </w:p>
    <w:p w14:paraId="5BABAFCA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Obmiar robót określa ilość wykonanych robót zgodnie z postanowieniami umowy.</w:t>
      </w:r>
    </w:p>
    <w:p w14:paraId="6483B451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Ilość robót oblicza się według sporządzonych pomiarów z natury, udokumentowanych operatem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powykonawczym, z uwzględnieniem wymagań technicznych zawartych w niniejszej ST i ujmuje w księdze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obmiaru.</w:t>
      </w:r>
    </w:p>
    <w:p w14:paraId="2BA982C2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Wszystkie urządzenia i sprzęt pomiarowy stosowane do obmiaru robót podlegają akceptacji Inspektora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nadzoru i muszą posiadać ważne certyfikaty legalizacji.</w:t>
      </w:r>
    </w:p>
    <w:p w14:paraId="210A2592" w14:textId="77777777" w:rsidR="002B393E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Jednostki obmiaru - jak w przedmiarze.</w:t>
      </w:r>
    </w:p>
    <w:p w14:paraId="1D500465" w14:textId="77777777" w:rsidR="00DB73F5" w:rsidRDefault="00DB73F5" w:rsidP="00CE0B69">
      <w:pPr>
        <w:spacing w:after="0"/>
        <w:jc w:val="both"/>
        <w:rPr>
          <w:rFonts w:cs="Calibri"/>
          <w:bCs/>
        </w:rPr>
      </w:pPr>
    </w:p>
    <w:p w14:paraId="21C54C91" w14:textId="77777777" w:rsidR="00CE0B69" w:rsidRPr="004A54AB" w:rsidRDefault="00CE0B69" w:rsidP="00F57BB8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4A54AB">
        <w:rPr>
          <w:rFonts w:cs="Calibri"/>
          <w:b/>
          <w:bCs/>
          <w:caps/>
        </w:rPr>
        <w:t>ODBIÓR ROBÓT</w:t>
      </w:r>
    </w:p>
    <w:p w14:paraId="29172128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Ogólne zasady odbioru robót i ich przejęcia podano w ST „Wymagania ogólne".</w:t>
      </w:r>
    </w:p>
    <w:p w14:paraId="775FC422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Odbiór jest potwierdzeniem wykonania robót zgodnie z postanowieniami Umowy oraz obowiązującymi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Normami Technicznymi (PN, EN-PN).</w:t>
      </w:r>
    </w:p>
    <w:p w14:paraId="2FF44CEE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 xml:space="preserve">Celem odbioru jest protokolarne dokonanie </w:t>
      </w:r>
      <w:proofErr w:type="gramStart"/>
      <w:r w:rsidRPr="004A54AB">
        <w:rPr>
          <w:rFonts w:cs="Calibri"/>
          <w:bCs/>
        </w:rPr>
        <w:t>finalnej</w:t>
      </w:r>
      <w:proofErr w:type="gramEnd"/>
      <w:r w:rsidRPr="004A54AB">
        <w:rPr>
          <w:rFonts w:cs="Calibri"/>
          <w:bCs/>
        </w:rPr>
        <w:t xml:space="preserve"> oceny rzeczywistego wykonania robót w odniesieniu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do ich ilości, jakości i wartości.</w:t>
      </w:r>
    </w:p>
    <w:p w14:paraId="4A38149C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Odbiór należy dokonać zgodnie z Warunkami Technicznymi Wykonania i Odbioru Robót Budowlano -</w:t>
      </w:r>
    </w:p>
    <w:p w14:paraId="647B8FD1" w14:textId="77777777" w:rsidR="00CE0B69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Montażowych.</w:t>
      </w:r>
    </w:p>
    <w:p w14:paraId="73493B62" w14:textId="77777777" w:rsidR="00630B79" w:rsidRPr="00630B79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Odbiór nale</w:t>
      </w:r>
      <w:r w:rsidRPr="00630B79">
        <w:rPr>
          <w:rFonts w:cs="Calibri" w:hint="eastAsia"/>
          <w:bCs/>
        </w:rPr>
        <w:t>ż</w:t>
      </w:r>
      <w:r w:rsidRPr="00630B79">
        <w:rPr>
          <w:rFonts w:cs="Calibri"/>
          <w:bCs/>
        </w:rPr>
        <w:t>y przeprowadzi</w:t>
      </w:r>
      <w:r>
        <w:rPr>
          <w:rFonts w:cs="Calibri"/>
          <w:bCs/>
        </w:rPr>
        <w:t xml:space="preserve">ć </w:t>
      </w:r>
      <w:r w:rsidRPr="00630B79">
        <w:rPr>
          <w:rFonts w:cs="Calibri"/>
          <w:bCs/>
        </w:rPr>
        <w:t>zgodnie z zasadami zaleconymi przez producenta</w:t>
      </w:r>
      <w:r>
        <w:rPr>
          <w:rFonts w:cs="Calibri"/>
          <w:bCs/>
        </w:rPr>
        <w:t xml:space="preserve"> nawierzchni z</w:t>
      </w:r>
      <w:r w:rsidRPr="00630B79">
        <w:rPr>
          <w:rFonts w:cs="Calibri"/>
          <w:bCs/>
        </w:rPr>
        <w:t>godnie z kart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 xml:space="preserve"> techniczn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 xml:space="preserve"> oferowanej nawierzchni syntetycznej.</w:t>
      </w:r>
    </w:p>
    <w:p w14:paraId="5B782579" w14:textId="77777777" w:rsidR="00630B79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Badania kontrolne obejmuj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 xml:space="preserve"> kontrol</w:t>
      </w:r>
      <w:r w:rsidRPr="00630B79">
        <w:rPr>
          <w:rFonts w:cs="Calibri" w:hint="eastAsia"/>
          <w:bCs/>
        </w:rPr>
        <w:t>ę</w:t>
      </w:r>
      <w:r w:rsidRPr="00630B79">
        <w:rPr>
          <w:rFonts w:cs="Calibri"/>
          <w:bCs/>
        </w:rPr>
        <w:t>:</w:t>
      </w:r>
    </w:p>
    <w:p w14:paraId="2B426B00" w14:textId="77777777" w:rsidR="00630B79" w:rsidRPr="00630B79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• Równości nawierzchni.</w:t>
      </w:r>
    </w:p>
    <w:p w14:paraId="2E0FA2E3" w14:textId="77777777" w:rsidR="00630B79" w:rsidRPr="00630B79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• Pochyle</w:t>
      </w:r>
      <w:r w:rsidRPr="00630B79">
        <w:rPr>
          <w:rFonts w:cs="Calibri" w:hint="eastAsia"/>
          <w:bCs/>
        </w:rPr>
        <w:t>ń</w:t>
      </w:r>
      <w:r w:rsidRPr="00630B79">
        <w:rPr>
          <w:rFonts w:cs="Calibri"/>
          <w:bCs/>
        </w:rPr>
        <w:t xml:space="preserve"> pod</w:t>
      </w:r>
      <w:r w:rsidRPr="00630B79">
        <w:rPr>
          <w:rFonts w:cs="Calibri" w:hint="eastAsia"/>
          <w:bCs/>
        </w:rPr>
        <w:t>ł</w:t>
      </w:r>
      <w:r w:rsidRPr="00630B79">
        <w:rPr>
          <w:rFonts w:cs="Calibri"/>
          <w:bCs/>
        </w:rPr>
        <w:t>u</w:t>
      </w:r>
      <w:r w:rsidRPr="00630B79">
        <w:rPr>
          <w:rFonts w:cs="Calibri" w:hint="eastAsia"/>
          <w:bCs/>
        </w:rPr>
        <w:t>ż</w:t>
      </w:r>
      <w:r w:rsidRPr="00630B79">
        <w:rPr>
          <w:rFonts w:cs="Calibri"/>
          <w:bCs/>
        </w:rPr>
        <w:t>nych i spadków poprzecznych.</w:t>
      </w:r>
    </w:p>
    <w:p w14:paraId="28E8A7AC" w14:textId="77777777" w:rsidR="00630B79" w:rsidRPr="00630B79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• Grubo</w:t>
      </w:r>
      <w:r w:rsidRPr="00630B79">
        <w:rPr>
          <w:rFonts w:cs="Calibri" w:hint="eastAsia"/>
          <w:bCs/>
        </w:rPr>
        <w:t>ś</w:t>
      </w:r>
      <w:r w:rsidRPr="00630B79">
        <w:rPr>
          <w:rFonts w:cs="Calibri"/>
          <w:bCs/>
        </w:rPr>
        <w:t>ci nawierzchni.</w:t>
      </w:r>
    </w:p>
    <w:p w14:paraId="007536B9" w14:textId="77777777" w:rsidR="00630B79" w:rsidRPr="004A54AB" w:rsidRDefault="00630B79" w:rsidP="00630B79">
      <w:p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• Technicznych dokumentów kontrolnych</w:t>
      </w:r>
      <w:r>
        <w:rPr>
          <w:rFonts w:cs="Calibri"/>
          <w:bCs/>
        </w:rPr>
        <w:t>.</w:t>
      </w:r>
    </w:p>
    <w:p w14:paraId="2BC10464" w14:textId="77777777" w:rsidR="002B393E" w:rsidRPr="002B393E" w:rsidRDefault="002B393E" w:rsidP="002B393E">
      <w:pPr>
        <w:spacing w:after="0"/>
        <w:jc w:val="both"/>
        <w:rPr>
          <w:rFonts w:cs="Calibri"/>
          <w:bCs/>
        </w:rPr>
      </w:pPr>
    </w:p>
    <w:p w14:paraId="26D2381D" w14:textId="77777777" w:rsidR="00307154" w:rsidRPr="005E7EE0" w:rsidRDefault="00307154" w:rsidP="00F57BB8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caps/>
        </w:rPr>
      </w:pPr>
      <w:r w:rsidRPr="005E7EE0">
        <w:rPr>
          <w:rFonts w:cs="Calibri"/>
          <w:b/>
          <w:bCs/>
          <w:caps/>
        </w:rPr>
        <w:t>Dokumenty odniesienia</w:t>
      </w:r>
    </w:p>
    <w:p w14:paraId="69BF6FF6" w14:textId="77777777" w:rsidR="00307154" w:rsidRPr="005E7EE0" w:rsidRDefault="00307154" w:rsidP="00307154">
      <w:p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Dokumentacją odniesienia jest:</w:t>
      </w:r>
    </w:p>
    <w:p w14:paraId="70371422" w14:textId="77777777"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lastRenderedPageBreak/>
        <w:t>Specyfikacja Istotnych Warunków Zamówienia dla przedmiotowego zadania,</w:t>
      </w:r>
    </w:p>
    <w:p w14:paraId="0C0C43C2" w14:textId="77777777"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umowa zawarta pomiędzy Wykonawca a Zamawiającym wraz z harmonogramem robót</w:t>
      </w:r>
    </w:p>
    <w:p w14:paraId="4D901010" w14:textId="77777777"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zatwierdzona przez Zamawiającego dokumentacja wykonawcza ww. zadania</w:t>
      </w:r>
    </w:p>
    <w:p w14:paraId="2AC5248F" w14:textId="77777777"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normy</w:t>
      </w:r>
    </w:p>
    <w:p w14:paraId="68184741" w14:textId="77777777"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aprobaty techniczne</w:t>
      </w:r>
    </w:p>
    <w:p w14:paraId="0672897E" w14:textId="77777777" w:rsidR="00307154" w:rsidRPr="005E7EE0" w:rsidRDefault="00307154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inne dokumenty i ustalenia techniczne prowadzone w trakcie trwania inwestycji.</w:t>
      </w:r>
    </w:p>
    <w:p w14:paraId="73116A6E" w14:textId="77777777" w:rsidR="00630B79" w:rsidRPr="00630B79" w:rsidRDefault="00630B79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b</w:t>
      </w:r>
      <w:r w:rsidRPr="00630B79">
        <w:rPr>
          <w:rFonts w:cs="Calibri"/>
          <w:bCs/>
        </w:rPr>
        <w:t>adania na zgodno</w:t>
      </w:r>
      <w:r w:rsidRPr="00630B79">
        <w:rPr>
          <w:rFonts w:cs="Calibri" w:hint="eastAsia"/>
          <w:bCs/>
        </w:rPr>
        <w:t>ść</w:t>
      </w:r>
      <w:r w:rsidRPr="00630B79">
        <w:rPr>
          <w:rFonts w:cs="Calibri"/>
          <w:bCs/>
        </w:rPr>
        <w:t xml:space="preserve"> z norm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 xml:space="preserve"> PN-EN 14877, lub aprobata techniczna ITB, lub</w:t>
      </w:r>
    </w:p>
    <w:p w14:paraId="7E2CFEFC" w14:textId="77777777" w:rsidR="00630B79" w:rsidRPr="00630B79" w:rsidRDefault="00630B79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rekomendacja techniczna ITB lub wynik bada</w:t>
      </w:r>
      <w:r w:rsidRPr="00630B79">
        <w:rPr>
          <w:rFonts w:cs="Calibri" w:hint="eastAsia"/>
          <w:bCs/>
        </w:rPr>
        <w:t>ń</w:t>
      </w:r>
      <w:r w:rsidRPr="00630B79">
        <w:rPr>
          <w:rFonts w:cs="Calibri"/>
          <w:bCs/>
        </w:rPr>
        <w:t xml:space="preserve"> specjalistycznego laboratorium badaj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 xml:space="preserve">cego nawierzchnie sportowe np. </w:t>
      </w:r>
      <w:proofErr w:type="spellStart"/>
      <w:r w:rsidRPr="00630B79">
        <w:rPr>
          <w:rFonts w:cs="Calibri"/>
          <w:bCs/>
        </w:rPr>
        <w:t>Labosport</w:t>
      </w:r>
      <w:proofErr w:type="spellEnd"/>
      <w:r w:rsidRPr="00630B79">
        <w:rPr>
          <w:rFonts w:cs="Calibri"/>
          <w:bCs/>
        </w:rPr>
        <w:t>.</w:t>
      </w:r>
    </w:p>
    <w:p w14:paraId="1F3F01A9" w14:textId="77777777" w:rsidR="00630B79" w:rsidRPr="00630B79" w:rsidRDefault="00630B79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k</w:t>
      </w:r>
      <w:r w:rsidRPr="00630B79">
        <w:rPr>
          <w:rFonts w:cs="Calibri"/>
          <w:bCs/>
        </w:rPr>
        <w:t>arta techniczna oferowanej nawierzchni potwierdzona przez jej producenta.</w:t>
      </w:r>
    </w:p>
    <w:p w14:paraId="4F2F6A77" w14:textId="77777777" w:rsidR="00630B79" w:rsidRPr="00630B79" w:rsidRDefault="00630B79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b</w:t>
      </w:r>
      <w:r w:rsidRPr="00630B79">
        <w:rPr>
          <w:rFonts w:cs="Calibri"/>
          <w:bCs/>
        </w:rPr>
        <w:t>adanie jako</w:t>
      </w:r>
      <w:r w:rsidRPr="00630B79">
        <w:rPr>
          <w:rFonts w:cs="Calibri" w:hint="eastAsia"/>
          <w:bCs/>
        </w:rPr>
        <w:t>ś</w:t>
      </w:r>
      <w:r w:rsidRPr="00630B79">
        <w:rPr>
          <w:rFonts w:cs="Calibri"/>
          <w:bCs/>
        </w:rPr>
        <w:t>ci wykonania sztucznej nawierzchni.</w:t>
      </w:r>
    </w:p>
    <w:p w14:paraId="6914284D" w14:textId="77777777" w:rsidR="00630B79" w:rsidRPr="00630B79" w:rsidRDefault="00630B79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a</w:t>
      </w:r>
      <w:r w:rsidRPr="00630B79">
        <w:rPr>
          <w:rFonts w:cs="Calibri"/>
          <w:bCs/>
        </w:rPr>
        <w:t>test PZH dla oferowanej nawierzchni.</w:t>
      </w:r>
    </w:p>
    <w:p w14:paraId="455B0058" w14:textId="77777777" w:rsidR="00902D6A" w:rsidRDefault="00630B79" w:rsidP="00F57BB8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630B79">
        <w:rPr>
          <w:rFonts w:cs="Calibri"/>
          <w:bCs/>
        </w:rPr>
        <w:t>autoryzacja producenta nawierzchni poliuretanowej, wystawiona dla wykonawcy na realizowan</w:t>
      </w:r>
      <w:r w:rsidRPr="00630B79">
        <w:rPr>
          <w:rFonts w:cs="Calibri" w:hint="eastAsia"/>
          <w:bCs/>
        </w:rPr>
        <w:t>ą</w:t>
      </w:r>
      <w:r w:rsidRPr="00630B79">
        <w:rPr>
          <w:rFonts w:cs="Calibri"/>
          <w:bCs/>
        </w:rPr>
        <w:t xml:space="preserve"> inwestycj</w:t>
      </w:r>
      <w:r w:rsidRPr="00630B79">
        <w:rPr>
          <w:rFonts w:cs="Calibri" w:hint="eastAsia"/>
          <w:bCs/>
        </w:rPr>
        <w:t>ę</w:t>
      </w:r>
      <w:r w:rsidRPr="00630B79">
        <w:rPr>
          <w:rFonts w:cs="Calibri"/>
          <w:bCs/>
        </w:rPr>
        <w:t xml:space="preserve"> wraz z potwierdzeniem gwarancji udzielonej przez producenta na tą nawierzchni</w:t>
      </w:r>
      <w:r w:rsidRPr="00630B79">
        <w:rPr>
          <w:rFonts w:cs="Calibri" w:hint="eastAsia"/>
          <w:bCs/>
        </w:rPr>
        <w:t>ę</w:t>
      </w:r>
      <w:r w:rsidRPr="00630B79">
        <w:rPr>
          <w:rFonts w:cs="Calibri"/>
          <w:bCs/>
        </w:rPr>
        <w:t>.</w:t>
      </w:r>
    </w:p>
    <w:p w14:paraId="4F28F8CC" w14:textId="77777777" w:rsidR="00004BAC" w:rsidRPr="00004BAC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PN-B-04481</w:t>
      </w:r>
      <w:r w:rsidRPr="00004BAC">
        <w:rPr>
          <w:rFonts w:cs="Calibri"/>
          <w:bCs/>
        </w:rPr>
        <w:tab/>
        <w:t>Grunty budowlane. Badanie próbek gruntu</w:t>
      </w:r>
    </w:p>
    <w:p w14:paraId="71DD993A" w14:textId="77777777" w:rsidR="00004BAC" w:rsidRPr="00004BAC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PN-B-11111</w:t>
      </w:r>
      <w:r w:rsidRPr="00004BAC">
        <w:rPr>
          <w:rFonts w:cs="Calibri"/>
          <w:bCs/>
        </w:rPr>
        <w:tab/>
        <w:t>Kruszywa mineralne. Kruszywa naturalne do nawierzchni drogowych. Żwir i mieszanka</w:t>
      </w:r>
    </w:p>
    <w:p w14:paraId="5D4C2E38" w14:textId="77777777" w:rsidR="00004BAC" w:rsidRPr="00004BAC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PN-B-11113</w:t>
      </w:r>
      <w:r w:rsidRPr="00004BAC">
        <w:rPr>
          <w:rFonts w:cs="Calibri"/>
          <w:bCs/>
        </w:rPr>
        <w:tab/>
        <w:t>Kruszywa mineralne. Kruszywa naturalne do nawierzchni drogowych. Piasek</w:t>
      </w:r>
    </w:p>
    <w:p w14:paraId="4E9606C4" w14:textId="77777777" w:rsidR="00004BAC" w:rsidRPr="00004BAC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BN-64/8931-01</w:t>
      </w:r>
      <w:r w:rsidRPr="00004BAC">
        <w:rPr>
          <w:rFonts w:cs="Calibri"/>
          <w:bCs/>
        </w:rPr>
        <w:tab/>
        <w:t>Drogi samochodowe. Oznaczanie wskaźnika piaskowego</w:t>
      </w:r>
    </w:p>
    <w:p w14:paraId="6C8E60AC" w14:textId="77777777" w:rsidR="00004BAC" w:rsidRPr="00004BAC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BN-68/8931-04</w:t>
      </w:r>
      <w:r w:rsidRPr="00004BAC">
        <w:rPr>
          <w:rFonts w:cs="Calibri"/>
          <w:bCs/>
        </w:rPr>
        <w:tab/>
        <w:t xml:space="preserve">Drogi samochodowe. Pomiar równości nawierzchni plano </w:t>
      </w:r>
      <w:proofErr w:type="gramStart"/>
      <w:r w:rsidRPr="00004BAC">
        <w:rPr>
          <w:rFonts w:cs="Calibri"/>
          <w:bCs/>
        </w:rPr>
        <w:t>grafem  i</w:t>
      </w:r>
      <w:proofErr w:type="gramEnd"/>
      <w:r w:rsidRPr="00004BAC">
        <w:rPr>
          <w:rFonts w:cs="Calibri"/>
          <w:bCs/>
        </w:rPr>
        <w:t xml:space="preserve">  łatą</w:t>
      </w:r>
    </w:p>
    <w:p w14:paraId="2D1F8DAA" w14:textId="77777777" w:rsidR="00004BAC" w:rsidRPr="00630B79" w:rsidRDefault="00004BAC" w:rsidP="00004BAC">
      <w:pPr>
        <w:numPr>
          <w:ilvl w:val="0"/>
          <w:numId w:val="2"/>
        </w:numPr>
        <w:spacing w:after="0"/>
        <w:jc w:val="both"/>
        <w:rPr>
          <w:rFonts w:cs="Calibri"/>
          <w:bCs/>
        </w:rPr>
      </w:pPr>
      <w:r w:rsidRPr="00004BAC">
        <w:rPr>
          <w:rFonts w:cs="Calibri"/>
          <w:bCs/>
        </w:rPr>
        <w:t>BN-77/8931-12</w:t>
      </w:r>
      <w:r w:rsidRPr="00004BAC">
        <w:rPr>
          <w:rFonts w:cs="Calibri"/>
          <w:bCs/>
        </w:rPr>
        <w:tab/>
        <w:t>Oznaczanie wskaźnika zagęszczenia gruntu.</w:t>
      </w:r>
    </w:p>
    <w:p w14:paraId="2E8A6AE1" w14:textId="77777777" w:rsidR="00307154" w:rsidRPr="00307154" w:rsidRDefault="00307154" w:rsidP="00307154">
      <w:pPr>
        <w:spacing w:after="0"/>
        <w:jc w:val="both"/>
        <w:rPr>
          <w:rFonts w:cs="Calibri"/>
          <w:bCs/>
        </w:rPr>
      </w:pPr>
      <w:proofErr w:type="gramStart"/>
      <w:r w:rsidRPr="00307154">
        <w:rPr>
          <w:rFonts w:cs="Calibri"/>
          <w:bCs/>
        </w:rPr>
        <w:t>Nie wymienienie</w:t>
      </w:r>
      <w:proofErr w:type="gramEnd"/>
      <w:r w:rsidRPr="00307154">
        <w:rPr>
          <w:rFonts w:cs="Calibri"/>
          <w:bCs/>
        </w:rPr>
        <w:t xml:space="preserve"> tytułu jakiejkolwiek dziedziny, grupy, podgrupy czy normy nie zwalnia Wykonawcy od obowiązku stosowania wymogów określonych prawem polskim.</w:t>
      </w:r>
    </w:p>
    <w:p w14:paraId="0F331574" w14:textId="77777777" w:rsidR="0054386D" w:rsidRDefault="00307154" w:rsidP="009D2BF2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sectPr w:rsidR="0054386D" w:rsidSect="00FC71E4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68B63" w14:textId="77777777" w:rsidR="002C2C37" w:rsidRDefault="002C2C37" w:rsidP="00655659">
      <w:pPr>
        <w:spacing w:after="0" w:line="240" w:lineRule="auto"/>
      </w:pPr>
      <w:r>
        <w:separator/>
      </w:r>
    </w:p>
  </w:endnote>
  <w:endnote w:type="continuationSeparator" w:id="0">
    <w:p w14:paraId="42487F48" w14:textId="77777777" w:rsidR="002C2C37" w:rsidRDefault="002C2C37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BBD3" w14:textId="77777777"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A25AC1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A25AC1" w:rsidRPr="00B42AED">
      <w:rPr>
        <w:sz w:val="18"/>
        <w:szCs w:val="18"/>
      </w:rPr>
      <w:fldChar w:fldCharType="separate"/>
    </w:r>
    <w:r w:rsidR="00F133C5">
      <w:rPr>
        <w:noProof/>
        <w:sz w:val="18"/>
        <w:szCs w:val="18"/>
      </w:rPr>
      <w:t>6</w:t>
    </w:r>
    <w:r w:rsidR="00A25AC1" w:rsidRPr="00B42AED">
      <w:rPr>
        <w:sz w:val="18"/>
        <w:szCs w:val="18"/>
      </w:rPr>
      <w:fldChar w:fldCharType="end"/>
    </w:r>
  </w:p>
  <w:p w14:paraId="540F7FB1" w14:textId="4C07E2B1" w:rsidR="007C57D7" w:rsidRPr="00B42AED" w:rsidRDefault="00D16030" w:rsidP="00F133C5">
    <w:pPr>
      <w:pStyle w:val="Stopka"/>
      <w:tabs>
        <w:tab w:val="clear" w:pos="4536"/>
        <w:tab w:val="center" w:pos="5670"/>
      </w:tabs>
      <w:rPr>
        <w:sz w:val="18"/>
        <w:szCs w:val="18"/>
      </w:rPr>
    </w:pPr>
    <w:r w:rsidRPr="00D16030">
      <w:rPr>
        <w:bCs/>
        <w:sz w:val="18"/>
        <w:szCs w:val="18"/>
      </w:rPr>
      <w:t>Nawierzchnie z kostki betonowej, płyt betonowych i desek tarasowych</w:t>
    </w:r>
    <w:r w:rsidR="00F133C5">
      <w:rPr>
        <w:bCs/>
        <w:sz w:val="18"/>
        <w:szCs w:val="18"/>
      </w:rPr>
      <w:t xml:space="preserve"> –</w:t>
    </w:r>
    <w:r w:rsidR="008D78CE">
      <w:rPr>
        <w:bCs/>
        <w:sz w:val="18"/>
        <w:szCs w:val="18"/>
      </w:rPr>
      <w:t xml:space="preserve"> ST 01.</w:t>
    </w:r>
    <w:r>
      <w:rPr>
        <w:bCs/>
        <w:sz w:val="18"/>
        <w:szCs w:val="18"/>
      </w:rPr>
      <w:t>04</w:t>
    </w:r>
    <w:r w:rsidR="007C57D7"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28786" w14:textId="77777777" w:rsidR="002C2C37" w:rsidRDefault="002C2C37" w:rsidP="00655659">
      <w:pPr>
        <w:spacing w:after="0" w:line="240" w:lineRule="auto"/>
      </w:pPr>
      <w:r>
        <w:separator/>
      </w:r>
    </w:p>
  </w:footnote>
  <w:footnote w:type="continuationSeparator" w:id="0">
    <w:p w14:paraId="79352FD0" w14:textId="77777777" w:rsidR="002C2C37" w:rsidRDefault="002C2C37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028"/>
    <w:multiLevelType w:val="hybridMultilevel"/>
    <w:tmpl w:val="4AFAD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74767"/>
    <w:multiLevelType w:val="hybridMultilevel"/>
    <w:tmpl w:val="EA601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74061"/>
    <w:multiLevelType w:val="hybridMultilevel"/>
    <w:tmpl w:val="1C5EC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E29DB"/>
    <w:multiLevelType w:val="singleLevel"/>
    <w:tmpl w:val="F6886AA6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8616BCE"/>
    <w:multiLevelType w:val="hybridMultilevel"/>
    <w:tmpl w:val="2D1ABC4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508AE"/>
    <w:multiLevelType w:val="hybridMultilevel"/>
    <w:tmpl w:val="7226856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E4C88"/>
    <w:multiLevelType w:val="hybridMultilevel"/>
    <w:tmpl w:val="60D68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4767B7"/>
    <w:multiLevelType w:val="hybridMultilevel"/>
    <w:tmpl w:val="5E0EA1F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C92E4D"/>
    <w:multiLevelType w:val="hybridMultilevel"/>
    <w:tmpl w:val="04EAF6A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02784"/>
    <w:multiLevelType w:val="hybridMultilevel"/>
    <w:tmpl w:val="3E50FCA0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A3556"/>
    <w:multiLevelType w:val="hybridMultilevel"/>
    <w:tmpl w:val="CCD22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0"/>
  </w:num>
  <w:num w:numId="5">
    <w:abstractNumId w:val="5"/>
  </w:num>
  <w:num w:numId="6">
    <w:abstractNumId w:val="4"/>
  </w:num>
  <w:num w:numId="7">
    <w:abstractNumId w:val="9"/>
  </w:num>
  <w:num w:numId="8">
    <w:abstractNumId w:val="11"/>
  </w:num>
  <w:num w:numId="9">
    <w:abstractNumId w:val="12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310"/>
    <w:rsid w:val="00000B57"/>
    <w:rsid w:val="00001B21"/>
    <w:rsid w:val="000047B5"/>
    <w:rsid w:val="00004BAC"/>
    <w:rsid w:val="00006CBD"/>
    <w:rsid w:val="00007D40"/>
    <w:rsid w:val="00015BB4"/>
    <w:rsid w:val="00024DCD"/>
    <w:rsid w:val="00033BC0"/>
    <w:rsid w:val="0005020B"/>
    <w:rsid w:val="00063B9E"/>
    <w:rsid w:val="00064CF3"/>
    <w:rsid w:val="00070417"/>
    <w:rsid w:val="00070D32"/>
    <w:rsid w:val="00076E18"/>
    <w:rsid w:val="00085F68"/>
    <w:rsid w:val="00094858"/>
    <w:rsid w:val="000A0FE2"/>
    <w:rsid w:val="000A1C81"/>
    <w:rsid w:val="000A3FBB"/>
    <w:rsid w:val="000A4F79"/>
    <w:rsid w:val="000A5188"/>
    <w:rsid w:val="000B32B3"/>
    <w:rsid w:val="000B76CC"/>
    <w:rsid w:val="000C1DBF"/>
    <w:rsid w:val="000C352D"/>
    <w:rsid w:val="000C3758"/>
    <w:rsid w:val="000C5CF1"/>
    <w:rsid w:val="000C5D0A"/>
    <w:rsid w:val="000C7AA1"/>
    <w:rsid w:val="000D0BFE"/>
    <w:rsid w:val="000E4CD4"/>
    <w:rsid w:val="000E6DD6"/>
    <w:rsid w:val="000F6455"/>
    <w:rsid w:val="0011053D"/>
    <w:rsid w:val="001134C3"/>
    <w:rsid w:val="0011454E"/>
    <w:rsid w:val="001158A0"/>
    <w:rsid w:val="001253DD"/>
    <w:rsid w:val="00142D53"/>
    <w:rsid w:val="001441FB"/>
    <w:rsid w:val="00151F79"/>
    <w:rsid w:val="00153C8F"/>
    <w:rsid w:val="00155182"/>
    <w:rsid w:val="001600BE"/>
    <w:rsid w:val="00163E6F"/>
    <w:rsid w:val="0016499A"/>
    <w:rsid w:val="00166E03"/>
    <w:rsid w:val="00167C72"/>
    <w:rsid w:val="00177C7F"/>
    <w:rsid w:val="0018255C"/>
    <w:rsid w:val="0018283C"/>
    <w:rsid w:val="00186C34"/>
    <w:rsid w:val="001A297A"/>
    <w:rsid w:val="001A6F1D"/>
    <w:rsid w:val="001B1FFC"/>
    <w:rsid w:val="001C6037"/>
    <w:rsid w:val="001C7CA9"/>
    <w:rsid w:val="001D248A"/>
    <w:rsid w:val="001D704A"/>
    <w:rsid w:val="001E3776"/>
    <w:rsid w:val="001E47FB"/>
    <w:rsid w:val="001E591E"/>
    <w:rsid w:val="001F19D5"/>
    <w:rsid w:val="001F7CF6"/>
    <w:rsid w:val="001F7DD5"/>
    <w:rsid w:val="002001B8"/>
    <w:rsid w:val="00211062"/>
    <w:rsid w:val="0021552A"/>
    <w:rsid w:val="002171BD"/>
    <w:rsid w:val="002204B0"/>
    <w:rsid w:val="002309DB"/>
    <w:rsid w:val="002461E4"/>
    <w:rsid w:val="002466D0"/>
    <w:rsid w:val="00246EC3"/>
    <w:rsid w:val="00253B02"/>
    <w:rsid w:val="0026046B"/>
    <w:rsid w:val="00267910"/>
    <w:rsid w:val="00267B27"/>
    <w:rsid w:val="00274CF4"/>
    <w:rsid w:val="002819CB"/>
    <w:rsid w:val="00281D6E"/>
    <w:rsid w:val="00285AD6"/>
    <w:rsid w:val="0029056C"/>
    <w:rsid w:val="002A0AD7"/>
    <w:rsid w:val="002A184F"/>
    <w:rsid w:val="002A4164"/>
    <w:rsid w:val="002A544F"/>
    <w:rsid w:val="002B0681"/>
    <w:rsid w:val="002B393E"/>
    <w:rsid w:val="002C1D4C"/>
    <w:rsid w:val="002C2C37"/>
    <w:rsid w:val="002C5584"/>
    <w:rsid w:val="002C590A"/>
    <w:rsid w:val="002C7102"/>
    <w:rsid w:val="002D47C9"/>
    <w:rsid w:val="002E0EFE"/>
    <w:rsid w:val="002E392C"/>
    <w:rsid w:val="002F2E35"/>
    <w:rsid w:val="002F49BD"/>
    <w:rsid w:val="00301997"/>
    <w:rsid w:val="003070F5"/>
    <w:rsid w:val="00307154"/>
    <w:rsid w:val="00317EC9"/>
    <w:rsid w:val="00320B26"/>
    <w:rsid w:val="003237D3"/>
    <w:rsid w:val="003306D8"/>
    <w:rsid w:val="00330ABC"/>
    <w:rsid w:val="0033371B"/>
    <w:rsid w:val="00342C49"/>
    <w:rsid w:val="00350286"/>
    <w:rsid w:val="00370EA7"/>
    <w:rsid w:val="00386599"/>
    <w:rsid w:val="003934A4"/>
    <w:rsid w:val="003972AF"/>
    <w:rsid w:val="003A0966"/>
    <w:rsid w:val="003B1963"/>
    <w:rsid w:val="003B4F01"/>
    <w:rsid w:val="003C097C"/>
    <w:rsid w:val="003C7F45"/>
    <w:rsid w:val="003D2369"/>
    <w:rsid w:val="003E2CE8"/>
    <w:rsid w:val="003E718D"/>
    <w:rsid w:val="003F288C"/>
    <w:rsid w:val="003F70FC"/>
    <w:rsid w:val="00404392"/>
    <w:rsid w:val="0040464E"/>
    <w:rsid w:val="00405DC4"/>
    <w:rsid w:val="00411154"/>
    <w:rsid w:val="0041493E"/>
    <w:rsid w:val="00442373"/>
    <w:rsid w:val="0045733E"/>
    <w:rsid w:val="00472C91"/>
    <w:rsid w:val="0047322C"/>
    <w:rsid w:val="00473BD8"/>
    <w:rsid w:val="00481EC2"/>
    <w:rsid w:val="00487D2B"/>
    <w:rsid w:val="0049630E"/>
    <w:rsid w:val="0049797D"/>
    <w:rsid w:val="004A5B05"/>
    <w:rsid w:val="004B22EF"/>
    <w:rsid w:val="004B3B9E"/>
    <w:rsid w:val="004B48D7"/>
    <w:rsid w:val="004C4E7E"/>
    <w:rsid w:val="004D0ABC"/>
    <w:rsid w:val="004E4AF6"/>
    <w:rsid w:val="004E6231"/>
    <w:rsid w:val="005021CA"/>
    <w:rsid w:val="00506EA9"/>
    <w:rsid w:val="00526E4A"/>
    <w:rsid w:val="005309F8"/>
    <w:rsid w:val="00535676"/>
    <w:rsid w:val="0054386D"/>
    <w:rsid w:val="00546D49"/>
    <w:rsid w:val="00547B49"/>
    <w:rsid w:val="00547DC4"/>
    <w:rsid w:val="005516F8"/>
    <w:rsid w:val="005530D2"/>
    <w:rsid w:val="00553614"/>
    <w:rsid w:val="00554265"/>
    <w:rsid w:val="00554BB6"/>
    <w:rsid w:val="00555B85"/>
    <w:rsid w:val="00556CAB"/>
    <w:rsid w:val="005736CA"/>
    <w:rsid w:val="00590204"/>
    <w:rsid w:val="005928AF"/>
    <w:rsid w:val="005B457C"/>
    <w:rsid w:val="005B6DF4"/>
    <w:rsid w:val="005C292C"/>
    <w:rsid w:val="005D7E9B"/>
    <w:rsid w:val="005E03FC"/>
    <w:rsid w:val="005E3A0F"/>
    <w:rsid w:val="005E66F6"/>
    <w:rsid w:val="005E7A61"/>
    <w:rsid w:val="005E7EE0"/>
    <w:rsid w:val="005F0497"/>
    <w:rsid w:val="005F7645"/>
    <w:rsid w:val="006043A8"/>
    <w:rsid w:val="00607ACA"/>
    <w:rsid w:val="00607BD9"/>
    <w:rsid w:val="00615A75"/>
    <w:rsid w:val="006171E4"/>
    <w:rsid w:val="006177EE"/>
    <w:rsid w:val="00624478"/>
    <w:rsid w:val="006246A1"/>
    <w:rsid w:val="0063023F"/>
    <w:rsid w:val="00630B79"/>
    <w:rsid w:val="006473C3"/>
    <w:rsid w:val="00651557"/>
    <w:rsid w:val="006522D7"/>
    <w:rsid w:val="0065333C"/>
    <w:rsid w:val="00655659"/>
    <w:rsid w:val="00656376"/>
    <w:rsid w:val="00656C85"/>
    <w:rsid w:val="00683F5A"/>
    <w:rsid w:val="00687955"/>
    <w:rsid w:val="006924D2"/>
    <w:rsid w:val="006A1C32"/>
    <w:rsid w:val="006A3F97"/>
    <w:rsid w:val="006E16FE"/>
    <w:rsid w:val="006E181C"/>
    <w:rsid w:val="006E5169"/>
    <w:rsid w:val="006F3820"/>
    <w:rsid w:val="006F4696"/>
    <w:rsid w:val="006F6DA5"/>
    <w:rsid w:val="00703FA4"/>
    <w:rsid w:val="00710B87"/>
    <w:rsid w:val="00714A78"/>
    <w:rsid w:val="007322A6"/>
    <w:rsid w:val="00743E7A"/>
    <w:rsid w:val="00744C1B"/>
    <w:rsid w:val="00744F3B"/>
    <w:rsid w:val="00753888"/>
    <w:rsid w:val="007564C2"/>
    <w:rsid w:val="0076164E"/>
    <w:rsid w:val="007807E8"/>
    <w:rsid w:val="00781B78"/>
    <w:rsid w:val="00782022"/>
    <w:rsid w:val="00791072"/>
    <w:rsid w:val="007A4390"/>
    <w:rsid w:val="007A4927"/>
    <w:rsid w:val="007A50B9"/>
    <w:rsid w:val="007B3501"/>
    <w:rsid w:val="007B7460"/>
    <w:rsid w:val="007C57D7"/>
    <w:rsid w:val="007D125A"/>
    <w:rsid w:val="007D6834"/>
    <w:rsid w:val="007D7D96"/>
    <w:rsid w:val="007E054A"/>
    <w:rsid w:val="007F4690"/>
    <w:rsid w:val="00802048"/>
    <w:rsid w:val="00805D47"/>
    <w:rsid w:val="008079C6"/>
    <w:rsid w:val="008105FE"/>
    <w:rsid w:val="008113ED"/>
    <w:rsid w:val="0081673C"/>
    <w:rsid w:val="00826B3B"/>
    <w:rsid w:val="008323A7"/>
    <w:rsid w:val="008341D6"/>
    <w:rsid w:val="00843D12"/>
    <w:rsid w:val="00845133"/>
    <w:rsid w:val="008505A9"/>
    <w:rsid w:val="00853921"/>
    <w:rsid w:val="00864A20"/>
    <w:rsid w:val="00865F7C"/>
    <w:rsid w:val="00872E75"/>
    <w:rsid w:val="00895333"/>
    <w:rsid w:val="008A7C37"/>
    <w:rsid w:val="008C3BB6"/>
    <w:rsid w:val="008C6ED7"/>
    <w:rsid w:val="008D78CE"/>
    <w:rsid w:val="008E3C73"/>
    <w:rsid w:val="008E4390"/>
    <w:rsid w:val="008F46A2"/>
    <w:rsid w:val="00902D6A"/>
    <w:rsid w:val="009077FF"/>
    <w:rsid w:val="00912D8A"/>
    <w:rsid w:val="009174D5"/>
    <w:rsid w:val="00927958"/>
    <w:rsid w:val="00931E18"/>
    <w:rsid w:val="00935B55"/>
    <w:rsid w:val="009430E5"/>
    <w:rsid w:val="00944125"/>
    <w:rsid w:val="0094457F"/>
    <w:rsid w:val="00954301"/>
    <w:rsid w:val="00965418"/>
    <w:rsid w:val="00971D77"/>
    <w:rsid w:val="00973142"/>
    <w:rsid w:val="0097394A"/>
    <w:rsid w:val="00975306"/>
    <w:rsid w:val="00976CF7"/>
    <w:rsid w:val="0098262F"/>
    <w:rsid w:val="00983CC7"/>
    <w:rsid w:val="00986526"/>
    <w:rsid w:val="00991698"/>
    <w:rsid w:val="009924F1"/>
    <w:rsid w:val="00993326"/>
    <w:rsid w:val="009B0FCB"/>
    <w:rsid w:val="009B28C6"/>
    <w:rsid w:val="009C1222"/>
    <w:rsid w:val="009C2999"/>
    <w:rsid w:val="009C44C9"/>
    <w:rsid w:val="009D2BF2"/>
    <w:rsid w:val="009D4AFF"/>
    <w:rsid w:val="009D6A87"/>
    <w:rsid w:val="009E4C51"/>
    <w:rsid w:val="009E7CFC"/>
    <w:rsid w:val="009F1B2D"/>
    <w:rsid w:val="00A047DF"/>
    <w:rsid w:val="00A05F47"/>
    <w:rsid w:val="00A160EB"/>
    <w:rsid w:val="00A1644D"/>
    <w:rsid w:val="00A24283"/>
    <w:rsid w:val="00A25AC1"/>
    <w:rsid w:val="00A25CE4"/>
    <w:rsid w:val="00A31993"/>
    <w:rsid w:val="00A31ACF"/>
    <w:rsid w:val="00A34618"/>
    <w:rsid w:val="00A414CB"/>
    <w:rsid w:val="00A41747"/>
    <w:rsid w:val="00A47A48"/>
    <w:rsid w:val="00A55A4B"/>
    <w:rsid w:val="00A60DAF"/>
    <w:rsid w:val="00A70914"/>
    <w:rsid w:val="00A80C69"/>
    <w:rsid w:val="00A8315C"/>
    <w:rsid w:val="00A94220"/>
    <w:rsid w:val="00A95F67"/>
    <w:rsid w:val="00AA5F79"/>
    <w:rsid w:val="00AB0059"/>
    <w:rsid w:val="00AB09A1"/>
    <w:rsid w:val="00AB1097"/>
    <w:rsid w:val="00AD5FAA"/>
    <w:rsid w:val="00AE6309"/>
    <w:rsid w:val="00AF243F"/>
    <w:rsid w:val="00B0457B"/>
    <w:rsid w:val="00B05B81"/>
    <w:rsid w:val="00B13E85"/>
    <w:rsid w:val="00B15092"/>
    <w:rsid w:val="00B16B5E"/>
    <w:rsid w:val="00B201B2"/>
    <w:rsid w:val="00B20ADB"/>
    <w:rsid w:val="00B20E38"/>
    <w:rsid w:val="00B24A08"/>
    <w:rsid w:val="00B26878"/>
    <w:rsid w:val="00B273A5"/>
    <w:rsid w:val="00B31432"/>
    <w:rsid w:val="00B324EE"/>
    <w:rsid w:val="00B37F20"/>
    <w:rsid w:val="00B41618"/>
    <w:rsid w:val="00B512F9"/>
    <w:rsid w:val="00B650AE"/>
    <w:rsid w:val="00B653BF"/>
    <w:rsid w:val="00B80BFE"/>
    <w:rsid w:val="00B82E65"/>
    <w:rsid w:val="00B84733"/>
    <w:rsid w:val="00B85E2E"/>
    <w:rsid w:val="00B9061D"/>
    <w:rsid w:val="00B9628D"/>
    <w:rsid w:val="00BA06D9"/>
    <w:rsid w:val="00BA30AA"/>
    <w:rsid w:val="00BA5DA3"/>
    <w:rsid w:val="00BB41FD"/>
    <w:rsid w:val="00BB5FD3"/>
    <w:rsid w:val="00BB62BC"/>
    <w:rsid w:val="00BD49CF"/>
    <w:rsid w:val="00BE5C3A"/>
    <w:rsid w:val="00C05A16"/>
    <w:rsid w:val="00C15CBB"/>
    <w:rsid w:val="00C166B6"/>
    <w:rsid w:val="00C22D26"/>
    <w:rsid w:val="00C26ADD"/>
    <w:rsid w:val="00C403FD"/>
    <w:rsid w:val="00C4081D"/>
    <w:rsid w:val="00C46068"/>
    <w:rsid w:val="00C474B6"/>
    <w:rsid w:val="00C7015A"/>
    <w:rsid w:val="00C70DE3"/>
    <w:rsid w:val="00C731F6"/>
    <w:rsid w:val="00C7662F"/>
    <w:rsid w:val="00C8457F"/>
    <w:rsid w:val="00C85555"/>
    <w:rsid w:val="00CB1438"/>
    <w:rsid w:val="00CB59F7"/>
    <w:rsid w:val="00CC2434"/>
    <w:rsid w:val="00CC7BCD"/>
    <w:rsid w:val="00CD4624"/>
    <w:rsid w:val="00CE0B69"/>
    <w:rsid w:val="00CE1BB0"/>
    <w:rsid w:val="00CE2B06"/>
    <w:rsid w:val="00CE2EA4"/>
    <w:rsid w:val="00CE4010"/>
    <w:rsid w:val="00CE4201"/>
    <w:rsid w:val="00CE42BF"/>
    <w:rsid w:val="00CF1F23"/>
    <w:rsid w:val="00CF56C9"/>
    <w:rsid w:val="00CF63B0"/>
    <w:rsid w:val="00D03DAA"/>
    <w:rsid w:val="00D10872"/>
    <w:rsid w:val="00D16030"/>
    <w:rsid w:val="00D17332"/>
    <w:rsid w:val="00D225BC"/>
    <w:rsid w:val="00D255C3"/>
    <w:rsid w:val="00D279D6"/>
    <w:rsid w:val="00D345F4"/>
    <w:rsid w:val="00D36824"/>
    <w:rsid w:val="00D51677"/>
    <w:rsid w:val="00D52676"/>
    <w:rsid w:val="00D53F66"/>
    <w:rsid w:val="00D55C10"/>
    <w:rsid w:val="00DA05DF"/>
    <w:rsid w:val="00DA69A8"/>
    <w:rsid w:val="00DA78F0"/>
    <w:rsid w:val="00DB10A6"/>
    <w:rsid w:val="00DB2342"/>
    <w:rsid w:val="00DB72E9"/>
    <w:rsid w:val="00DB73F5"/>
    <w:rsid w:val="00DC6F40"/>
    <w:rsid w:val="00DD163C"/>
    <w:rsid w:val="00DD2237"/>
    <w:rsid w:val="00DD7D35"/>
    <w:rsid w:val="00DF04BA"/>
    <w:rsid w:val="00DF60A3"/>
    <w:rsid w:val="00E077F9"/>
    <w:rsid w:val="00E10310"/>
    <w:rsid w:val="00E10D08"/>
    <w:rsid w:val="00E11BC0"/>
    <w:rsid w:val="00E1486B"/>
    <w:rsid w:val="00E168B2"/>
    <w:rsid w:val="00E17B15"/>
    <w:rsid w:val="00E21869"/>
    <w:rsid w:val="00E22B0C"/>
    <w:rsid w:val="00E26FE5"/>
    <w:rsid w:val="00E30025"/>
    <w:rsid w:val="00E316E2"/>
    <w:rsid w:val="00E34CE4"/>
    <w:rsid w:val="00E46A79"/>
    <w:rsid w:val="00E60F37"/>
    <w:rsid w:val="00E64295"/>
    <w:rsid w:val="00E72A18"/>
    <w:rsid w:val="00E76041"/>
    <w:rsid w:val="00E81192"/>
    <w:rsid w:val="00E831CF"/>
    <w:rsid w:val="00E90EB1"/>
    <w:rsid w:val="00E931F7"/>
    <w:rsid w:val="00E94734"/>
    <w:rsid w:val="00E95A01"/>
    <w:rsid w:val="00EA1516"/>
    <w:rsid w:val="00EA7250"/>
    <w:rsid w:val="00EC2B45"/>
    <w:rsid w:val="00EC2F75"/>
    <w:rsid w:val="00ED5C43"/>
    <w:rsid w:val="00EF3BAF"/>
    <w:rsid w:val="00EF7CD5"/>
    <w:rsid w:val="00F11266"/>
    <w:rsid w:val="00F128B5"/>
    <w:rsid w:val="00F133C5"/>
    <w:rsid w:val="00F23575"/>
    <w:rsid w:val="00F30B25"/>
    <w:rsid w:val="00F329F4"/>
    <w:rsid w:val="00F32D64"/>
    <w:rsid w:val="00F3601C"/>
    <w:rsid w:val="00F40D9C"/>
    <w:rsid w:val="00F42187"/>
    <w:rsid w:val="00F42C5E"/>
    <w:rsid w:val="00F454D9"/>
    <w:rsid w:val="00F57BB8"/>
    <w:rsid w:val="00F65C08"/>
    <w:rsid w:val="00F67181"/>
    <w:rsid w:val="00F67781"/>
    <w:rsid w:val="00F7228C"/>
    <w:rsid w:val="00F80D2C"/>
    <w:rsid w:val="00F866F3"/>
    <w:rsid w:val="00F86FA9"/>
    <w:rsid w:val="00F9102F"/>
    <w:rsid w:val="00FA0C80"/>
    <w:rsid w:val="00FB4009"/>
    <w:rsid w:val="00FC3663"/>
    <w:rsid w:val="00FC71E4"/>
    <w:rsid w:val="00FD0BD9"/>
    <w:rsid w:val="00FE098C"/>
    <w:rsid w:val="00FE1D4D"/>
    <w:rsid w:val="00FE4D17"/>
    <w:rsid w:val="00FE738A"/>
    <w:rsid w:val="00FE7758"/>
    <w:rsid w:val="00FF13E3"/>
    <w:rsid w:val="00FF464F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B3AC0"/>
  <w15:docId w15:val="{DF30A52C-5D0D-4927-8A13-FAEEC0C14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  <w:style w:type="paragraph" w:customStyle="1" w:styleId="Standardowytekst">
    <w:name w:val="Standardowy.tekst"/>
    <w:rsid w:val="007807E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</w:style>
  <w:style w:type="table" w:customStyle="1" w:styleId="TableGrid">
    <w:name w:val="TableGrid"/>
    <w:rsid w:val="00556CA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Zwykatabela1">
    <w:name w:val="Plain Table 1"/>
    <w:basedOn w:val="Standardowy"/>
    <w:uiPriority w:val="41"/>
    <w:rsid w:val="00A4174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outic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6A8E4-39A8-4962-9918-7E7B3298B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1886</Words>
  <Characters>11319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Grzegorz Szlaski</cp:lastModifiedBy>
  <cp:revision>12</cp:revision>
  <cp:lastPrinted>2012-02-27T14:04:00Z</cp:lastPrinted>
  <dcterms:created xsi:type="dcterms:W3CDTF">2015-12-21T19:32:00Z</dcterms:created>
  <dcterms:modified xsi:type="dcterms:W3CDTF">2021-09-13T10:06:00Z</dcterms:modified>
</cp:coreProperties>
</file>