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06E1C33A"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D15634">
        <w:rPr>
          <w:rFonts w:asciiTheme="majorHAnsi" w:eastAsiaTheme="majorEastAsia" w:hAnsiTheme="majorHAnsi" w:cstheme="majorBidi"/>
          <w:caps/>
          <w:color w:val="632423" w:themeColor="accent2" w:themeShade="80"/>
          <w:spacing w:val="20"/>
          <w:lang w:eastAsia="en-US"/>
        </w:rPr>
        <w:t>rzP.271.1.20</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7B8C805" w14:textId="77777777" w:rsidR="00D15634" w:rsidRPr="00773D17" w:rsidRDefault="00D15634" w:rsidP="00C05ABE">
      <w:pPr>
        <w:jc w:val="center"/>
        <w:rPr>
          <w:rFonts w:asciiTheme="majorHAnsi" w:eastAsiaTheme="majorEastAsia" w:hAnsiTheme="majorHAnsi" w:cs="Arial"/>
          <w:b/>
          <w:lang w:eastAsia="en-US"/>
        </w:rPr>
      </w:pPr>
    </w:p>
    <w:p w14:paraId="73638363" w14:textId="31626B3D" w:rsidR="00AB0104" w:rsidRPr="00C05ABE" w:rsidRDefault="00D15634"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 xml:space="preserve">Zagospodarowanie terenu przy klubie seniora w gniewkowie- ścieżka edukacyjna </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37013A7E" w14:textId="77777777" w:rsidR="00C05ABE" w:rsidRDefault="00C05ABE" w:rsidP="00412BC8">
      <w:pPr>
        <w:spacing w:line="252" w:lineRule="auto"/>
        <w:jc w:val="center"/>
        <w:rPr>
          <w:rFonts w:asciiTheme="majorHAnsi" w:eastAsiaTheme="majorEastAsia" w:hAnsiTheme="majorHAnsi" w:cs="Arial"/>
          <w:lang w:eastAsia="en-US"/>
        </w:rPr>
      </w:pPr>
    </w:p>
    <w:p w14:paraId="0CE67FB7" w14:textId="77777777" w:rsidR="00D34FEF" w:rsidRDefault="00D34FEF"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39B04BDD" w:rsidR="00042179" w:rsidRPr="00D30E4A" w:rsidRDefault="00224E67"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01.10</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76DE3EE1" w14:textId="77777777" w:rsidR="00D15634" w:rsidRDefault="00D15634"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36994CFE"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xml:space="preserve">- wzór pełnomocnictwa stanowi załącznik nr </w:t>
      </w:r>
      <w:r w:rsidR="00670ADF">
        <w:rPr>
          <w:rFonts w:asciiTheme="majorHAnsi" w:eastAsiaTheme="majorEastAsia" w:hAnsiTheme="majorHAnsi" w:cstheme="majorBidi"/>
          <w:bCs/>
          <w:lang w:eastAsia="en-US"/>
        </w:rPr>
        <w:t>5</w:t>
      </w:r>
      <w:r w:rsidR="00E233AD">
        <w:rPr>
          <w:rFonts w:asciiTheme="majorHAnsi" w:eastAsiaTheme="majorEastAsia" w:hAnsiTheme="majorHAnsi" w:cstheme="majorBidi"/>
          <w:bCs/>
          <w:lang w:eastAsia="en-US"/>
        </w:rPr>
        <w:t xml:space="preserve">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w:t>
      </w:r>
      <w:r w:rsidRPr="00773D17">
        <w:rPr>
          <w:rFonts w:asciiTheme="majorHAnsi" w:eastAsiaTheme="majorEastAsia" w:hAnsiTheme="majorHAnsi" w:cstheme="majorBidi"/>
          <w:lang w:eastAsia="en-US"/>
        </w:rPr>
        <w:lastRenderedPageBreak/>
        <w:t xml:space="preserve">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3FFCAB52" w:rsidR="00587F52" w:rsidRPr="00773D17" w:rsidRDefault="00587F52" w:rsidP="00A4247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CD51B3">
        <w:rPr>
          <w:rFonts w:asciiTheme="majorHAnsi" w:eastAsiaTheme="majorEastAsia" w:hAnsiTheme="majorHAnsi" w:cstheme="majorBidi"/>
          <w:b/>
          <w:lang w:eastAsia="en-US"/>
        </w:rPr>
        <w:t xml:space="preserve">Zagospodarowanie terenu przy Klubie Seniora w Gniewkowie- ścieżka edukacyjna. </w:t>
      </w:r>
    </w:p>
    <w:p w14:paraId="2D06D68E" w14:textId="1BC906ED" w:rsidR="00587F52" w:rsidRPr="00246491" w:rsidRDefault="00587F52" w:rsidP="00CF0B54">
      <w:pPr>
        <w:numPr>
          <w:ilvl w:val="0"/>
          <w:numId w:val="22"/>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4818B6FD"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670ADF">
        <w:rPr>
          <w:rFonts w:asciiTheme="majorHAnsi" w:eastAsiaTheme="majorEastAsia" w:hAnsiTheme="majorHAnsi" w:cstheme="majorBidi"/>
          <w:b/>
          <w:lang w:eastAsia="en-US"/>
        </w:rPr>
        <w:t>4</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w:t>
      </w:r>
      <w:r w:rsidRPr="00773D17">
        <w:rPr>
          <w:rFonts w:asciiTheme="majorHAnsi" w:eastAsiaTheme="majorEastAsia" w:hAnsiTheme="majorHAnsi" w:cstheme="majorBidi"/>
          <w:lang w:eastAsia="en-US"/>
        </w:rPr>
        <w:lastRenderedPageBreak/>
        <w:t xml:space="preserve">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lastRenderedPageBreak/>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0BB8050D" w:rsidR="00AA4F20" w:rsidRPr="0017514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175145">
        <w:rPr>
          <w:rFonts w:asciiTheme="majorHAnsi" w:eastAsiaTheme="majorEastAsia" w:hAnsiTheme="majorHAnsi" w:cstheme="majorBidi"/>
          <w:lang w:eastAsia="en-US"/>
        </w:rPr>
        <w:t xml:space="preserve">wykonanie zadania inwestycyjnego pn. </w:t>
      </w:r>
      <w:r w:rsidR="00CD51B3">
        <w:rPr>
          <w:rFonts w:asciiTheme="majorHAnsi" w:eastAsiaTheme="majorEastAsia" w:hAnsiTheme="majorHAnsi" w:cstheme="majorBidi"/>
          <w:b/>
          <w:lang w:eastAsia="en-US"/>
        </w:rPr>
        <w:t xml:space="preserve">Zagospodarowanie terenu przy Klubie Seniora w Gniewkowie- ścieżka edukacyjna. </w:t>
      </w:r>
    </w:p>
    <w:p w14:paraId="565A4081" w14:textId="0841CA8D" w:rsidR="00CD51B3" w:rsidRPr="00CD51B3" w:rsidRDefault="00175145" w:rsidP="00CD51B3">
      <w:pPr>
        <w:numPr>
          <w:ilvl w:val="0"/>
          <w:numId w:val="10"/>
        </w:numPr>
        <w:spacing w:after="200" w:line="252" w:lineRule="auto"/>
        <w:contextualSpacing/>
        <w:jc w:val="both"/>
        <w:rPr>
          <w:rFonts w:asciiTheme="majorHAnsi" w:eastAsiaTheme="majorEastAsia" w:hAnsiTheme="majorHAnsi" w:cstheme="majorBidi"/>
          <w:lang w:eastAsia="en-US"/>
        </w:rPr>
      </w:pPr>
      <w:r w:rsidRPr="00175145">
        <w:rPr>
          <w:rFonts w:asciiTheme="majorHAnsi" w:eastAsiaTheme="majorEastAsia" w:hAnsiTheme="majorHAnsi" w:cstheme="majorBidi"/>
          <w:b/>
          <w:lang w:eastAsia="en-US"/>
        </w:rPr>
        <w:t>Krótki opis:</w:t>
      </w:r>
      <w:r>
        <w:rPr>
          <w:rFonts w:asciiTheme="majorHAnsi" w:eastAsiaTheme="majorEastAsia" w:hAnsiTheme="majorHAnsi" w:cstheme="majorBidi"/>
          <w:lang w:eastAsia="en-US"/>
        </w:rPr>
        <w:t xml:space="preserve"> </w:t>
      </w:r>
      <w:r w:rsidR="00CD51B3" w:rsidRPr="00CD51B3">
        <w:rPr>
          <w:rFonts w:asciiTheme="majorHAnsi" w:eastAsiaTheme="majorEastAsia" w:hAnsiTheme="majorHAnsi" w:cstheme="majorBidi"/>
          <w:lang w:eastAsia="en-US"/>
        </w:rPr>
        <w:t xml:space="preserve">Przedmiotem inwestycji jest </w:t>
      </w:r>
      <w:r w:rsidR="00C51773">
        <w:rPr>
          <w:rFonts w:asciiTheme="majorHAnsi" w:eastAsiaTheme="majorEastAsia" w:hAnsiTheme="majorHAnsi" w:cstheme="majorBidi"/>
          <w:lang w:eastAsia="en-US"/>
        </w:rPr>
        <w:t>wykonanie</w:t>
      </w:r>
      <w:r w:rsidR="00CD51B3" w:rsidRPr="00CD51B3">
        <w:rPr>
          <w:rFonts w:asciiTheme="majorHAnsi" w:eastAsiaTheme="majorEastAsia" w:hAnsiTheme="majorHAnsi" w:cstheme="majorBidi"/>
          <w:lang w:eastAsia="en-US"/>
        </w:rPr>
        <w:t xml:space="preserve"> obiektów małej architektury w miejscu publicznym, utwardzeń oraz remontu elewacji Klubu Senior+.</w:t>
      </w:r>
    </w:p>
    <w:p w14:paraId="59D098F3" w14:textId="4218B6ED" w:rsidR="00175145" w:rsidRDefault="00CD51B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Zakres prac obejmuje:</w:t>
      </w:r>
    </w:p>
    <w:p w14:paraId="6C8EECA0" w14:textId="75874E96" w:rsidR="00CD51B3" w:rsidRDefault="00CD51B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wykonanie utwardzeń </w:t>
      </w:r>
      <w:r w:rsidR="00C51773">
        <w:rPr>
          <w:rFonts w:asciiTheme="majorHAnsi" w:eastAsiaTheme="majorEastAsia" w:hAnsiTheme="majorHAnsi" w:cstheme="majorBidi"/>
          <w:lang w:eastAsia="en-US"/>
        </w:rPr>
        <w:t>na podbudowie z miejscami postojowymi oraz zasadzenie trawników i zieleni niskiej na terenie przed Klubem Senior+</w:t>
      </w:r>
      <w:r w:rsidR="00FC08EC">
        <w:rPr>
          <w:rFonts w:asciiTheme="majorHAnsi" w:eastAsiaTheme="majorEastAsia" w:hAnsiTheme="majorHAnsi" w:cstheme="majorBidi"/>
          <w:lang w:eastAsia="en-US"/>
        </w:rPr>
        <w:t>,</w:t>
      </w:r>
    </w:p>
    <w:p w14:paraId="4281E25E" w14:textId="62DECC46" w:rsidR="00C51773" w:rsidRDefault="00C5177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wykonanie obiektów małej architektury w miejscu publicznym- pergoli</w:t>
      </w:r>
      <w:r w:rsidR="00FC08EC">
        <w:rPr>
          <w:rFonts w:asciiTheme="majorHAnsi" w:eastAsiaTheme="majorEastAsia" w:hAnsiTheme="majorHAnsi" w:cstheme="majorBidi"/>
          <w:lang w:eastAsia="en-US"/>
        </w:rPr>
        <w:t>,</w:t>
      </w:r>
    </w:p>
    <w:p w14:paraId="2E0D77CA" w14:textId="184F75F8" w:rsidR="00C51773" w:rsidRDefault="00C51773" w:rsidP="00CD51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remont elewacji budynku Klubu Senior +</w:t>
      </w:r>
      <w:r w:rsidR="00FC08EC">
        <w:rPr>
          <w:rFonts w:asciiTheme="majorHAnsi" w:eastAsiaTheme="majorEastAsia" w:hAnsiTheme="majorHAnsi" w:cstheme="majorBidi"/>
          <w:lang w:eastAsia="en-US"/>
        </w:rPr>
        <w:t>.</w:t>
      </w:r>
    </w:p>
    <w:p w14:paraId="12AB93D1" w14:textId="533E00EE" w:rsidR="00F424E8" w:rsidRPr="00F424E8" w:rsidRDefault="00F424E8" w:rsidP="00F424E8">
      <w:pPr>
        <w:spacing w:after="200" w:line="252" w:lineRule="auto"/>
        <w:ind w:left="360"/>
        <w:contextualSpacing/>
        <w:jc w:val="both"/>
        <w:rPr>
          <w:rFonts w:asciiTheme="majorHAnsi" w:eastAsiaTheme="majorEastAsia" w:hAnsiTheme="majorHAnsi" w:cstheme="majorBidi"/>
          <w:b/>
          <w:u w:val="single"/>
          <w:lang w:eastAsia="en-US"/>
        </w:rPr>
      </w:pPr>
      <w:r w:rsidRPr="00F424E8">
        <w:rPr>
          <w:rFonts w:asciiTheme="majorHAnsi" w:eastAsiaTheme="majorEastAsia" w:hAnsiTheme="majorHAnsi" w:cstheme="majorBidi"/>
          <w:b/>
          <w:u w:val="single"/>
          <w:lang w:eastAsia="en-US"/>
        </w:rPr>
        <w:t xml:space="preserve">UWAGA! Zamówienie </w:t>
      </w:r>
      <w:r w:rsidR="00C51773">
        <w:rPr>
          <w:rFonts w:asciiTheme="majorHAnsi" w:eastAsiaTheme="majorEastAsia" w:hAnsiTheme="majorHAnsi" w:cstheme="majorBidi"/>
          <w:b/>
          <w:u w:val="single"/>
          <w:lang w:eastAsia="en-US"/>
        </w:rPr>
        <w:t xml:space="preserve">nie obejmuje wykonania robót rozbiórkowych. Roboty rozbiórkowe wyszczególnione w pozycjach od 1 do 7 przedmiaru robót Zamawiający wykona we własnym zakresie. Wykonawca nie wlicza robót rozbiórkowych do zaoferowanej ceny. </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3F4AB63" w14:textId="547AC17F" w:rsidR="00C108A0" w:rsidRDefault="00B010FE" w:rsidP="00C108A0">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45000000-7</w:t>
      </w:r>
      <w:r w:rsidR="00C53A4F">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Roboty budowlane</w:t>
      </w:r>
    </w:p>
    <w:p w14:paraId="5E7FD71F" w14:textId="7DAAB085" w:rsidR="0086693A" w:rsidRDefault="00B010FE"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45100000-8- Przygotowanie terenu pod budowę</w:t>
      </w:r>
    </w:p>
    <w:p w14:paraId="2A742516" w14:textId="28B4A455" w:rsidR="00B010FE"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45260000-7- Roboty w zakresie wykonania pokryć i konstrukcji dachowych i inne roboty</w:t>
      </w:r>
    </w:p>
    <w:p w14:paraId="045E1768" w14:textId="6E72A895"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45233250-6- Roboty w zakresie nawierzchni z wyjątkiem dróg</w:t>
      </w:r>
    </w:p>
    <w:p w14:paraId="35112985" w14:textId="69C5CE06"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45310000-3- Roboty instalacyjne elektryczne</w:t>
      </w:r>
    </w:p>
    <w:p w14:paraId="3FBA5118" w14:textId="4291DCBC"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45442100-8- Malowanie</w:t>
      </w:r>
    </w:p>
    <w:p w14:paraId="647DA0E2" w14:textId="2A2D7F1A"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45211320-8- Roboty budowlane w zakresie altan</w:t>
      </w:r>
    </w:p>
    <w:p w14:paraId="70CE01F1" w14:textId="2E71C85C" w:rsidR="00C53A4F" w:rsidRDefault="00C53A4F"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45112710-5- Roboty w zakresie kształtowania terenów zielonych</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3D39AEF9" w:rsidR="00AA4F20" w:rsidRPr="00773D17" w:rsidRDefault="00CF11B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w:t>
      </w:r>
      <w:r w:rsidR="00FA2D86">
        <w:rPr>
          <w:rFonts w:asciiTheme="majorHAnsi" w:eastAsiaTheme="majorEastAsia" w:hAnsiTheme="majorHAnsi" w:cstheme="majorBidi"/>
          <w:lang w:eastAsia="en-US"/>
        </w:rPr>
        <w:t>ntacja projektowa- załączniki 7-10</w:t>
      </w:r>
      <w:r>
        <w:rPr>
          <w:rFonts w:asciiTheme="majorHAnsi" w:eastAsiaTheme="majorEastAsia" w:hAnsiTheme="majorHAnsi" w:cstheme="majorBidi"/>
          <w:lang w:eastAsia="en-US"/>
        </w:rPr>
        <w:t xml:space="preserve"> do SWZ;</w:t>
      </w:r>
    </w:p>
    <w:p w14:paraId="0720C4B8" w14:textId="67729F1C" w:rsidR="00AA4F20"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FA2D86">
        <w:rPr>
          <w:rFonts w:asciiTheme="majorHAnsi" w:eastAsiaTheme="majorEastAsia" w:hAnsiTheme="majorHAnsi" w:cstheme="majorBidi"/>
          <w:lang w:eastAsia="en-US"/>
        </w:rPr>
        <w:t>6</w:t>
      </w:r>
      <w:r w:rsidR="00CF11B9">
        <w:rPr>
          <w:rFonts w:asciiTheme="majorHAnsi" w:eastAsiaTheme="majorEastAsia" w:hAnsiTheme="majorHAnsi" w:cstheme="majorBidi"/>
          <w:lang w:eastAsia="en-US"/>
        </w:rPr>
        <w:t xml:space="preserve"> do SWZ;</w:t>
      </w:r>
    </w:p>
    <w:p w14:paraId="51383541" w14:textId="77777777" w:rsidR="005F1760" w:rsidRPr="005F1760" w:rsidRDefault="005F1760" w:rsidP="007D4214">
      <w:pPr>
        <w:ind w:left="-142"/>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529E1B2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Roboty budowlane należy wykonać z należytą starannością oraz z wiedzą techniczną, obowiązującymi przepisami BHP, ppoż. i sztuką budowlaną, a także zgodnie z poleceniami </w:t>
      </w:r>
      <w:r w:rsidR="00AF014E">
        <w:rPr>
          <w:rFonts w:asciiTheme="majorHAnsi" w:eastAsiaTheme="majorEastAsia" w:hAnsiTheme="majorHAnsi" w:cstheme="majorBidi"/>
          <w:lang w:eastAsia="en-US"/>
        </w:rPr>
        <w:t>Zamawiającego</w:t>
      </w:r>
      <w:r w:rsidRPr="005F1760">
        <w:rPr>
          <w:rFonts w:asciiTheme="majorHAnsi" w:eastAsiaTheme="majorEastAsia" w:hAnsiTheme="majorHAnsi" w:cstheme="majorBidi"/>
          <w:lang w:eastAsia="en-US"/>
        </w:rPr>
        <w:t>, zgodnie z załączoną dokumentacją projektową, oraz wytycznymi określonymi w niniejszej SWZ wraz z załącznikami, pytaniami i odpowiedziami udzielonymi w trakcie procedury o udzielenie zamówienia publicznego.</w:t>
      </w:r>
    </w:p>
    <w:p w14:paraId="1CEB6136"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0CFD0EF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7D4214">
      <w:pPr>
        <w:numPr>
          <w:ilvl w:val="0"/>
          <w:numId w:val="39"/>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7D4214">
      <w:pPr>
        <w:numPr>
          <w:ilvl w:val="0"/>
          <w:numId w:val="39"/>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przed podpisaniem umowy. </w:t>
      </w:r>
    </w:p>
    <w:p w14:paraId="39F6F83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zamówienia oraz obiekt będzie spełniał wymagania projektowe.</w:t>
      </w:r>
    </w:p>
    <w:p w14:paraId="529E1E9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7D4214">
      <w:pPr>
        <w:numPr>
          <w:ilvl w:val="0"/>
          <w:numId w:val="40"/>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7D4214">
      <w:pPr>
        <w:numPr>
          <w:ilvl w:val="0"/>
          <w:numId w:val="40"/>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p>
    <w:p w14:paraId="1B78D57A"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77777777" w:rsidR="005F1760" w:rsidRPr="005F1760" w:rsidRDefault="005F1760" w:rsidP="007D4214">
      <w:pPr>
        <w:numPr>
          <w:ilvl w:val="0"/>
          <w:numId w:val="10"/>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Pr="005F1760">
        <w:rPr>
          <w:rFonts w:asciiTheme="majorHAnsi" w:eastAsiaTheme="majorEastAsia" w:hAnsiTheme="majorHAnsi" w:cstheme="majorBidi"/>
          <w:lang w:eastAsia="en-US"/>
        </w:rPr>
        <w:t>złożenia (w celach informacyjnych) kosztorysu obrazującego sposób obliczania ceny.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27D7EF03" w14:textId="77777777"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74DBA558" w:rsidR="005F1760" w:rsidRPr="005F1760" w:rsidRDefault="005F1760" w:rsidP="007D4214">
      <w:pPr>
        <w:numPr>
          <w:ilvl w:val="0"/>
          <w:numId w:val="10"/>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AF014E">
        <w:rPr>
          <w:rFonts w:asciiTheme="majorHAnsi" w:eastAsiaTheme="majorEastAsia" w:hAnsiTheme="majorHAnsi" w:cstheme="majorBidi"/>
          <w:lang w:eastAsia="en-US"/>
        </w:rPr>
        <w:t>6</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74304A8E"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E463F7">
        <w:rPr>
          <w:rFonts w:asciiTheme="majorHAnsi" w:hAnsiTheme="majorHAnsi"/>
        </w:rPr>
        <w:t xml:space="preserve">pracowników fizycznych </w:t>
      </w:r>
      <w:r w:rsidR="00D9771F">
        <w:rPr>
          <w:rFonts w:asciiTheme="majorHAnsi" w:hAnsiTheme="majorHAnsi"/>
        </w:rPr>
        <w:t>wykonujących roboty budowlane</w:t>
      </w:r>
      <w:r w:rsidR="00E463F7">
        <w:rPr>
          <w:rFonts w:asciiTheme="majorHAnsi" w:hAnsiTheme="majorHAnsi"/>
        </w:rPr>
        <w:t xml:space="preserve"> związane z realizacją przedmiotowej inwestycji, </w:t>
      </w:r>
      <w:r w:rsidR="00D9771F">
        <w:rPr>
          <w:rFonts w:asciiTheme="majorHAnsi" w:hAnsiTheme="majorHAnsi"/>
        </w:rPr>
        <w:t>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W trakcie realizacji zamówienia na każde wezwanie Zamawiającego w wyznaczonym w tym wezwaniu terminie, jednak nie krótszym niż 3 dni robocze, Wykonawca przedłoży Zamawiającemu wskazane w punkcie 4 dokumenty, w celu potwierdzenia </w:t>
      </w:r>
      <w:r>
        <w:rPr>
          <w:rFonts w:asciiTheme="majorHAnsi" w:hAnsiTheme="majorHAnsi"/>
        </w:rPr>
        <w:lastRenderedPageBreak/>
        <w:t>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78D64836"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096F4B">
        <w:rPr>
          <w:rFonts w:asciiTheme="majorHAnsi" w:eastAsiaTheme="majorEastAsia" w:hAnsiTheme="majorHAnsi" w:cstheme="majorBidi"/>
          <w:b/>
          <w:lang w:eastAsia="en-US"/>
        </w:rPr>
        <w:t xml:space="preserve">do 10.12.2021 r.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B0ACB5C" w14:textId="79B51BD9" w:rsidR="000F0283" w:rsidRPr="00773D17" w:rsidRDefault="00816594" w:rsidP="00AA4F20">
      <w:pPr>
        <w:jc w:val="both"/>
        <w:rPr>
          <w:rFonts w:asciiTheme="majorHAnsi" w:eastAsiaTheme="majorEastAsia" w:hAnsiTheme="majorHAnsi" w:cs="Arial"/>
          <w:b/>
          <w:lang w:eastAsia="en-US"/>
        </w:rPr>
      </w:pPr>
      <w:r w:rsidRPr="00816594">
        <w:rPr>
          <w:rFonts w:asciiTheme="majorHAnsi" w:eastAsiaTheme="majorEastAsia" w:hAnsiTheme="majorHAnsi" w:cs="Arial"/>
          <w:b/>
          <w:lang w:eastAsia="en-US"/>
        </w:rPr>
        <w:t>Z</w:t>
      </w:r>
      <w:r w:rsidR="006D2D3A" w:rsidRPr="00816594">
        <w:rPr>
          <w:rFonts w:asciiTheme="majorHAnsi" w:eastAsiaTheme="majorEastAsia" w:hAnsiTheme="majorHAnsi" w:cs="Arial"/>
          <w:b/>
          <w:lang w:eastAsia="en-US"/>
        </w:rPr>
        <w:t xml:space="preserve">amawiający </w:t>
      </w:r>
      <w:r w:rsidRPr="00816594">
        <w:rPr>
          <w:rFonts w:asciiTheme="majorHAnsi" w:eastAsiaTheme="majorEastAsia" w:hAnsiTheme="majorHAnsi" w:cs="Arial"/>
          <w:b/>
          <w:lang w:eastAsia="en-US"/>
        </w:rPr>
        <w:t xml:space="preserve">nie </w:t>
      </w:r>
      <w:r w:rsidR="006D2D3A" w:rsidRPr="00816594">
        <w:rPr>
          <w:rFonts w:asciiTheme="majorHAnsi" w:eastAsiaTheme="majorEastAsia" w:hAnsiTheme="majorHAnsi" w:cs="Arial"/>
          <w:b/>
          <w:lang w:eastAsia="en-US"/>
        </w:rPr>
        <w:t xml:space="preserve">określa </w:t>
      </w:r>
      <w:r w:rsidRPr="00816594">
        <w:rPr>
          <w:rFonts w:asciiTheme="majorHAnsi" w:eastAsiaTheme="majorEastAsia" w:hAnsiTheme="majorHAnsi" w:cs="Arial"/>
          <w:b/>
          <w:lang w:eastAsia="en-US"/>
        </w:rPr>
        <w:t>warunków</w:t>
      </w:r>
      <w:r w:rsidR="00AA4F20" w:rsidRPr="00816594">
        <w:rPr>
          <w:rFonts w:asciiTheme="majorHAnsi" w:eastAsiaTheme="majorEastAsia" w:hAnsiTheme="majorHAnsi" w:cs="Arial"/>
          <w:b/>
          <w:lang w:eastAsia="en-US"/>
        </w:rPr>
        <w:t xml:space="preserve"> udziału w postępowaniu</w:t>
      </w:r>
      <w:r w:rsidRPr="00816594">
        <w:rPr>
          <w:rFonts w:asciiTheme="majorHAnsi" w:eastAsiaTheme="majorEastAsia" w:hAnsiTheme="majorHAnsi" w:cs="Arial"/>
          <w:b/>
          <w:lang w:eastAsia="en-US"/>
        </w:rPr>
        <w:t>.</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xml:space="preserve">d) finansowania przestępstwa o charakterze terrorystycznym, o którym mowa w art. 165a Kodeksu karnego, lub przestępstwo udaremniania lub utrudniania stwierdzenia </w:t>
      </w:r>
      <w:r w:rsidRPr="009C5220">
        <w:rPr>
          <w:rFonts w:asciiTheme="majorHAnsi" w:eastAsiaTheme="majorEastAsia" w:hAnsiTheme="majorHAnsi" w:cstheme="majorBidi"/>
          <w:lang w:eastAsia="en-US"/>
        </w:rPr>
        <w:lastRenderedPageBreak/>
        <w:t>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17C9BF69"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w:t>
      </w:r>
      <w:r w:rsidR="000A24B2">
        <w:rPr>
          <w:rFonts w:ascii="Cambria" w:hAnsi="Cambria" w:cs="Arial"/>
        </w:rPr>
        <w:t xml:space="preserve"> </w:t>
      </w:r>
      <w:r w:rsidR="00E14DCB" w:rsidRPr="00773D17">
        <w:rPr>
          <w:rFonts w:ascii="Cambria" w:hAnsi="Cambria" w:cs="Arial"/>
        </w:rPr>
        <w:t>Oświadczenie to stanowi dowód potwierdzający brak podstaw wykluczenia na dzień składa</w:t>
      </w:r>
      <w:r w:rsidR="00D241A0">
        <w:rPr>
          <w:rFonts w:ascii="Cambria" w:hAnsi="Cambria" w:cs="Arial"/>
        </w:rPr>
        <w:t>nia ofert.</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31C0E26E"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w:t>
      </w:r>
      <w:r w:rsidRPr="00773D17">
        <w:rPr>
          <w:rFonts w:ascii="Cambria" w:hAnsi="Cambria"/>
        </w:rPr>
        <w:lastRenderedPageBreak/>
        <w:t xml:space="preserve">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4C3D6A0D"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A92832">
        <w:rPr>
          <w:rFonts w:ascii="Cambria" w:hAnsi="Cambria"/>
          <w:b/>
        </w:rPr>
        <w:t>5</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lastRenderedPageBreak/>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C30D6D9" w14:textId="77777777" w:rsidR="00B451F0" w:rsidRDefault="00B451F0" w:rsidP="00E1023A">
      <w:pPr>
        <w:jc w:val="both"/>
        <w:rPr>
          <w:rFonts w:ascii="Cambria" w:hAnsi="Cambria"/>
          <w:b/>
        </w:rPr>
      </w:pPr>
    </w:p>
    <w:p w14:paraId="6ED81C77" w14:textId="6C9F73F8" w:rsidR="003A24FE" w:rsidRDefault="00B451F0" w:rsidP="00E1023A">
      <w:pPr>
        <w:jc w:val="both"/>
        <w:rPr>
          <w:rFonts w:ascii="Cambria" w:hAnsi="Cambria"/>
          <w:b/>
        </w:rPr>
      </w:pPr>
      <w:r w:rsidRPr="00B451F0">
        <w:rPr>
          <w:rFonts w:ascii="Cambria" w:hAnsi="Cambria"/>
          <w:b/>
        </w:rPr>
        <w:t>Zamawiający nie wymaga złożenia podmiotowych środków dowodowych.</w:t>
      </w:r>
    </w:p>
    <w:p w14:paraId="38AF1015" w14:textId="77777777" w:rsidR="00B451F0" w:rsidRPr="00773D17" w:rsidRDefault="00B451F0"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21ACE674"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A112CA">
        <w:rPr>
          <w:rFonts w:ascii="Cambria" w:hAnsi="Cambria" w:cs="Arial"/>
          <w:b/>
          <w:bCs/>
        </w:rPr>
        <w:t>kwocie 6</w:t>
      </w:r>
      <w:r w:rsidR="0083791D">
        <w:rPr>
          <w:rFonts w:ascii="Cambria" w:hAnsi="Cambria" w:cs="Arial"/>
          <w:b/>
          <w:bCs/>
        </w:rPr>
        <w:t>.000,00</w:t>
      </w:r>
      <w:r w:rsidR="00577B99" w:rsidRPr="00577B99">
        <w:rPr>
          <w:rFonts w:ascii="Cambria" w:hAnsi="Cambria" w:cs="Arial"/>
          <w:b/>
          <w:bCs/>
        </w:rPr>
        <w:t xml:space="preserve"> zł.</w:t>
      </w:r>
    </w:p>
    <w:p w14:paraId="00F0CF7A" w14:textId="46B6169C"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8B4368">
        <w:rPr>
          <w:rFonts w:ascii="Cambria" w:hAnsi="Cambria"/>
        </w:rPr>
        <w:t>16.11</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 xml:space="preserve">wykonawca nie wniósł wadium lub wniósł w sposób nieprawidłowy lub nie utrzymywał wadium nieprzerwanie do upływu terminu </w:t>
      </w:r>
      <w:r w:rsidR="00B142B3" w:rsidRPr="00773D17">
        <w:rPr>
          <w:rFonts w:ascii="Cambria" w:hAnsi="Cambria"/>
        </w:rPr>
        <w:lastRenderedPageBreak/>
        <w:t>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3C7A812F"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8B4368">
        <w:rPr>
          <w:rFonts w:ascii="Cambria" w:hAnsi="Cambria"/>
        </w:rPr>
        <w:t>18</w:t>
      </w:r>
      <w:r w:rsidR="0083791D">
        <w:rPr>
          <w:rFonts w:ascii="Cambria" w:hAnsi="Cambria"/>
        </w:rPr>
        <w:t>.</w:t>
      </w:r>
      <w:r w:rsidR="008B4368">
        <w:rPr>
          <w:rFonts w:ascii="Cambria" w:hAnsi="Cambria"/>
        </w:rPr>
        <w:t>10</w:t>
      </w:r>
      <w:r w:rsidR="003C7824">
        <w:rPr>
          <w:rFonts w:ascii="Cambria" w:hAnsi="Cambria"/>
        </w:rPr>
        <w:t xml:space="preserve">.2021 r. </w:t>
      </w:r>
      <w:r>
        <w:rPr>
          <w:rFonts w:ascii="Cambria" w:hAnsi="Cambria"/>
        </w:rPr>
        <w:t>do godziny</w:t>
      </w:r>
      <w:r w:rsidR="00725CA3">
        <w:rPr>
          <w:rFonts w:ascii="Cambria" w:hAnsi="Cambria"/>
        </w:rPr>
        <w:t xml:space="preserve"> 12</w:t>
      </w:r>
      <w:r w:rsidR="003C7824">
        <w:rPr>
          <w:rFonts w:ascii="Cambria" w:hAnsi="Cambria"/>
        </w:rPr>
        <w:t>:00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w:t>
      </w:r>
      <w:r w:rsidRPr="006B5378">
        <w:rPr>
          <w:rFonts w:asciiTheme="majorHAnsi" w:hAnsiTheme="majorHAnsi"/>
        </w:rPr>
        <w:lastRenderedPageBreak/>
        <w:t xml:space="preserve">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3" w:name="_Hlk60819150"/>
      <w:r w:rsidRPr="00C679FC">
        <w:rPr>
          <w:rFonts w:asciiTheme="majorHAnsi" w:hAnsiTheme="majorHAnsi"/>
          <w:color w:val="000000" w:themeColor="text1"/>
        </w:rPr>
        <w:t>w tym dokumenty o których mowa w art. 94 ust. 2 ustawy</w:t>
      </w:r>
      <w:bookmarkEnd w:id="3"/>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lastRenderedPageBreak/>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4" w:name="_Hlk60819634"/>
      <w:r w:rsidRPr="00636E48">
        <w:rPr>
          <w:rFonts w:asciiTheme="majorHAnsi" w:hAnsiTheme="majorHAnsi"/>
          <w:color w:val="000000" w:themeColor="text1"/>
        </w:rPr>
        <w:t>dokumenty, o których mowa w art. 94 ust. 2 ustawy</w:t>
      </w:r>
      <w:bookmarkEnd w:id="4"/>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lastRenderedPageBreak/>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57B35D01" w:rsidR="0011460F" w:rsidRPr="00773D17" w:rsidRDefault="0083791D"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0A3BBFAF"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3D58F278"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8B4368">
        <w:rPr>
          <w:rFonts w:ascii="Cambria" w:hAnsi="Cambria"/>
        </w:rPr>
        <w:t>18.10</w:t>
      </w:r>
      <w:r w:rsidR="00763CDF">
        <w:rPr>
          <w:rFonts w:ascii="Cambria" w:hAnsi="Cambria"/>
        </w:rPr>
        <w:t>.2021</w:t>
      </w:r>
      <w:r w:rsidRPr="00773D17">
        <w:rPr>
          <w:rFonts w:ascii="Cambria" w:hAnsi="Cambria"/>
        </w:rPr>
        <w:t xml:space="preserve"> do godz. </w:t>
      </w:r>
      <w:r w:rsidR="00725CA3">
        <w:rPr>
          <w:rFonts w:ascii="Cambria" w:hAnsi="Cambria"/>
        </w:rPr>
        <w:t>12</w:t>
      </w:r>
      <w:r w:rsidR="00763CDF">
        <w:rPr>
          <w:rFonts w:ascii="Cambria" w:hAnsi="Cambria"/>
        </w:rPr>
        <w:t>:00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7F9D0F43"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8B4368">
        <w:rPr>
          <w:rFonts w:ascii="Cambria" w:hAnsi="Cambria"/>
        </w:rPr>
        <w:t>18.10</w:t>
      </w:r>
      <w:r w:rsidR="00763CDF">
        <w:rPr>
          <w:rFonts w:ascii="Cambria" w:hAnsi="Cambria"/>
        </w:rPr>
        <w:t>.2021</w:t>
      </w:r>
      <w:r w:rsidRPr="00773D17">
        <w:rPr>
          <w:rFonts w:ascii="Cambria" w:hAnsi="Cambria"/>
        </w:rPr>
        <w:t xml:space="preserve"> o godz. </w:t>
      </w:r>
      <w:r w:rsidR="00725CA3">
        <w:rPr>
          <w:rFonts w:ascii="Cambria" w:hAnsi="Cambria"/>
        </w:rPr>
        <w:t>12</w:t>
      </w:r>
      <w:r w:rsidR="008B4368">
        <w:rPr>
          <w:rFonts w:ascii="Cambria" w:hAnsi="Cambria"/>
        </w:rPr>
        <w:t>:05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359EB33"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8B4368">
        <w:rPr>
          <w:rFonts w:ascii="Cambria" w:hAnsi="Cambria"/>
          <w:b/>
          <w:bCs/>
        </w:rPr>
        <w:t>16.11</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lastRenderedPageBreak/>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 xml:space="preserve">Za ofertę najkorzystniejszą uznana zostanie oferta, która spełnia wszystkie warunki określone w SWZ oraz otrzyma łącznie największą liczbę punktów (suma punktów </w:t>
      </w:r>
      <w:r>
        <w:rPr>
          <w:rFonts w:ascii="Cambria" w:hAnsi="Cambria"/>
        </w:rPr>
        <w:lastRenderedPageBreak/>
        <w:t>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60F73F35"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725CA3">
        <w:rPr>
          <w:rFonts w:ascii="Cambria" w:hAnsi="Cambria"/>
        </w:rPr>
        <w:t>6</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2E270A07" w:rsidR="00660A68" w:rsidRPr="001C7F4B" w:rsidRDefault="00660A68" w:rsidP="001C7F4B">
      <w:pPr>
        <w:numPr>
          <w:ilvl w:val="0"/>
          <w:numId w:val="21"/>
        </w:numPr>
        <w:ind w:right="-108"/>
        <w:jc w:val="both"/>
        <w:rPr>
          <w:rFonts w:ascii="Cambria" w:hAnsi="Cambria"/>
          <w:b/>
        </w:rPr>
      </w:pPr>
      <w:r w:rsidRPr="00773D17">
        <w:rPr>
          <w:rFonts w:ascii="Cambria" w:hAnsi="Cambria"/>
        </w:rPr>
        <w:lastRenderedPageBreak/>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725CA3" w:rsidRPr="00725CA3">
        <w:rPr>
          <w:rFonts w:ascii="Cambria" w:hAnsi="Cambria"/>
          <w:b/>
        </w:rPr>
        <w:t>ZAGOSPODAROWANIE TERENU PRZY KLUBIE SENIORA W GNIEWKOWIE- ŚCIEŻKA EDUKACYJNA</w:t>
      </w:r>
      <w:r w:rsidR="00725CA3">
        <w:rPr>
          <w:rFonts w:ascii="Cambria" w:hAnsi="Cambria"/>
          <w:b/>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5"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lastRenderedPageBreak/>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267CB85C" w:rsidR="008A0851" w:rsidRDefault="008A0851" w:rsidP="008A0851">
      <w:pPr>
        <w:ind w:left="360" w:right="-108"/>
        <w:jc w:val="both"/>
        <w:rPr>
          <w:rFonts w:ascii="Cambria" w:hAnsi="Cambria"/>
        </w:rPr>
      </w:pPr>
      <w:r>
        <w:rPr>
          <w:rFonts w:ascii="Cambria" w:hAnsi="Cambria"/>
        </w:rPr>
        <w:t xml:space="preserve">- kopię (potwierdzoną za zgodność z oryginałem przez Wykonawcę) uprawnień budowlanych </w:t>
      </w:r>
      <w:r w:rsidR="001464BB">
        <w:rPr>
          <w:rFonts w:ascii="Cambria" w:hAnsi="Cambria"/>
        </w:rPr>
        <w:t xml:space="preserve">osoby </w:t>
      </w:r>
      <w:r>
        <w:rPr>
          <w:rFonts w:ascii="Cambria" w:hAnsi="Cambria"/>
        </w:rPr>
        <w:t>wska</w:t>
      </w:r>
      <w:r w:rsidR="001464BB">
        <w:rPr>
          <w:rFonts w:ascii="Cambria" w:hAnsi="Cambria"/>
        </w:rPr>
        <w:t>zanej</w:t>
      </w:r>
      <w:r>
        <w:rPr>
          <w:rFonts w:ascii="Cambria" w:hAnsi="Cambria"/>
        </w:rPr>
        <w:t xml:space="preserve"> przez Wykonawcę do realizacji zamówienia wraz z aktualnym zaświadczeniem o przynależności do właściw</w:t>
      </w:r>
      <w:r w:rsidR="00926CA6">
        <w:rPr>
          <w:rFonts w:ascii="Cambria" w:hAnsi="Cambria"/>
        </w:rPr>
        <w:t>ej Izby Inżynierów Budownictwa</w:t>
      </w:r>
      <w:r w:rsidR="001464BB">
        <w:rPr>
          <w:rFonts w:ascii="Cambria" w:hAnsi="Cambria"/>
        </w:rPr>
        <w:t>,</w:t>
      </w:r>
      <w:bookmarkStart w:id="6" w:name="_GoBack"/>
      <w:bookmarkEnd w:id="6"/>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77777777"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FDD2F53" w14:textId="39280A17" w:rsidR="008C3F42" w:rsidRDefault="008C3F42" w:rsidP="008A0851">
      <w:pPr>
        <w:ind w:left="360" w:right="-108"/>
        <w:jc w:val="both"/>
        <w:rPr>
          <w:rFonts w:ascii="Cambria" w:hAnsi="Cambria"/>
        </w:rPr>
      </w:pPr>
      <w:r w:rsidRPr="008C3F42">
        <w:rPr>
          <w:rFonts w:ascii="Cambria" w:hAnsi="Cambria"/>
        </w:rPr>
        <w:t>- harmonogram rzeczowo- finansowy,</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D82B7A6"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2. Oświadcze</w:t>
      </w:r>
      <w:r w:rsidR="00CC51A0">
        <w:rPr>
          <w:rFonts w:asciiTheme="majorHAnsi" w:hAnsiTheme="majorHAnsi" w:cs="Arial"/>
          <w:szCs w:val="24"/>
        </w:rPr>
        <w:t xml:space="preserve">nie o niepodleganiu wykluczeniu </w:t>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1AE878A2" w14:textId="2E04DF0A" w:rsidR="00660A68" w:rsidRPr="002D28EF" w:rsidRDefault="00CC51A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29F3574C" w:rsidR="008459CA" w:rsidRPr="002D28EF" w:rsidRDefault="00CC51A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0A3C3CDC" w:rsidR="008459CA" w:rsidRPr="002D28EF" w:rsidRDefault="00CC51A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5</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0A2A7905" w:rsidR="00FD7208" w:rsidRPr="002D28EF" w:rsidRDefault="00CC51A0"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6</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0ECD093B" w14:textId="5B266BAA" w:rsidR="008459CA" w:rsidRDefault="00CC51A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7. </w:t>
      </w:r>
      <w:proofErr w:type="spellStart"/>
      <w:r>
        <w:rPr>
          <w:rFonts w:asciiTheme="majorHAnsi" w:hAnsiTheme="majorHAnsi" w:cs="Arial"/>
          <w:szCs w:val="24"/>
        </w:rPr>
        <w:t>STWiOR</w:t>
      </w:r>
      <w:proofErr w:type="spellEnd"/>
    </w:p>
    <w:p w14:paraId="1DA196E4" w14:textId="6BAD67B3" w:rsidR="00CC51A0" w:rsidRDefault="00CC51A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Projekt budowlany</w:t>
      </w:r>
    </w:p>
    <w:p w14:paraId="6BFD337E" w14:textId="69F3B3DF" w:rsidR="00CC51A0" w:rsidRDefault="00CC51A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Projekt budowlany- branża elektryczna</w:t>
      </w:r>
    </w:p>
    <w:p w14:paraId="495B42D6" w14:textId="4548536B" w:rsidR="00CC51A0" w:rsidRPr="002D28EF" w:rsidRDefault="00CC51A0"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10. Przedmiar</w:t>
      </w: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60188A47"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2D28EF" w:rsidRPr="002D28EF">
        <w:rPr>
          <w:rFonts w:asciiTheme="majorHAnsi" w:hAnsiTheme="majorHAnsi" w:cs="Arial"/>
          <w:szCs w:val="24"/>
        </w:rPr>
        <w:t>, dnia 01.10</w:t>
      </w:r>
      <w:r w:rsidR="00FE4BB7" w:rsidRPr="002D28EF">
        <w:rPr>
          <w:rFonts w:asciiTheme="majorHAnsi" w:hAnsiTheme="majorHAnsi" w:cs="Arial"/>
          <w:szCs w:val="24"/>
        </w:rPr>
        <w:t>.</w:t>
      </w:r>
      <w:r w:rsidRPr="002D28EF">
        <w:rPr>
          <w:rFonts w:asciiTheme="majorHAnsi" w:hAnsiTheme="majorHAnsi" w:cs="Arial"/>
          <w:szCs w:val="24"/>
        </w:rPr>
        <w:t>2021</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F5A0D" w14:textId="77777777" w:rsidR="00EC719B" w:rsidRDefault="00EC719B" w:rsidP="000F1DCF">
      <w:r>
        <w:separator/>
      </w:r>
    </w:p>
  </w:endnote>
  <w:endnote w:type="continuationSeparator" w:id="0">
    <w:p w14:paraId="605DF5F5" w14:textId="77777777" w:rsidR="00EC719B" w:rsidRDefault="00EC719B" w:rsidP="000F1DCF">
      <w:r>
        <w:continuationSeparator/>
      </w:r>
    </w:p>
  </w:endnote>
  <w:endnote w:type="continuationNotice" w:id="1">
    <w:p w14:paraId="2CB3006F" w14:textId="77777777" w:rsidR="00EC719B" w:rsidRDefault="00EC7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5DED8" w14:textId="77777777" w:rsidR="00EC719B" w:rsidRDefault="00EC719B" w:rsidP="000F1DCF">
      <w:r>
        <w:separator/>
      </w:r>
    </w:p>
  </w:footnote>
  <w:footnote w:type="continuationSeparator" w:id="0">
    <w:p w14:paraId="50AEA45B" w14:textId="77777777" w:rsidR="00EC719B" w:rsidRDefault="00EC719B" w:rsidP="000F1DCF">
      <w:r>
        <w:continuationSeparator/>
      </w:r>
    </w:p>
  </w:footnote>
  <w:footnote w:type="continuationNotice" w:id="1">
    <w:p w14:paraId="07D908AD" w14:textId="77777777" w:rsidR="00EC719B" w:rsidRDefault="00EC71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6"/>
  </w:num>
  <w:num w:numId="3">
    <w:abstractNumId w:val="37"/>
  </w:num>
  <w:num w:numId="4">
    <w:abstractNumId w:val="39"/>
  </w:num>
  <w:num w:numId="5">
    <w:abstractNumId w:val="19"/>
  </w:num>
  <w:num w:numId="6">
    <w:abstractNumId w:val="38"/>
  </w:num>
  <w:num w:numId="7">
    <w:abstractNumId w:val="2"/>
  </w:num>
  <w:num w:numId="8">
    <w:abstractNumId w:val="12"/>
  </w:num>
  <w:num w:numId="9">
    <w:abstractNumId w:val="22"/>
  </w:num>
  <w:num w:numId="10">
    <w:abstractNumId w:val="24"/>
  </w:num>
  <w:num w:numId="11">
    <w:abstractNumId w:val="10"/>
  </w:num>
  <w:num w:numId="12">
    <w:abstractNumId w:val="30"/>
  </w:num>
  <w:num w:numId="13">
    <w:abstractNumId w:val="0"/>
  </w:num>
  <w:num w:numId="14">
    <w:abstractNumId w:val="20"/>
  </w:num>
  <w:num w:numId="15">
    <w:abstractNumId w:val="15"/>
  </w:num>
  <w:num w:numId="16">
    <w:abstractNumId w:val="36"/>
  </w:num>
  <w:num w:numId="17">
    <w:abstractNumId w:val="28"/>
  </w:num>
  <w:num w:numId="18">
    <w:abstractNumId w:val="31"/>
  </w:num>
  <w:num w:numId="19">
    <w:abstractNumId w:val="14"/>
  </w:num>
  <w:num w:numId="20">
    <w:abstractNumId w:val="23"/>
  </w:num>
  <w:num w:numId="21">
    <w:abstractNumId w:val="25"/>
  </w:num>
  <w:num w:numId="22">
    <w:abstractNumId w:val="8"/>
  </w:num>
  <w:num w:numId="23">
    <w:abstractNumId w:val="35"/>
  </w:num>
  <w:num w:numId="24">
    <w:abstractNumId w:val="33"/>
  </w:num>
  <w:num w:numId="25">
    <w:abstractNumId w:val="7"/>
  </w:num>
  <w:num w:numId="26">
    <w:abstractNumId w:val="13"/>
  </w:num>
  <w:num w:numId="27">
    <w:abstractNumId w:val="5"/>
  </w:num>
  <w:num w:numId="28">
    <w:abstractNumId w:val="6"/>
  </w:num>
  <w:num w:numId="29">
    <w:abstractNumId w:val="18"/>
  </w:num>
  <w:num w:numId="30">
    <w:abstractNumId w:val="32"/>
  </w:num>
  <w:num w:numId="31">
    <w:abstractNumId w:val="9"/>
  </w:num>
  <w:num w:numId="32">
    <w:abstractNumId w:val="17"/>
  </w:num>
  <w:num w:numId="33">
    <w:abstractNumId w:val="3"/>
  </w:num>
  <w:num w:numId="34">
    <w:abstractNumId w:val="16"/>
  </w:num>
  <w:num w:numId="35">
    <w:abstractNumId w:val="4"/>
  </w:num>
  <w:num w:numId="36">
    <w:abstractNumId w:val="29"/>
  </w:num>
  <w:num w:numId="37">
    <w:abstractNumId w:val="27"/>
  </w:num>
  <w:num w:numId="38">
    <w:abstractNumId w:val="1"/>
  </w:num>
  <w:num w:numId="39">
    <w:abstractNumId w:val="34"/>
  </w:num>
  <w:num w:numId="40">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6F4B"/>
    <w:rsid w:val="00097C94"/>
    <w:rsid w:val="000A027B"/>
    <w:rsid w:val="000A12A1"/>
    <w:rsid w:val="000A13E7"/>
    <w:rsid w:val="000A1E59"/>
    <w:rsid w:val="000A24B2"/>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64BB"/>
    <w:rsid w:val="00147FDB"/>
    <w:rsid w:val="00150742"/>
    <w:rsid w:val="001512BA"/>
    <w:rsid w:val="001515DD"/>
    <w:rsid w:val="001537D4"/>
    <w:rsid w:val="0015398B"/>
    <w:rsid w:val="00154D7E"/>
    <w:rsid w:val="00155272"/>
    <w:rsid w:val="00155485"/>
    <w:rsid w:val="001572CD"/>
    <w:rsid w:val="00161CD0"/>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5145"/>
    <w:rsid w:val="00177863"/>
    <w:rsid w:val="00177AAF"/>
    <w:rsid w:val="00180145"/>
    <w:rsid w:val="001816B2"/>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4E67"/>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5246"/>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C37"/>
    <w:rsid w:val="00447E67"/>
    <w:rsid w:val="0045075C"/>
    <w:rsid w:val="00450D14"/>
    <w:rsid w:val="00451B08"/>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323"/>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578B"/>
    <w:rsid w:val="0054687E"/>
    <w:rsid w:val="00547C0C"/>
    <w:rsid w:val="0055085B"/>
    <w:rsid w:val="00551622"/>
    <w:rsid w:val="00551C33"/>
    <w:rsid w:val="00552834"/>
    <w:rsid w:val="005528DC"/>
    <w:rsid w:val="005530A3"/>
    <w:rsid w:val="00554306"/>
    <w:rsid w:val="00557025"/>
    <w:rsid w:val="0055742C"/>
    <w:rsid w:val="00557C7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ADF"/>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5CA3"/>
    <w:rsid w:val="007260C5"/>
    <w:rsid w:val="007264C7"/>
    <w:rsid w:val="00727B78"/>
    <w:rsid w:val="00727C00"/>
    <w:rsid w:val="00730839"/>
    <w:rsid w:val="00732163"/>
    <w:rsid w:val="00733794"/>
    <w:rsid w:val="007338C9"/>
    <w:rsid w:val="00733A6A"/>
    <w:rsid w:val="007345CA"/>
    <w:rsid w:val="00735855"/>
    <w:rsid w:val="007369A4"/>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2D9"/>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16594"/>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3791D"/>
    <w:rsid w:val="00840152"/>
    <w:rsid w:val="00840160"/>
    <w:rsid w:val="0084028C"/>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6A5"/>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110D"/>
    <w:rsid w:val="008C1997"/>
    <w:rsid w:val="008C201C"/>
    <w:rsid w:val="008C3F42"/>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2CA"/>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2474"/>
    <w:rsid w:val="00A430F4"/>
    <w:rsid w:val="00A44241"/>
    <w:rsid w:val="00A4461F"/>
    <w:rsid w:val="00A44726"/>
    <w:rsid w:val="00A46B0B"/>
    <w:rsid w:val="00A476DE"/>
    <w:rsid w:val="00A514B6"/>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348"/>
    <w:rsid w:val="00A8003D"/>
    <w:rsid w:val="00A80AEA"/>
    <w:rsid w:val="00A80F8A"/>
    <w:rsid w:val="00A85EAD"/>
    <w:rsid w:val="00A87297"/>
    <w:rsid w:val="00A87478"/>
    <w:rsid w:val="00A8759C"/>
    <w:rsid w:val="00A91339"/>
    <w:rsid w:val="00A91907"/>
    <w:rsid w:val="00A9207B"/>
    <w:rsid w:val="00A92832"/>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14E"/>
    <w:rsid w:val="00AF0B91"/>
    <w:rsid w:val="00AF173C"/>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3B8E"/>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1773"/>
    <w:rsid w:val="00C53A4F"/>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51A0"/>
    <w:rsid w:val="00CC64FA"/>
    <w:rsid w:val="00CC6E9B"/>
    <w:rsid w:val="00CD0F4F"/>
    <w:rsid w:val="00CD1235"/>
    <w:rsid w:val="00CD174A"/>
    <w:rsid w:val="00CD345D"/>
    <w:rsid w:val="00CD5113"/>
    <w:rsid w:val="00CD51B3"/>
    <w:rsid w:val="00CD5F87"/>
    <w:rsid w:val="00CE0FDC"/>
    <w:rsid w:val="00CE1B1E"/>
    <w:rsid w:val="00CE245C"/>
    <w:rsid w:val="00CE4334"/>
    <w:rsid w:val="00CE5112"/>
    <w:rsid w:val="00CE54E0"/>
    <w:rsid w:val="00CE5693"/>
    <w:rsid w:val="00CE5944"/>
    <w:rsid w:val="00CE66F3"/>
    <w:rsid w:val="00CE6F5F"/>
    <w:rsid w:val="00CF07EC"/>
    <w:rsid w:val="00CF0B54"/>
    <w:rsid w:val="00CF11B9"/>
    <w:rsid w:val="00CF2987"/>
    <w:rsid w:val="00CF3FB9"/>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5634"/>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261C"/>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3AD9"/>
    <w:rsid w:val="00E341CD"/>
    <w:rsid w:val="00E34C19"/>
    <w:rsid w:val="00E36F3F"/>
    <w:rsid w:val="00E3713E"/>
    <w:rsid w:val="00E4137D"/>
    <w:rsid w:val="00E4164C"/>
    <w:rsid w:val="00E419B8"/>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2AFB"/>
    <w:rsid w:val="00EB2F91"/>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19B"/>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24E8"/>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2D86"/>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EC"/>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9337-10E1-48CC-B10E-AC1B1286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29</Pages>
  <Words>10521</Words>
  <Characters>63131</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73505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49</cp:revision>
  <cp:lastPrinted>2021-10-01T06:34:00Z</cp:lastPrinted>
  <dcterms:created xsi:type="dcterms:W3CDTF">2021-08-10T09:38:00Z</dcterms:created>
  <dcterms:modified xsi:type="dcterms:W3CDTF">2021-10-01T10:11:00Z</dcterms:modified>
</cp:coreProperties>
</file>