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4E1CD988"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BA3119">
        <w:rPr>
          <w:rFonts w:asciiTheme="majorHAnsi" w:eastAsiaTheme="majorEastAsia" w:hAnsiTheme="majorHAnsi" w:cstheme="majorBidi"/>
          <w:caps/>
          <w:color w:val="632423" w:themeColor="accent2" w:themeShade="80"/>
          <w:spacing w:val="20"/>
          <w:lang w:eastAsia="en-US"/>
        </w:rPr>
        <w:t>rzP.271.1.16</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8B6DB27" w14:textId="77777777" w:rsidR="00BA3119" w:rsidRPr="00773D17" w:rsidRDefault="00BA3119" w:rsidP="00C05ABE">
      <w:pPr>
        <w:jc w:val="center"/>
        <w:rPr>
          <w:rFonts w:asciiTheme="majorHAnsi" w:eastAsiaTheme="majorEastAsia" w:hAnsiTheme="majorHAnsi" w:cs="Arial"/>
          <w:b/>
          <w:lang w:eastAsia="en-US"/>
        </w:rPr>
      </w:pPr>
    </w:p>
    <w:p w14:paraId="1EF6CE11" w14:textId="22E7842C" w:rsidR="00773D17" w:rsidRPr="00773D17" w:rsidRDefault="00BA3119" w:rsidP="00F74DDA">
      <w:pPr>
        <w:jc w:val="center"/>
        <w:rPr>
          <w:rFonts w:asciiTheme="majorHAnsi" w:eastAsiaTheme="majorEastAsia" w:hAnsiTheme="majorHAnsi" w:cs="Arial"/>
          <w:b/>
          <w:color w:val="002060"/>
          <w:lang w:eastAsia="en-US"/>
        </w:rPr>
      </w:pPr>
      <w:r w:rsidRPr="00BA3119">
        <w:rPr>
          <w:rFonts w:asciiTheme="majorHAnsi" w:eastAsiaTheme="majorEastAsia" w:hAnsiTheme="majorHAnsi" w:cs="Arial"/>
          <w:b/>
          <w:caps/>
          <w:color w:val="943634" w:themeColor="accent2" w:themeShade="BF"/>
          <w:spacing w:val="10"/>
          <w:sz w:val="32"/>
          <w:lang w:eastAsia="en-US"/>
        </w:rPr>
        <w:t>Wykonanie zadaszenia nad trybunami Stadionu Miejskiego w Gniewkowie</w:t>
      </w:r>
    </w:p>
    <w:p w14:paraId="79027584" w14:textId="77777777" w:rsidR="006840A4" w:rsidRDefault="006840A4" w:rsidP="00773D17">
      <w:pPr>
        <w:rPr>
          <w:rFonts w:asciiTheme="majorHAnsi" w:eastAsiaTheme="majorEastAsia" w:hAnsiTheme="majorHAnsi" w:cs="Arial"/>
          <w:bCs/>
          <w:lang w:eastAsia="en-US"/>
        </w:rPr>
      </w:pPr>
    </w:p>
    <w:p w14:paraId="6E633393" w14:textId="77777777" w:rsidR="006840A4" w:rsidRDefault="006840A4" w:rsidP="00773D17">
      <w:pPr>
        <w:rPr>
          <w:rFonts w:asciiTheme="majorHAnsi" w:eastAsiaTheme="majorEastAsia" w:hAnsiTheme="majorHAnsi" w:cs="Arial"/>
          <w:bCs/>
          <w:lang w:eastAsia="en-US"/>
        </w:rPr>
      </w:pPr>
    </w:p>
    <w:p w14:paraId="6EBE7A85" w14:textId="77777777" w:rsidR="006840A4" w:rsidRDefault="006840A4" w:rsidP="00773D17">
      <w:pPr>
        <w:rPr>
          <w:rFonts w:asciiTheme="majorHAnsi" w:eastAsiaTheme="majorEastAsia" w:hAnsiTheme="majorHAnsi" w:cs="Arial"/>
          <w:bCs/>
          <w:lang w:eastAsia="en-US"/>
        </w:rPr>
      </w:pPr>
    </w:p>
    <w:p w14:paraId="1C6F44B8" w14:textId="77777777" w:rsidR="006840A4" w:rsidRDefault="006840A4" w:rsidP="00773D17">
      <w:pP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44F69397" w14:textId="77777777" w:rsidR="006840A4" w:rsidRDefault="006840A4" w:rsidP="00412BC8">
      <w:pPr>
        <w:spacing w:line="252" w:lineRule="auto"/>
        <w:jc w:val="center"/>
        <w:rPr>
          <w:rFonts w:asciiTheme="majorHAnsi" w:eastAsiaTheme="majorEastAsia" w:hAnsiTheme="majorHAnsi" w:cs="Arial"/>
          <w:lang w:eastAsia="en-US"/>
        </w:rPr>
      </w:pPr>
    </w:p>
    <w:p w14:paraId="4288EB49" w14:textId="77777777" w:rsidR="006840A4" w:rsidRDefault="006840A4" w:rsidP="00412BC8">
      <w:pPr>
        <w:spacing w:line="252" w:lineRule="auto"/>
        <w:jc w:val="center"/>
        <w:rPr>
          <w:rFonts w:asciiTheme="majorHAnsi" w:eastAsiaTheme="majorEastAsia" w:hAnsiTheme="majorHAnsi" w:cs="Arial"/>
          <w:lang w:eastAsia="en-US"/>
        </w:rPr>
      </w:pPr>
    </w:p>
    <w:p w14:paraId="19B72AC9" w14:textId="77777777" w:rsidR="006840A4" w:rsidRDefault="006840A4" w:rsidP="00412BC8">
      <w:pPr>
        <w:spacing w:line="252" w:lineRule="auto"/>
        <w:jc w:val="center"/>
        <w:rPr>
          <w:rFonts w:asciiTheme="majorHAnsi" w:eastAsiaTheme="majorEastAsia" w:hAnsiTheme="majorHAnsi" w:cs="Arial"/>
          <w:lang w:eastAsia="en-US"/>
        </w:rPr>
      </w:pPr>
    </w:p>
    <w:p w14:paraId="170ACE09" w14:textId="77777777" w:rsidR="006840A4" w:rsidRDefault="006840A4" w:rsidP="00412BC8">
      <w:pPr>
        <w:spacing w:line="252" w:lineRule="auto"/>
        <w:jc w:val="center"/>
        <w:rPr>
          <w:rFonts w:asciiTheme="majorHAnsi" w:eastAsiaTheme="majorEastAsia" w:hAnsiTheme="majorHAnsi" w:cs="Arial"/>
          <w:bCs/>
          <w:lang w:eastAsia="en-US"/>
        </w:rPr>
      </w:pPr>
    </w:p>
    <w:p w14:paraId="4AE94234" w14:textId="68039131" w:rsidR="006840A4" w:rsidRPr="00311DEA" w:rsidRDefault="00BA3119" w:rsidP="00311DE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01.09</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79221F95"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 xml:space="preserve">postępowaniu i zawarcia umowy w sprawie przedmiotowego zamówienia </w:t>
      </w:r>
      <w:r w:rsidRPr="00E50B32">
        <w:rPr>
          <w:rFonts w:asciiTheme="majorHAnsi" w:eastAsiaTheme="majorEastAsia" w:hAnsiTheme="majorHAnsi" w:cstheme="majorBidi"/>
          <w:bCs/>
          <w:color w:val="000000" w:themeColor="text1"/>
          <w:lang w:eastAsia="en-US"/>
        </w:rPr>
        <w:t>publicznego</w:t>
      </w:r>
      <w:r w:rsidR="00E233AD" w:rsidRPr="00E50B32">
        <w:rPr>
          <w:rFonts w:asciiTheme="majorHAnsi" w:eastAsiaTheme="majorEastAsia" w:hAnsiTheme="majorHAnsi" w:cstheme="majorBidi"/>
          <w:bCs/>
          <w:color w:val="000000" w:themeColor="text1"/>
          <w:lang w:eastAsia="en-US"/>
        </w:rPr>
        <w:t>- wzór pełnom</w:t>
      </w:r>
      <w:r w:rsidR="00E50B32" w:rsidRPr="00E50B32">
        <w:rPr>
          <w:rFonts w:asciiTheme="majorHAnsi" w:eastAsiaTheme="majorEastAsia" w:hAnsiTheme="majorHAnsi" w:cstheme="majorBidi"/>
          <w:bCs/>
          <w:color w:val="000000" w:themeColor="text1"/>
          <w:lang w:eastAsia="en-US"/>
        </w:rPr>
        <w:t>ocnictwa stanowi załącznik nr 8</w:t>
      </w:r>
      <w:r w:rsidR="00E233AD" w:rsidRPr="00E50B32">
        <w:rPr>
          <w:rFonts w:asciiTheme="majorHAnsi" w:eastAsiaTheme="majorEastAsia" w:hAnsiTheme="majorHAnsi" w:cstheme="majorBidi"/>
          <w:bCs/>
          <w:color w:val="000000" w:themeColor="text1"/>
          <w:lang w:eastAsia="en-US"/>
        </w:rPr>
        <w:t xml:space="preserve">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2D06D68E" w14:textId="2F683250" w:rsidR="00587F52" w:rsidRPr="00BA3119"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BA3119">
        <w:rPr>
          <w:rFonts w:asciiTheme="majorHAnsi" w:eastAsiaTheme="majorEastAsia" w:hAnsiTheme="majorHAnsi" w:cstheme="majorBidi"/>
          <w:lang w:eastAsia="en-US"/>
        </w:rPr>
        <w:t xml:space="preserve">Dane osobowe </w:t>
      </w:r>
      <w:r w:rsidR="00962CBB" w:rsidRPr="00BA3119">
        <w:rPr>
          <w:rFonts w:asciiTheme="majorHAnsi" w:eastAsiaTheme="majorEastAsia" w:hAnsiTheme="majorHAnsi" w:cstheme="majorBidi"/>
          <w:lang w:eastAsia="en-US"/>
        </w:rPr>
        <w:t>w</w:t>
      </w:r>
      <w:r w:rsidRPr="00BA3119">
        <w:rPr>
          <w:rFonts w:asciiTheme="majorHAnsi" w:eastAsiaTheme="majorEastAsia" w:hAnsiTheme="majorHAnsi" w:cstheme="majorBidi"/>
          <w:lang w:eastAsia="en-US"/>
        </w:rPr>
        <w:t xml:space="preserve">ykonawcy </w:t>
      </w:r>
      <w:r w:rsidR="00962CBB" w:rsidRPr="00BA3119">
        <w:rPr>
          <w:rFonts w:asciiTheme="majorHAnsi" w:eastAsiaTheme="majorEastAsia" w:hAnsiTheme="majorHAnsi" w:cstheme="majorBidi"/>
          <w:lang w:eastAsia="en-US"/>
        </w:rPr>
        <w:t xml:space="preserve">będą </w:t>
      </w:r>
      <w:r w:rsidRPr="00BA3119">
        <w:rPr>
          <w:rFonts w:asciiTheme="majorHAnsi" w:eastAsiaTheme="majorEastAsia" w:hAnsiTheme="majorHAnsi" w:cstheme="majorBidi"/>
          <w:lang w:eastAsia="en-US"/>
        </w:rPr>
        <w:t xml:space="preserve">przetwarzane na podstawie art. 6 ust. 1 lit. c RODO </w:t>
      </w:r>
      <w:r w:rsidRPr="00BA3119">
        <w:rPr>
          <w:rFonts w:asciiTheme="majorHAnsi" w:eastAsiaTheme="majorEastAsia" w:hAnsiTheme="majorHAnsi" w:cstheme="majorBidi"/>
          <w:lang w:eastAsia="en-US"/>
        </w:rPr>
        <w:br/>
        <w:t xml:space="preserve">w celu związanym z przedmiotowym postępowaniem o udzielenie zamówienia publicznego </w:t>
      </w:r>
      <w:proofErr w:type="spellStart"/>
      <w:r w:rsidRPr="00BA3119">
        <w:rPr>
          <w:rFonts w:asciiTheme="majorHAnsi" w:eastAsiaTheme="majorEastAsia" w:hAnsiTheme="majorHAnsi" w:cstheme="majorBidi"/>
          <w:lang w:eastAsia="en-US"/>
        </w:rPr>
        <w:t>pn</w:t>
      </w:r>
      <w:proofErr w:type="spellEnd"/>
      <w:r w:rsidR="00A42474" w:rsidRPr="00BA3119">
        <w:rPr>
          <w:rFonts w:asciiTheme="majorHAnsi" w:eastAsiaTheme="majorEastAsia" w:hAnsiTheme="majorHAnsi" w:cstheme="majorBidi"/>
          <w:b/>
          <w:lang w:eastAsia="en-US"/>
        </w:rPr>
        <w:t xml:space="preserve"> </w:t>
      </w:r>
      <w:r w:rsidR="005B2E91" w:rsidRPr="00BA3119">
        <w:rPr>
          <w:rFonts w:asciiTheme="majorHAnsi" w:eastAsiaTheme="majorEastAsia" w:hAnsiTheme="majorHAnsi" w:cstheme="majorBidi"/>
          <w:b/>
          <w:lang w:eastAsia="en-US"/>
        </w:rPr>
        <w:t>„</w:t>
      </w:r>
      <w:r w:rsidR="00BA3119" w:rsidRPr="00BA3119">
        <w:rPr>
          <w:rFonts w:asciiTheme="majorHAnsi" w:eastAsiaTheme="majorEastAsia" w:hAnsiTheme="majorHAnsi" w:cstheme="majorBidi"/>
          <w:b/>
          <w:lang w:eastAsia="en-US"/>
        </w:rPr>
        <w:t>Wykonanie zadaszenia nad trybunami Stadionu Miejskiego w Gniewkowie</w:t>
      </w:r>
      <w:r w:rsidR="00BA3119">
        <w:rPr>
          <w:rFonts w:asciiTheme="majorHAnsi" w:eastAsiaTheme="majorEastAsia" w:hAnsiTheme="majorHAnsi" w:cstheme="majorBidi"/>
          <w:b/>
          <w:lang w:eastAsia="en-US"/>
        </w:rPr>
        <w:t xml:space="preserve">”. </w:t>
      </w:r>
      <w:r w:rsidRPr="00BA3119">
        <w:rPr>
          <w:rFonts w:asciiTheme="majorHAnsi" w:eastAsiaTheme="majorEastAsia" w:hAnsiTheme="majorHAnsi" w:cstheme="majorBidi"/>
          <w:lang w:eastAsia="en-US"/>
        </w:rPr>
        <w:t xml:space="preserve">Odbiorcami przekazanych przez </w:t>
      </w:r>
      <w:r w:rsidR="00962CBB" w:rsidRPr="00BA3119">
        <w:rPr>
          <w:rFonts w:asciiTheme="majorHAnsi" w:eastAsiaTheme="majorEastAsia" w:hAnsiTheme="majorHAnsi" w:cstheme="majorBidi"/>
          <w:lang w:eastAsia="en-US"/>
        </w:rPr>
        <w:t>w</w:t>
      </w:r>
      <w:r w:rsidRPr="00BA3119">
        <w:rPr>
          <w:rFonts w:asciiTheme="majorHAnsi" w:eastAsiaTheme="majorEastAsia" w:hAnsiTheme="majorHAnsi" w:cstheme="majorBidi"/>
          <w:lang w:eastAsia="en-US"/>
        </w:rPr>
        <w:t xml:space="preserve">ykonawcę danych osobowych będą osoby lub podmioty, którym </w:t>
      </w:r>
      <w:r w:rsidR="00962CBB" w:rsidRPr="00BA3119">
        <w:rPr>
          <w:rFonts w:asciiTheme="majorHAnsi" w:eastAsiaTheme="majorEastAsia" w:hAnsiTheme="majorHAnsi" w:cstheme="majorBidi"/>
          <w:lang w:eastAsia="en-US"/>
        </w:rPr>
        <w:t xml:space="preserve">zostanie </w:t>
      </w:r>
      <w:r w:rsidRPr="00BA3119">
        <w:rPr>
          <w:rFonts w:asciiTheme="majorHAnsi" w:eastAsiaTheme="majorEastAsia" w:hAnsiTheme="majorHAnsi" w:cstheme="majorBidi"/>
          <w:lang w:eastAsia="en-US"/>
        </w:rPr>
        <w:t xml:space="preserve">udostępniona dokumentacja postępowania </w:t>
      </w:r>
      <w:r w:rsidR="00962CBB" w:rsidRPr="00BA3119">
        <w:rPr>
          <w:rFonts w:asciiTheme="majorHAnsi" w:eastAsiaTheme="majorEastAsia" w:hAnsiTheme="majorHAnsi" w:cstheme="majorBidi"/>
          <w:lang w:eastAsia="en-US"/>
        </w:rPr>
        <w:t>zgodnie z</w:t>
      </w:r>
      <w:r w:rsidRPr="00BA3119">
        <w:rPr>
          <w:rFonts w:asciiTheme="majorHAnsi" w:eastAsiaTheme="majorEastAsia" w:hAnsiTheme="majorHAnsi" w:cstheme="majorBidi"/>
          <w:lang w:eastAsia="en-US"/>
        </w:rPr>
        <w:t xml:space="preserve"> art. 8 oraz art. 96 ust. 3 ustawy </w:t>
      </w:r>
      <w:proofErr w:type="spellStart"/>
      <w:r w:rsidRPr="00BA3119">
        <w:rPr>
          <w:rFonts w:asciiTheme="majorHAnsi" w:eastAsiaTheme="majorEastAsia" w:hAnsiTheme="majorHAnsi" w:cstheme="majorBidi"/>
          <w:lang w:eastAsia="en-US"/>
        </w:rPr>
        <w:t>Pzp</w:t>
      </w:r>
      <w:proofErr w:type="spellEnd"/>
      <w:r w:rsidRPr="00BA3119">
        <w:rPr>
          <w:rFonts w:asciiTheme="majorHAnsi" w:eastAsiaTheme="majorEastAsia" w:hAnsiTheme="majorHAnsi" w:cstheme="majorBidi"/>
          <w:lang w:eastAsia="en-US"/>
        </w:rPr>
        <w:t>, a także art. 6 ustawy z 6 września 2001 r</w:t>
      </w:r>
      <w:r w:rsidR="00962CBB" w:rsidRPr="00BA3119">
        <w:rPr>
          <w:rFonts w:asciiTheme="majorHAnsi" w:eastAsiaTheme="majorEastAsia" w:hAnsiTheme="majorHAnsi" w:cstheme="majorBidi"/>
          <w:lang w:eastAsia="en-US"/>
        </w:rPr>
        <w:t xml:space="preserve">. </w:t>
      </w:r>
      <w:r w:rsidRPr="00BA3119">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CBC2C49"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B2E91">
        <w:rPr>
          <w:rFonts w:asciiTheme="majorHAnsi" w:eastAsiaTheme="majorEastAsia" w:hAnsiTheme="majorHAnsi" w:cstheme="majorBidi"/>
          <w:b/>
          <w:color w:val="000000" w:themeColor="text1"/>
          <w:lang w:eastAsia="en-US"/>
        </w:rPr>
        <w:t>w</w:t>
      </w:r>
      <w:r w:rsidR="00814EB5" w:rsidRPr="00680033">
        <w:rPr>
          <w:rFonts w:asciiTheme="majorHAnsi" w:eastAsiaTheme="majorEastAsia" w:hAnsiTheme="majorHAnsi" w:cstheme="majorBidi"/>
          <w:b/>
          <w:color w:val="FF0000"/>
          <w:lang w:eastAsia="en-US"/>
        </w:rPr>
        <w:t xml:space="preserve"> </w:t>
      </w:r>
      <w:r w:rsidR="00814EB5" w:rsidRPr="00E50B32">
        <w:rPr>
          <w:rFonts w:asciiTheme="majorHAnsi" w:eastAsiaTheme="majorEastAsia" w:hAnsiTheme="majorHAnsi" w:cstheme="majorBidi"/>
          <w:b/>
          <w:color w:val="000000" w:themeColor="text1"/>
          <w:lang w:eastAsia="en-US"/>
        </w:rPr>
        <w:t xml:space="preserve">załączniku nr </w:t>
      </w:r>
      <w:r w:rsidR="00E50B32" w:rsidRPr="00E50B32">
        <w:rPr>
          <w:rFonts w:asciiTheme="majorHAnsi" w:eastAsiaTheme="majorEastAsia" w:hAnsiTheme="majorHAnsi" w:cstheme="majorBidi"/>
          <w:b/>
          <w:color w:val="000000" w:themeColor="text1"/>
          <w:lang w:eastAsia="en-US"/>
        </w:rPr>
        <w:t>7</w:t>
      </w:r>
      <w:r w:rsidR="009303A8" w:rsidRPr="00E50B32">
        <w:rPr>
          <w:rFonts w:asciiTheme="majorHAnsi" w:eastAsiaTheme="majorEastAsia" w:hAnsiTheme="majorHAnsi" w:cstheme="majorBidi"/>
          <w:b/>
          <w:color w:val="000000" w:themeColor="text1"/>
          <w:lang w:eastAsia="en-US"/>
        </w:rPr>
        <w:t xml:space="preserve"> do SWZ</w:t>
      </w:r>
      <w:r w:rsidR="00962CBB" w:rsidRPr="00E50B32">
        <w:rPr>
          <w:rFonts w:asciiTheme="majorHAnsi" w:eastAsiaTheme="majorEastAsia" w:hAnsiTheme="majorHAnsi" w:cstheme="majorBidi"/>
          <w:b/>
          <w:color w:val="000000" w:themeColor="text1"/>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w:t>
      </w:r>
      <w:r w:rsidRPr="00773D17">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4C578B66"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680033">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680033">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655A2B23" w14:textId="77777777" w:rsidR="00BA3119" w:rsidRPr="00BA3119" w:rsidRDefault="00AA4F20" w:rsidP="00BA3119">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BA3119" w:rsidRPr="00BA3119">
        <w:rPr>
          <w:rFonts w:asciiTheme="majorHAnsi" w:eastAsiaTheme="majorEastAsia" w:hAnsiTheme="majorHAnsi" w:cstheme="majorBidi"/>
          <w:lang w:eastAsia="en-US"/>
        </w:rPr>
        <w:t xml:space="preserve">Przedmiotem zamówienia są roboty budowlane związane z </w:t>
      </w:r>
      <w:r w:rsidR="00BA3119" w:rsidRPr="00BA3119">
        <w:rPr>
          <w:rFonts w:asciiTheme="majorHAnsi" w:eastAsiaTheme="majorEastAsia" w:hAnsiTheme="majorHAnsi" w:cstheme="majorBidi"/>
          <w:b/>
          <w:lang w:eastAsia="en-US"/>
        </w:rPr>
        <w:t xml:space="preserve">Wykonaniem zadaszenia nad trybunami Stadionu Miejskiego w Gniewkowie. </w:t>
      </w:r>
    </w:p>
    <w:p w14:paraId="4F35DCB8" w14:textId="7F442873" w:rsidR="00BA3119" w:rsidRPr="00BA3119" w:rsidRDefault="00BA3119" w:rsidP="00BA3119">
      <w:pPr>
        <w:spacing w:after="200" w:line="252" w:lineRule="auto"/>
        <w:ind w:left="360"/>
        <w:contextualSpacing/>
        <w:jc w:val="both"/>
        <w:rPr>
          <w:rFonts w:asciiTheme="majorHAnsi" w:eastAsiaTheme="majorEastAsia" w:hAnsiTheme="majorHAnsi" w:cstheme="majorBidi"/>
          <w:lang w:eastAsia="en-US"/>
        </w:rPr>
      </w:pPr>
      <w:r w:rsidRPr="00BA3119">
        <w:rPr>
          <w:rFonts w:asciiTheme="majorHAnsi" w:eastAsiaTheme="majorEastAsia" w:hAnsiTheme="majorHAnsi" w:cstheme="majorBidi"/>
          <w:lang w:eastAsia="en-US"/>
        </w:rPr>
        <w:t>Zadaszenie –</w:t>
      </w:r>
      <w:r>
        <w:rPr>
          <w:rFonts w:asciiTheme="majorHAnsi" w:eastAsiaTheme="majorEastAsia" w:hAnsiTheme="majorHAnsi" w:cstheme="majorBidi"/>
          <w:lang w:eastAsia="en-US"/>
        </w:rPr>
        <w:t xml:space="preserve"> </w:t>
      </w:r>
      <w:r w:rsidRPr="00BA3119">
        <w:rPr>
          <w:rFonts w:asciiTheme="majorHAnsi" w:eastAsiaTheme="majorEastAsia" w:hAnsiTheme="majorHAnsi" w:cstheme="majorBidi"/>
          <w:lang w:eastAsia="en-US"/>
        </w:rPr>
        <w:t>projekt zakłada wykonanie więźby dachowej w konstrukcji stalowej. Przykrycie dachu blachą trapezową. Więźba dachowa opiera się na słupach stalowych.</w:t>
      </w:r>
    </w:p>
    <w:p w14:paraId="3A654D53" w14:textId="3B88CD10" w:rsidR="00AA4F20" w:rsidRPr="00BA3119" w:rsidRDefault="00BA3119" w:rsidP="00BA3119">
      <w:pPr>
        <w:spacing w:after="200" w:line="252" w:lineRule="auto"/>
        <w:ind w:left="360"/>
        <w:contextualSpacing/>
        <w:jc w:val="both"/>
        <w:rPr>
          <w:rFonts w:asciiTheme="majorHAnsi" w:eastAsiaTheme="majorEastAsia" w:hAnsiTheme="majorHAnsi" w:cstheme="majorBidi"/>
          <w:lang w:eastAsia="en-US"/>
        </w:rPr>
      </w:pPr>
      <w:r w:rsidRPr="00BA3119">
        <w:rPr>
          <w:rFonts w:asciiTheme="majorHAnsi" w:eastAsiaTheme="majorEastAsia" w:hAnsiTheme="majorHAnsi" w:cstheme="majorBidi"/>
          <w:u w:val="single"/>
          <w:lang w:eastAsia="en-US"/>
        </w:rPr>
        <w:t xml:space="preserve">Postępowanie dotyczy budowy zadaszenia na </w:t>
      </w:r>
      <w:r w:rsidRPr="00BA3119">
        <w:rPr>
          <w:rFonts w:asciiTheme="majorHAnsi" w:eastAsiaTheme="majorEastAsia" w:hAnsiTheme="majorHAnsi" w:cstheme="majorBidi"/>
          <w:b/>
          <w:u w:val="single"/>
          <w:lang w:eastAsia="en-US"/>
        </w:rPr>
        <w:t>istniejących słupach stalowych.</w:t>
      </w:r>
      <w:r w:rsidRPr="00BA3119">
        <w:rPr>
          <w:rFonts w:asciiTheme="majorHAnsi" w:eastAsiaTheme="majorEastAsia" w:hAnsiTheme="majorHAnsi" w:cstheme="majorBidi"/>
          <w:u w:val="single"/>
          <w:lang w:eastAsia="en-US"/>
        </w:rPr>
        <w:t xml:space="preserve"> </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1F5AA0AD" w14:textId="77777777" w:rsidR="00BA3119" w:rsidRPr="00BA3119" w:rsidRDefault="00BA3119" w:rsidP="00BA3119">
      <w:pPr>
        <w:spacing w:after="200" w:line="252" w:lineRule="auto"/>
        <w:ind w:left="360"/>
        <w:contextualSpacing/>
        <w:jc w:val="both"/>
        <w:rPr>
          <w:rFonts w:asciiTheme="majorHAnsi" w:eastAsiaTheme="majorEastAsia" w:hAnsiTheme="majorHAnsi" w:cstheme="majorBidi"/>
          <w:lang w:eastAsia="en-US"/>
        </w:rPr>
      </w:pPr>
      <w:r w:rsidRPr="00BA3119">
        <w:rPr>
          <w:rFonts w:asciiTheme="majorHAnsi" w:eastAsiaTheme="majorEastAsia" w:hAnsiTheme="majorHAnsi" w:cstheme="majorBidi"/>
          <w:lang w:eastAsia="en-US"/>
        </w:rPr>
        <w:t>45000000-7-  Roboty Budowlane</w:t>
      </w:r>
    </w:p>
    <w:p w14:paraId="72D2D6E0" w14:textId="77777777" w:rsidR="00BA3119" w:rsidRPr="00BA3119" w:rsidRDefault="00BA3119" w:rsidP="00BA3119">
      <w:pPr>
        <w:spacing w:after="200" w:line="252" w:lineRule="auto"/>
        <w:ind w:left="360"/>
        <w:contextualSpacing/>
        <w:jc w:val="both"/>
        <w:rPr>
          <w:rFonts w:asciiTheme="majorHAnsi" w:eastAsiaTheme="majorEastAsia" w:hAnsiTheme="majorHAnsi" w:cstheme="majorBidi"/>
          <w:lang w:eastAsia="en-US"/>
        </w:rPr>
      </w:pPr>
      <w:r w:rsidRPr="00BA3119">
        <w:rPr>
          <w:rFonts w:asciiTheme="majorHAnsi" w:eastAsiaTheme="majorEastAsia" w:hAnsiTheme="majorHAnsi" w:cstheme="majorBidi"/>
          <w:lang w:eastAsia="en-US"/>
        </w:rPr>
        <w:t>45262400-5- Konstrukcje stalowe</w:t>
      </w:r>
    </w:p>
    <w:p w14:paraId="1D8A3AE6" w14:textId="77777777" w:rsidR="00BA3119" w:rsidRPr="00BA3119" w:rsidRDefault="00BA3119" w:rsidP="00BA3119">
      <w:pPr>
        <w:spacing w:after="200" w:line="252" w:lineRule="auto"/>
        <w:ind w:left="360"/>
        <w:contextualSpacing/>
        <w:jc w:val="both"/>
        <w:rPr>
          <w:rFonts w:asciiTheme="majorHAnsi" w:eastAsiaTheme="majorEastAsia" w:hAnsiTheme="majorHAnsi" w:cstheme="majorBidi"/>
          <w:lang w:eastAsia="en-US"/>
        </w:rPr>
      </w:pPr>
      <w:r w:rsidRPr="00BA3119">
        <w:rPr>
          <w:rFonts w:asciiTheme="majorHAnsi" w:eastAsiaTheme="majorEastAsia" w:hAnsiTheme="majorHAnsi" w:cstheme="majorBidi"/>
          <w:lang w:eastAsia="en-US"/>
        </w:rPr>
        <w:t>45261320-3- Obróbki blacharskie</w:t>
      </w:r>
    </w:p>
    <w:p w14:paraId="32526E48" w14:textId="5B025634" w:rsidR="00BA3119" w:rsidRPr="00BA3119" w:rsidRDefault="00BA3119" w:rsidP="00BA3119">
      <w:pPr>
        <w:spacing w:after="200" w:line="252" w:lineRule="auto"/>
        <w:ind w:left="360"/>
        <w:contextualSpacing/>
        <w:jc w:val="both"/>
        <w:rPr>
          <w:rFonts w:asciiTheme="majorHAnsi" w:eastAsiaTheme="majorEastAsia" w:hAnsiTheme="majorHAnsi" w:cstheme="majorBidi"/>
          <w:lang w:eastAsia="en-US"/>
        </w:rPr>
      </w:pPr>
      <w:r w:rsidRPr="00BA3119">
        <w:rPr>
          <w:rFonts w:asciiTheme="majorHAnsi" w:eastAsiaTheme="majorEastAsia" w:hAnsiTheme="majorHAnsi" w:cstheme="majorBidi"/>
          <w:lang w:eastAsia="en-US"/>
        </w:rPr>
        <w:t>45262100-2- Rusztowania</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1D74D22B" w:rsidR="00AA4F20" w:rsidRPr="00E50B32" w:rsidRDefault="00024F0C" w:rsidP="000521B3">
      <w:pPr>
        <w:numPr>
          <w:ilvl w:val="0"/>
          <w:numId w:val="4"/>
        </w:numPr>
        <w:spacing w:after="200" w:line="252" w:lineRule="auto"/>
        <w:contextualSpacing/>
        <w:jc w:val="both"/>
        <w:rPr>
          <w:rFonts w:asciiTheme="majorHAnsi" w:eastAsiaTheme="majorEastAsia" w:hAnsiTheme="majorHAnsi" w:cstheme="majorBidi"/>
          <w:bCs/>
          <w:color w:val="000000" w:themeColor="text1"/>
          <w:lang w:eastAsia="en-US"/>
        </w:rPr>
      </w:pPr>
      <w:r>
        <w:rPr>
          <w:rFonts w:asciiTheme="majorHAnsi" w:eastAsiaTheme="majorEastAsia" w:hAnsiTheme="majorHAnsi" w:cstheme="majorBidi"/>
          <w:color w:val="000000" w:themeColor="text1"/>
          <w:lang w:eastAsia="en-US"/>
        </w:rPr>
        <w:t>dokumentacja projektowa- załączniki nr 10- 12</w:t>
      </w:r>
      <w:r w:rsidR="00A41C9B">
        <w:rPr>
          <w:rFonts w:asciiTheme="majorHAnsi" w:eastAsiaTheme="majorEastAsia" w:hAnsiTheme="majorHAnsi" w:cstheme="majorBidi"/>
          <w:color w:val="000000" w:themeColor="text1"/>
          <w:lang w:eastAsia="en-US"/>
        </w:rPr>
        <w:t xml:space="preserve"> do SWZ; </w:t>
      </w:r>
    </w:p>
    <w:p w14:paraId="0720C4B8" w14:textId="2E80A814" w:rsidR="00AA4F20" w:rsidRPr="00E50B32" w:rsidRDefault="00AB0388" w:rsidP="006374A7">
      <w:pPr>
        <w:numPr>
          <w:ilvl w:val="0"/>
          <w:numId w:val="4"/>
        </w:numPr>
        <w:spacing w:after="200" w:line="252" w:lineRule="auto"/>
        <w:contextualSpacing/>
        <w:jc w:val="both"/>
        <w:rPr>
          <w:rFonts w:asciiTheme="majorHAnsi" w:eastAsiaTheme="majorEastAsia" w:hAnsiTheme="majorHAnsi" w:cstheme="majorBidi"/>
          <w:color w:val="000000" w:themeColor="text1"/>
          <w:lang w:eastAsia="en-US"/>
        </w:rPr>
      </w:pPr>
      <w:r w:rsidRPr="00E50B32">
        <w:rPr>
          <w:rFonts w:asciiTheme="majorHAnsi" w:eastAsiaTheme="majorEastAsia" w:hAnsiTheme="majorHAnsi" w:cstheme="majorBidi"/>
          <w:color w:val="000000" w:themeColor="text1"/>
          <w:lang w:eastAsia="en-US"/>
        </w:rPr>
        <w:t>wzór</w:t>
      </w:r>
      <w:r w:rsidR="00A87478" w:rsidRPr="00E50B32">
        <w:rPr>
          <w:rFonts w:asciiTheme="majorHAnsi" w:eastAsiaTheme="majorEastAsia" w:hAnsiTheme="majorHAnsi" w:cstheme="majorBidi"/>
          <w:color w:val="000000" w:themeColor="text1"/>
          <w:lang w:eastAsia="en-US"/>
        </w:rPr>
        <w:t xml:space="preserve"> umowy</w:t>
      </w:r>
      <w:r w:rsidR="007515D3" w:rsidRPr="00E50B32">
        <w:rPr>
          <w:rFonts w:asciiTheme="majorHAnsi" w:eastAsiaTheme="majorEastAsia" w:hAnsiTheme="majorHAnsi" w:cstheme="majorBidi"/>
          <w:color w:val="000000" w:themeColor="text1"/>
          <w:lang w:eastAsia="en-US"/>
        </w:rPr>
        <w:t xml:space="preserve"> –</w:t>
      </w:r>
      <w:r w:rsidR="001C6A9E" w:rsidRPr="00E50B32">
        <w:rPr>
          <w:rFonts w:asciiTheme="majorHAnsi" w:eastAsiaTheme="majorEastAsia" w:hAnsiTheme="majorHAnsi" w:cstheme="majorBidi"/>
          <w:color w:val="000000" w:themeColor="text1"/>
          <w:lang w:eastAsia="en-US"/>
        </w:rPr>
        <w:t xml:space="preserve"> </w:t>
      </w:r>
      <w:r w:rsidR="007515D3" w:rsidRPr="00E50B32">
        <w:rPr>
          <w:rFonts w:asciiTheme="majorHAnsi" w:eastAsiaTheme="majorEastAsia" w:hAnsiTheme="majorHAnsi" w:cstheme="majorBidi"/>
          <w:color w:val="000000" w:themeColor="text1"/>
          <w:lang w:eastAsia="en-US"/>
        </w:rPr>
        <w:t>załącznik nr</w:t>
      </w:r>
      <w:r w:rsidRPr="00E50B32">
        <w:rPr>
          <w:rFonts w:asciiTheme="majorHAnsi" w:eastAsiaTheme="majorEastAsia" w:hAnsiTheme="majorHAnsi" w:cstheme="majorBidi"/>
          <w:color w:val="000000" w:themeColor="text1"/>
          <w:lang w:eastAsia="en-US"/>
        </w:rPr>
        <w:t xml:space="preserve"> </w:t>
      </w:r>
      <w:r w:rsidR="00E50B32" w:rsidRPr="00E50B32">
        <w:rPr>
          <w:rFonts w:asciiTheme="majorHAnsi" w:eastAsiaTheme="majorEastAsia" w:hAnsiTheme="majorHAnsi" w:cstheme="majorBidi"/>
          <w:color w:val="000000" w:themeColor="text1"/>
          <w:lang w:eastAsia="en-US"/>
        </w:rPr>
        <w:t>9</w:t>
      </w:r>
      <w:r w:rsidR="00AA4F20" w:rsidRPr="00E50B32">
        <w:rPr>
          <w:rFonts w:asciiTheme="majorHAnsi" w:eastAsiaTheme="majorEastAsia" w:hAnsiTheme="majorHAnsi" w:cstheme="majorBidi"/>
          <w:color w:val="000000" w:themeColor="text1"/>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1D80ECCF"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76098A2D"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6706DD67"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0D689868" w14:textId="60988DBB" w:rsidR="00024F0C" w:rsidRPr="00024F0C" w:rsidRDefault="00024F0C" w:rsidP="00024F0C">
      <w:pPr>
        <w:numPr>
          <w:ilvl w:val="0"/>
          <w:numId w:val="39"/>
        </w:numPr>
        <w:ind w:left="709" w:hanging="283"/>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lastRenderedPageBreak/>
        <w:t>Utrzymywania terenu budowy w stanie wolny</w:t>
      </w:r>
      <w:r>
        <w:rPr>
          <w:rFonts w:asciiTheme="majorHAnsi" w:eastAsiaTheme="majorEastAsia" w:hAnsiTheme="majorHAnsi" w:cstheme="majorBidi"/>
          <w:lang w:eastAsia="en-US"/>
        </w:rPr>
        <w:t xml:space="preserve">m od przeszkód komunikacyjnych </w:t>
      </w:r>
      <w:r w:rsidRPr="00024F0C">
        <w:rPr>
          <w:rFonts w:asciiTheme="majorHAnsi" w:eastAsiaTheme="majorEastAsia" w:hAnsiTheme="majorHAnsi" w:cstheme="majorBidi"/>
          <w:lang w:eastAsia="en-US"/>
        </w:rPr>
        <w:t>oraz usuwania na bieżąco zbędnych materiałów, odpadów i śmieci,</w:t>
      </w:r>
    </w:p>
    <w:p w14:paraId="00AB750C" w14:textId="34DD9706" w:rsidR="00024F0C" w:rsidRPr="00024F0C" w:rsidRDefault="00024F0C" w:rsidP="00024F0C">
      <w:pPr>
        <w:numPr>
          <w:ilvl w:val="0"/>
          <w:numId w:val="39"/>
        </w:numPr>
        <w:ind w:left="709" w:hanging="283"/>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Umożliwiania wstępu na teren budowy prac</w:t>
      </w:r>
      <w:r>
        <w:rPr>
          <w:rFonts w:asciiTheme="majorHAnsi" w:eastAsiaTheme="majorEastAsia" w:hAnsiTheme="majorHAnsi" w:cstheme="majorBidi"/>
          <w:lang w:eastAsia="en-US"/>
        </w:rPr>
        <w:t xml:space="preserve">ownikom jednostek sprawujących </w:t>
      </w:r>
      <w:r w:rsidRPr="00024F0C">
        <w:rPr>
          <w:rFonts w:asciiTheme="majorHAnsi" w:eastAsiaTheme="majorEastAsia" w:hAnsiTheme="majorHAnsi" w:cstheme="majorBidi"/>
          <w:lang w:eastAsia="en-US"/>
        </w:rPr>
        <w:t>funkcje kontrolne oraz upoważnionym pracownikom Zamawiającego.</w:t>
      </w:r>
    </w:p>
    <w:p w14:paraId="4CB607BA"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przed podpisaniem umowy. </w:t>
      </w:r>
    </w:p>
    <w:p w14:paraId="7E535784"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zamówienia oraz obiekt będzie spełniał wymagania projektowe.</w:t>
      </w:r>
    </w:p>
    <w:p w14:paraId="5E514C4D"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6FE90ECB"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AE9865E"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4BD4B178"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39A922F5"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28AEED18"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59CA6E42"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45F4D130"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C09F7E7"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(Dz.U.2020 poz. 797 ze zm.).</w:t>
      </w:r>
    </w:p>
    <w:p w14:paraId="05782E1E"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 kosztach ogólnych należy uwzględnić ewentualne wystąpienie kosztów takich jak:</w:t>
      </w:r>
    </w:p>
    <w:p w14:paraId="6E8DD62A" w14:textId="77777777" w:rsidR="00024F0C" w:rsidRPr="00024F0C" w:rsidRDefault="00024F0C" w:rsidP="0009436F">
      <w:pPr>
        <w:numPr>
          <w:ilvl w:val="0"/>
          <w:numId w:val="40"/>
        </w:numPr>
        <w:ind w:firstLine="66"/>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 xml:space="preserve">uregulowanie opłat i kosztów dozoru budowy i odbioru elementów przedmiotu </w:t>
      </w:r>
      <w:r w:rsidRPr="00024F0C">
        <w:rPr>
          <w:rFonts w:asciiTheme="majorHAnsi" w:eastAsiaTheme="majorEastAsia" w:hAnsiTheme="majorHAnsi" w:cstheme="majorBidi"/>
          <w:lang w:eastAsia="en-US"/>
        </w:rPr>
        <w:tab/>
        <w:t>zamówienia,</w:t>
      </w:r>
    </w:p>
    <w:p w14:paraId="525DFBF9" w14:textId="77777777" w:rsidR="00024F0C" w:rsidRPr="00024F0C" w:rsidRDefault="00024F0C" w:rsidP="0009436F">
      <w:pPr>
        <w:numPr>
          <w:ilvl w:val="0"/>
          <w:numId w:val="40"/>
        </w:numPr>
        <w:ind w:firstLine="66"/>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koszty wykorzystanie mediów,</w:t>
      </w:r>
    </w:p>
    <w:p w14:paraId="7A985CE4" w14:textId="77777777" w:rsidR="00024F0C" w:rsidRPr="00024F0C" w:rsidRDefault="00024F0C" w:rsidP="0009436F">
      <w:pPr>
        <w:numPr>
          <w:ilvl w:val="0"/>
          <w:numId w:val="40"/>
        </w:numPr>
        <w:ind w:firstLine="66"/>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koszty zabezpieczenia wykonywania robót,</w:t>
      </w:r>
    </w:p>
    <w:p w14:paraId="42308413" w14:textId="77777777" w:rsidR="00024F0C" w:rsidRPr="00024F0C" w:rsidRDefault="00024F0C" w:rsidP="0009436F">
      <w:pPr>
        <w:numPr>
          <w:ilvl w:val="0"/>
          <w:numId w:val="40"/>
        </w:numPr>
        <w:ind w:firstLine="66"/>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 xml:space="preserve">poniesienie kosztów odszkodowań za szkody wyrządzone podczas prowadzenia </w:t>
      </w:r>
      <w:r w:rsidRPr="00024F0C">
        <w:rPr>
          <w:rFonts w:asciiTheme="majorHAnsi" w:eastAsiaTheme="majorEastAsia" w:hAnsiTheme="majorHAnsi" w:cstheme="majorBidi"/>
          <w:lang w:eastAsia="en-US"/>
        </w:rPr>
        <w:tab/>
        <w:t>robót budowlanych.</w:t>
      </w:r>
    </w:p>
    <w:p w14:paraId="5A47A072" w14:textId="77777777" w:rsidR="00024F0C" w:rsidRPr="00024F0C" w:rsidRDefault="00024F0C" w:rsidP="00024F0C">
      <w:pPr>
        <w:numPr>
          <w:ilvl w:val="0"/>
          <w:numId w:val="10"/>
        </w:numPr>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lastRenderedPageBreak/>
        <w:t xml:space="preserve"> Prace w rejonie kolizji i zbliżeń do sieci należy prowadzić pod nadzorem pracownika- Gestora sieci (jeżeli wystąpi)</w:t>
      </w:r>
    </w:p>
    <w:p w14:paraId="08E32390" w14:textId="77777777" w:rsidR="00024F0C" w:rsidRPr="00024F0C" w:rsidRDefault="00024F0C" w:rsidP="00024F0C">
      <w:pPr>
        <w:numPr>
          <w:ilvl w:val="0"/>
          <w:numId w:val="10"/>
        </w:numPr>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CD7FF3E" w14:textId="77777777" w:rsidR="00024F0C" w:rsidRPr="00024F0C" w:rsidRDefault="00024F0C" w:rsidP="00024F0C">
      <w:pPr>
        <w:numPr>
          <w:ilvl w:val="0"/>
          <w:numId w:val="10"/>
        </w:numPr>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Teren wykonywania robót musi być odpowiednio oznakowany i zabezpieczony przed dostępem osób trzecich.</w:t>
      </w:r>
    </w:p>
    <w:p w14:paraId="55679C47" w14:textId="77777777" w:rsidR="00024F0C" w:rsidRPr="00024F0C" w:rsidRDefault="00024F0C" w:rsidP="00024F0C">
      <w:pPr>
        <w:numPr>
          <w:ilvl w:val="0"/>
          <w:numId w:val="10"/>
        </w:numPr>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02E336D3"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61BAE6C3"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5A33A3D4"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A20D675" w14:textId="77777777" w:rsidR="00024F0C" w:rsidRPr="00024F0C" w:rsidRDefault="00024F0C" w:rsidP="00024F0C">
      <w:pPr>
        <w:numPr>
          <w:ilvl w:val="0"/>
          <w:numId w:val="10"/>
        </w:numPr>
        <w:jc w:val="both"/>
        <w:rPr>
          <w:rFonts w:asciiTheme="majorHAnsi" w:eastAsiaTheme="majorEastAsia" w:hAnsiTheme="majorHAnsi" w:cstheme="majorBidi"/>
          <w:lang w:eastAsia="en-US"/>
        </w:rPr>
      </w:pPr>
      <w:r w:rsidRPr="00024F0C">
        <w:rPr>
          <w:rFonts w:asciiTheme="majorHAnsi" w:eastAsiaTheme="majorEastAsia" w:hAnsiTheme="majorHAnsi" w:cstheme="majorBidi"/>
          <w:lang w:eastAsia="en-US"/>
        </w:rPr>
        <w:t xml:space="preserve">Zamawiający </w:t>
      </w:r>
      <w:r w:rsidRPr="00024F0C">
        <w:rPr>
          <w:rFonts w:asciiTheme="majorHAnsi" w:eastAsiaTheme="majorEastAsia" w:hAnsiTheme="majorHAnsi" w:cstheme="majorBidi"/>
          <w:b/>
          <w:lang w:eastAsia="en-US"/>
        </w:rPr>
        <w:t xml:space="preserve">wymaga przed podpisaniem umowy, </w:t>
      </w:r>
      <w:r w:rsidRPr="00024F0C">
        <w:rPr>
          <w:rFonts w:asciiTheme="majorHAnsi" w:eastAsiaTheme="majorEastAsia" w:hAnsiTheme="majorHAnsi" w:cstheme="majorBidi"/>
          <w:lang w:eastAsia="en-US"/>
        </w:rPr>
        <w:t>złożenia (w celach informacyjnych) kosztorysu obrazującego sposób obliczania ceny.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28D00333" w14:textId="77777777"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b/>
          <w:lang w:eastAsia="en-US"/>
        </w:rPr>
        <w:t xml:space="preserve"> Zamawiający udostępnia przedmiary robót tylko jako materiał pomocniczy, wyjściowy.</w:t>
      </w:r>
    </w:p>
    <w:p w14:paraId="4F1773F3" w14:textId="2DB46F46" w:rsidR="00024F0C" w:rsidRPr="00024F0C" w:rsidRDefault="00024F0C" w:rsidP="00024F0C">
      <w:pPr>
        <w:numPr>
          <w:ilvl w:val="0"/>
          <w:numId w:val="10"/>
        </w:numPr>
        <w:jc w:val="both"/>
        <w:rPr>
          <w:rFonts w:asciiTheme="majorHAnsi" w:eastAsiaTheme="majorEastAsia" w:hAnsiTheme="majorHAnsi" w:cstheme="majorBidi"/>
          <w:b/>
          <w:lang w:eastAsia="en-US"/>
        </w:rPr>
      </w:pPr>
      <w:r w:rsidRPr="00024F0C">
        <w:rPr>
          <w:rFonts w:asciiTheme="majorHAnsi" w:eastAsiaTheme="majorEastAsia" w:hAnsiTheme="majorHAnsi" w:cstheme="majorBidi"/>
          <w:b/>
          <w:lang w:eastAsia="en-US"/>
        </w:rPr>
        <w:t xml:space="preserve">Gwarancja i rękojmia- </w:t>
      </w:r>
      <w:r w:rsidRPr="00024F0C">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024F0C">
        <w:rPr>
          <w:rFonts w:asciiTheme="majorHAnsi" w:eastAsiaTheme="majorEastAsia" w:hAnsiTheme="majorHAnsi" w:cstheme="majorBidi"/>
          <w:b/>
          <w:lang w:eastAsia="en-US"/>
        </w:rPr>
        <w:t xml:space="preserve"> </w:t>
      </w:r>
      <w:r w:rsidRPr="00024F0C">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09436F">
        <w:rPr>
          <w:rFonts w:asciiTheme="majorHAnsi" w:eastAsiaTheme="majorEastAsia" w:hAnsiTheme="majorHAnsi" w:cstheme="majorBidi"/>
          <w:lang w:eastAsia="en-US"/>
        </w:rPr>
        <w:t>6</w:t>
      </w:r>
      <w:r w:rsidRPr="00024F0C">
        <w:rPr>
          <w:rFonts w:asciiTheme="majorHAnsi" w:eastAsiaTheme="majorEastAsia" w:hAnsiTheme="majorHAnsi" w:cstheme="majorBidi"/>
          <w:lang w:eastAsia="en-US"/>
        </w:rPr>
        <w:t xml:space="preserve"> do SWZ.</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391DD743" w14:textId="77777777" w:rsidR="009E04CF" w:rsidRPr="009E04CF" w:rsidRDefault="009E04CF" w:rsidP="009E04CF">
      <w:pPr>
        <w:jc w:val="both"/>
        <w:rPr>
          <w:rFonts w:asciiTheme="majorHAnsi" w:eastAsiaTheme="majorEastAsia" w:hAnsiTheme="majorHAnsi" w:cstheme="majorBidi"/>
          <w:b/>
          <w:lang w:eastAsia="en-US"/>
        </w:rPr>
      </w:pPr>
      <w:r w:rsidRPr="009E04CF">
        <w:rPr>
          <w:rFonts w:asciiTheme="majorHAnsi" w:eastAsiaTheme="majorEastAsia" w:hAnsiTheme="majorHAnsi" w:cstheme="majorBidi"/>
          <w:lang w:eastAsia="en-US"/>
        </w:rPr>
        <w:lastRenderedPageBreak/>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użytkowych założonych w dokumentacji technicznej dla danego typu rozwiązań, nie są zobowiązujące i należy je traktować, jako propozycje projektanta. Nie są one wiążące przyszłego Wykonawcę do ich stosowania.</w:t>
      </w:r>
    </w:p>
    <w:p w14:paraId="48D80938" w14:textId="77777777" w:rsidR="009E04CF" w:rsidRPr="009E04CF" w:rsidRDefault="009E04CF" w:rsidP="009E04CF">
      <w:p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Wykonawca może zastosować materiały, wyposażenie czy urządzenia równoważne o parametrach techniczno- użytkowych odpowiadających co najmniej parametrom materiałów i urządzeń zaproponowanych w dokumentacji projektowej.</w:t>
      </w:r>
    </w:p>
    <w:p w14:paraId="22E6880E" w14:textId="77777777" w:rsidR="009E04CF" w:rsidRPr="009E04CF" w:rsidRDefault="009E04CF" w:rsidP="009E04CF">
      <w:p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W sytuacji, gdy Zamawiający opisał przedmiot zamówienia przez wskazanie znaków towarowych, patentów lub pochodzenia, źródła lub szczególnego procesu, który charakteryzuje produktu lub usługi dostarczane przez konkretnego Wykonawcę, to należy rozumieć, i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w:t>
      </w:r>
    </w:p>
    <w:p w14:paraId="00FE4B58" w14:textId="77777777" w:rsidR="009E04CF" w:rsidRPr="009E04CF" w:rsidRDefault="009E04CF" w:rsidP="009E04CF">
      <w:p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wymagać parametrów jakościowych Zamawiający rozumie wymagania towarów zawarte w ogólnie dostępnych źródłach, katalogach, stronach internetowych producentów.</w:t>
      </w:r>
    </w:p>
    <w:p w14:paraId="369D22AC" w14:textId="77777777" w:rsidR="009E04CF" w:rsidRPr="009E04CF" w:rsidRDefault="009E04CF" w:rsidP="009E04CF">
      <w:p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Wykonawca ma obowiązek posiadać w stosunku do materiałów równoważnych dokumenty potwierdzające pozwolenie na zastosowanie/ wbudowanie aprobaty techniczne.</w:t>
      </w:r>
    </w:p>
    <w:p w14:paraId="4547E0B3" w14:textId="77777777" w:rsidR="009E04CF" w:rsidRPr="009E04CF" w:rsidRDefault="009E04CF" w:rsidP="009E04CF">
      <w:p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Dopuszcza się równoważne materiały pod warunkiem, że:</w:t>
      </w:r>
    </w:p>
    <w:p w14:paraId="71840B84" w14:textId="77777777" w:rsidR="009E04CF" w:rsidRPr="009E04CF" w:rsidRDefault="009E04CF" w:rsidP="009E04CF">
      <w:pPr>
        <w:numPr>
          <w:ilvl w:val="0"/>
          <w:numId w:val="41"/>
        </w:num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 xml:space="preserve">zagwarantują one realizację zamówienia zgodnie z założeniami jakościowymi, </w:t>
      </w:r>
      <w:r w:rsidRPr="009E04CF">
        <w:rPr>
          <w:rFonts w:asciiTheme="majorHAnsi" w:eastAsiaTheme="majorEastAsia" w:hAnsiTheme="majorHAnsi" w:cstheme="majorBidi"/>
          <w:lang w:eastAsia="en-US"/>
        </w:rPr>
        <w:tab/>
        <w:t>technologicznymi i eksploatacyjnymi zawartymi w dokumentacji projektowej,</w:t>
      </w:r>
    </w:p>
    <w:p w14:paraId="71BAB4A5" w14:textId="77777777" w:rsidR="009E04CF" w:rsidRPr="009E04CF" w:rsidRDefault="009E04CF" w:rsidP="009E04CF">
      <w:pPr>
        <w:numPr>
          <w:ilvl w:val="0"/>
          <w:numId w:val="41"/>
        </w:num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 xml:space="preserve">zapewnią uzyskanie parametrów technicznych, technologicznych i jakościowych, </w:t>
      </w:r>
      <w:r w:rsidRPr="009E04CF">
        <w:rPr>
          <w:rFonts w:asciiTheme="majorHAnsi" w:eastAsiaTheme="majorEastAsia" w:hAnsiTheme="majorHAnsi" w:cstheme="majorBidi"/>
          <w:lang w:eastAsia="en-US"/>
        </w:rPr>
        <w:tab/>
        <w:t>co najmniej równych parametrom założonym w dokumentacji projektowej.</w:t>
      </w:r>
    </w:p>
    <w:p w14:paraId="22B11B26" w14:textId="77777777" w:rsidR="009E04CF" w:rsidRPr="009E04CF" w:rsidRDefault="009E04CF" w:rsidP="009E04CF">
      <w:pPr>
        <w:jc w:val="both"/>
        <w:rPr>
          <w:rFonts w:asciiTheme="majorHAnsi" w:eastAsiaTheme="majorEastAsia" w:hAnsiTheme="majorHAnsi" w:cstheme="majorBidi"/>
          <w:lang w:eastAsia="en-US"/>
        </w:rPr>
      </w:pPr>
    </w:p>
    <w:p w14:paraId="7F6B485C" w14:textId="77777777" w:rsidR="009E04CF" w:rsidRPr="009E04CF" w:rsidRDefault="009E04CF" w:rsidP="009E04CF">
      <w:pPr>
        <w:jc w:val="both"/>
        <w:rPr>
          <w:rFonts w:asciiTheme="majorHAnsi" w:eastAsiaTheme="majorEastAsia" w:hAnsiTheme="majorHAnsi" w:cstheme="majorBidi"/>
          <w:lang w:eastAsia="en-US"/>
        </w:rPr>
      </w:pPr>
      <w:r w:rsidRPr="009E04CF">
        <w:rPr>
          <w:rFonts w:asciiTheme="majorHAnsi" w:eastAsiaTheme="majorEastAsia" w:hAnsiTheme="majorHAnsi" w:cstheme="majorBidi"/>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59E97569" w:rsidR="002B582F" w:rsidRPr="0088409C" w:rsidRDefault="002B582F" w:rsidP="0088409C">
      <w:pPr>
        <w:pStyle w:val="Akapitzlist"/>
        <w:numPr>
          <w:ilvl w:val="0"/>
          <w:numId w:val="36"/>
        </w:numPr>
        <w:ind w:left="284" w:hanging="284"/>
        <w:jc w:val="both"/>
        <w:rPr>
          <w:rFonts w:asciiTheme="majorHAnsi" w:hAnsiTheme="majorHAnsi"/>
        </w:rPr>
      </w:pPr>
      <w:r w:rsidRPr="00F91DA5">
        <w:rPr>
          <w:rFonts w:asciiTheme="majorHAnsi" w:hAnsiTheme="majorHAnsi"/>
        </w:rPr>
        <w:lastRenderedPageBreak/>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88409C" w:rsidRPr="0088409C">
        <w:rPr>
          <w:rFonts w:asciiTheme="majorHAnsi" w:hAnsiTheme="majorHAnsi"/>
        </w:rPr>
        <w:t>osób wykonujących prace fizyczne związane z robotami budowlanymi , w szczególności w zakresie realizacji: robót budowlanych, obsługi sprzętu celem wykonania robót.</w:t>
      </w:r>
      <w:r w:rsidR="0088409C">
        <w:rPr>
          <w:rFonts w:asciiTheme="majorHAnsi" w:hAnsiTheme="majorHAnsi"/>
        </w:rPr>
        <w:t xml:space="preserve"> </w:t>
      </w:r>
      <w:r w:rsidR="0088409C" w:rsidRPr="0088409C">
        <w:rPr>
          <w:rFonts w:asciiTheme="majorHAnsi" w:hAnsiTheme="majorHAnsi"/>
        </w:rPr>
        <w:t>W ilości osób niezbędnej do realizacji przedmiotu zamówienia, za wyjątkiem prac wykonywanych przez kierow</w:t>
      </w:r>
      <w:r w:rsidR="0088409C">
        <w:rPr>
          <w:rFonts w:asciiTheme="majorHAnsi" w:hAnsiTheme="majorHAnsi"/>
        </w:rPr>
        <w:t>nika budowy, kierownika robót</w:t>
      </w:r>
      <w:r w:rsidR="0088409C" w:rsidRPr="0088409C">
        <w:rPr>
          <w:rFonts w:asciiTheme="majorHAnsi" w:hAnsiTheme="majorHAnsi"/>
        </w:rPr>
        <w:t>, geodetę i 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3F7EF892" w14:textId="77777777" w:rsidR="00947B75" w:rsidRPr="00947B75" w:rsidRDefault="00947B75" w:rsidP="00947B75">
      <w:pPr>
        <w:pStyle w:val="Akapitzlist"/>
        <w:numPr>
          <w:ilvl w:val="0"/>
          <w:numId w:val="36"/>
        </w:numPr>
        <w:ind w:left="284" w:hanging="284"/>
        <w:jc w:val="both"/>
        <w:rPr>
          <w:rFonts w:asciiTheme="majorHAnsi" w:hAnsiTheme="majorHAnsi"/>
        </w:rPr>
      </w:pPr>
      <w:r w:rsidRPr="00947B75">
        <w:rPr>
          <w:rFonts w:asciiTheme="majorHAnsi" w:hAnsiTheme="majorHAnsi"/>
        </w:rPr>
        <w:t xml:space="preserve">Za nieprzedłożenie w terminie dokumentów, o których mowa w punkcie 4 Wykonawca zapłaci Zamawiającemu karę umowną w wysokości 1.000,00 zł w każdym stwierdzonym przypadku. </w:t>
      </w:r>
    </w:p>
    <w:p w14:paraId="4B98FAB3" w14:textId="77777777" w:rsidR="00947B75" w:rsidRPr="00171970" w:rsidRDefault="00947B75" w:rsidP="00947B75">
      <w:pPr>
        <w:pStyle w:val="Akapitzlist"/>
        <w:ind w:left="284"/>
        <w:jc w:val="both"/>
        <w:rPr>
          <w:rFonts w:asciiTheme="majorHAnsi" w:hAnsiTheme="majorHAnsi"/>
        </w:rPr>
      </w:pP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6DBF6F3B"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D859DF">
        <w:rPr>
          <w:rFonts w:asciiTheme="majorHAnsi" w:eastAsiaTheme="majorEastAsia" w:hAnsiTheme="majorHAnsi" w:cstheme="majorBidi"/>
          <w:b/>
          <w:lang w:eastAsia="en-US"/>
        </w:rPr>
        <w:t xml:space="preserve">w terminie do </w:t>
      </w:r>
      <w:r w:rsidR="005D1D7A">
        <w:rPr>
          <w:rFonts w:asciiTheme="majorHAnsi" w:eastAsiaTheme="majorEastAsia" w:hAnsiTheme="majorHAnsi" w:cstheme="majorBidi"/>
          <w:b/>
          <w:lang w:eastAsia="en-US"/>
        </w:rPr>
        <w:t>3</w:t>
      </w:r>
      <w:r w:rsidR="00D859DF">
        <w:rPr>
          <w:rFonts w:asciiTheme="majorHAnsi" w:eastAsiaTheme="majorEastAsia" w:hAnsiTheme="majorHAnsi" w:cstheme="majorBidi"/>
          <w:b/>
          <w:lang w:eastAsia="en-US"/>
        </w:rPr>
        <w:t xml:space="preserve"> mie</w:t>
      </w:r>
      <w:r w:rsidR="005D1D7A">
        <w:rPr>
          <w:rFonts w:asciiTheme="majorHAnsi" w:eastAsiaTheme="majorEastAsia" w:hAnsiTheme="majorHAnsi" w:cstheme="majorBidi"/>
          <w:b/>
          <w:lang w:eastAsia="en-US"/>
        </w:rPr>
        <w:t xml:space="preserve">sięcy od daty podpisania umowy, jednak nie później niż do dnia 15.12.2021 r.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E6E9662" w14:textId="1E70449F" w:rsidR="00363290" w:rsidRDefault="00363290" w:rsidP="00DB65A7">
      <w:pPr>
        <w:ind w:left="-142"/>
        <w:jc w:val="both"/>
        <w:rPr>
          <w:rFonts w:asciiTheme="majorHAnsi" w:eastAsiaTheme="majorEastAsia" w:hAnsiTheme="majorHAnsi" w:cstheme="majorBidi"/>
          <w:lang w:eastAsia="en-US"/>
        </w:rPr>
      </w:pPr>
    </w:p>
    <w:p w14:paraId="3BCF6FD1" w14:textId="76251DBE" w:rsidR="00F27998" w:rsidRPr="00F27998" w:rsidRDefault="00F27998" w:rsidP="00DB65A7">
      <w:pPr>
        <w:ind w:left="-142"/>
        <w:jc w:val="both"/>
        <w:rPr>
          <w:rFonts w:asciiTheme="majorHAnsi" w:eastAsiaTheme="majorEastAsia" w:hAnsiTheme="majorHAnsi" w:cstheme="majorBidi"/>
          <w:b/>
          <w:lang w:eastAsia="en-US"/>
        </w:rPr>
      </w:pPr>
      <w:r w:rsidRPr="00F27998">
        <w:rPr>
          <w:rFonts w:asciiTheme="majorHAnsi" w:eastAsiaTheme="majorEastAsia" w:hAnsiTheme="majorHAnsi" w:cstheme="majorBidi"/>
          <w:b/>
          <w:lang w:eastAsia="en-US"/>
        </w:rPr>
        <w:t>A) Doświadczenie zawodowe</w:t>
      </w:r>
    </w:p>
    <w:p w14:paraId="2C28C0F6" w14:textId="77777777" w:rsidR="00947B75" w:rsidRPr="00947B75" w:rsidRDefault="00947B75" w:rsidP="00947B75">
      <w:pPr>
        <w:ind w:left="-142"/>
        <w:jc w:val="both"/>
        <w:rPr>
          <w:rFonts w:asciiTheme="majorHAnsi" w:eastAsiaTheme="majorEastAsia" w:hAnsiTheme="majorHAnsi" w:cstheme="majorBidi"/>
          <w:lang w:eastAsia="en-US"/>
        </w:rPr>
      </w:pPr>
      <w:r w:rsidRPr="00947B75">
        <w:rPr>
          <w:rFonts w:asciiTheme="majorHAnsi" w:eastAsiaTheme="majorEastAsia" w:hAnsiTheme="majorHAnsi" w:cstheme="majorBidi"/>
          <w:lang w:eastAsia="en-US"/>
        </w:rPr>
        <w:t xml:space="preserve">Wykonawca posiada wiedzę i doświadczenie, tj. w okresie ostatnich 5 lat przed upływem terminu składania ofert, a jeżeli okres prowadzenia działalności jest krótszy - w tym </w:t>
      </w:r>
      <w:r w:rsidRPr="00947B75">
        <w:rPr>
          <w:rFonts w:asciiTheme="majorHAnsi" w:eastAsiaTheme="majorEastAsia" w:hAnsiTheme="majorHAnsi" w:cstheme="majorBidi"/>
          <w:lang w:eastAsia="en-US"/>
        </w:rPr>
        <w:lastRenderedPageBreak/>
        <w:t xml:space="preserve">okresie, wykonał </w:t>
      </w:r>
      <w:r w:rsidRPr="00947B75">
        <w:rPr>
          <w:rFonts w:asciiTheme="majorHAnsi" w:eastAsiaTheme="majorEastAsia" w:hAnsiTheme="majorHAnsi" w:cstheme="majorBidi"/>
          <w:b/>
          <w:lang w:eastAsia="en-US"/>
        </w:rPr>
        <w:t>co najmniej 1 zadanie</w:t>
      </w:r>
      <w:r w:rsidRPr="00947B75">
        <w:rPr>
          <w:rFonts w:asciiTheme="majorHAnsi" w:eastAsiaTheme="majorEastAsia" w:hAnsiTheme="majorHAnsi" w:cstheme="majorBidi"/>
          <w:lang w:eastAsia="en-US"/>
        </w:rPr>
        <w:t xml:space="preserve"> polegające na </w:t>
      </w:r>
      <w:r w:rsidRPr="00947B75">
        <w:rPr>
          <w:rFonts w:asciiTheme="majorHAnsi" w:eastAsiaTheme="majorEastAsia" w:hAnsiTheme="majorHAnsi" w:cstheme="majorBidi"/>
          <w:b/>
          <w:lang w:eastAsia="en-US"/>
        </w:rPr>
        <w:t xml:space="preserve">wykonaniu budynku lub budowli w konstrukcji stalowej o rozpiętości min. 10 m. </w:t>
      </w:r>
      <w:r w:rsidRPr="00947B75">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Pr="00947B75">
        <w:rPr>
          <w:rFonts w:asciiTheme="majorHAnsi" w:eastAsiaTheme="majorEastAsia" w:hAnsiTheme="majorHAnsi" w:cstheme="majorBidi"/>
          <w:b/>
          <w:lang w:eastAsia="en-US"/>
        </w:rPr>
        <w:t xml:space="preserve"> </w:t>
      </w:r>
    </w:p>
    <w:p w14:paraId="5062D2E5" w14:textId="77777777" w:rsidR="00F27998" w:rsidRPr="002A0F78" w:rsidRDefault="00F27998" w:rsidP="00C8736C">
      <w:pPr>
        <w:ind w:left="-142" w:firstLine="708"/>
        <w:jc w:val="both"/>
        <w:rPr>
          <w:rFonts w:asciiTheme="majorHAnsi" w:eastAsiaTheme="majorEastAsia" w:hAnsiTheme="majorHAnsi" w:cstheme="majorBidi"/>
          <w:lang w:eastAsia="en-US"/>
        </w:rPr>
      </w:pPr>
    </w:p>
    <w:p w14:paraId="1E62D9AB" w14:textId="69FA673C" w:rsidR="002A0F78" w:rsidRDefault="00F27998"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B</w:t>
      </w:r>
      <w:r w:rsidR="002A0F78" w:rsidRPr="00363290">
        <w:rPr>
          <w:rFonts w:asciiTheme="majorHAnsi" w:eastAsiaTheme="majorEastAsia" w:hAnsiTheme="majorHAnsi" w:cstheme="majorBidi"/>
          <w:b/>
          <w:lang w:eastAsia="en-US"/>
        </w:rPr>
        <w:t xml:space="preserve">)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66D951C6" w14:textId="77777777" w:rsidR="003A31D8" w:rsidRPr="003A31D8" w:rsidRDefault="003A31D8" w:rsidP="003A31D8">
      <w:pPr>
        <w:ind w:left="-142"/>
        <w:jc w:val="both"/>
        <w:rPr>
          <w:rFonts w:asciiTheme="majorHAnsi" w:eastAsiaTheme="majorEastAsia" w:hAnsiTheme="majorHAnsi" w:cstheme="majorBidi"/>
          <w:lang w:eastAsia="en-US"/>
        </w:rPr>
      </w:pPr>
      <w:r w:rsidRPr="003A31D8">
        <w:rPr>
          <w:rFonts w:asciiTheme="majorHAnsi" w:eastAsiaTheme="majorEastAsia" w:hAnsiTheme="majorHAnsi" w:cstheme="majorBidi"/>
          <w:lang w:eastAsia="en-US"/>
        </w:rPr>
        <w:t>-</w:t>
      </w:r>
      <w:r w:rsidRPr="003A31D8">
        <w:rPr>
          <w:rFonts w:asciiTheme="majorHAnsi" w:eastAsiaTheme="majorEastAsia" w:hAnsiTheme="majorHAnsi" w:cstheme="majorBidi"/>
          <w:b/>
          <w:lang w:eastAsia="en-US"/>
        </w:rPr>
        <w:t>uprawnienia budowlane do kierowania robotami budowlanymi w specjalności konstrukcyjno- budowlanej bez ograniczeń oraz aktualny wpis do Polskiej Izby Inżynierów Budownictwa</w:t>
      </w:r>
      <w:r w:rsidRPr="003A31D8">
        <w:rPr>
          <w:rFonts w:asciiTheme="majorHAnsi" w:eastAsiaTheme="majorEastAsia" w:hAnsiTheme="majorHAnsi" w:cstheme="majorBidi"/>
          <w:lang w:eastAsia="en-US"/>
        </w:rPr>
        <w:t>,</w:t>
      </w:r>
    </w:p>
    <w:p w14:paraId="75DEB2F5" w14:textId="5E0B6A58"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16CE0AF4"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w:t>
      </w:r>
      <w:r w:rsidR="001E481D">
        <w:rPr>
          <w:rFonts w:asciiTheme="majorHAnsi" w:eastAsiaTheme="majorEastAsia" w:hAnsiTheme="majorHAnsi" w:cstheme="majorBidi"/>
          <w:b/>
          <w:lang w:eastAsia="en-US"/>
        </w:rPr>
        <w:t xml:space="preserve">stawie oświadczenia Wykonawcy o niepodleganiu </w:t>
      </w:r>
      <w:r w:rsidR="001E481D" w:rsidRPr="001E481D">
        <w:rPr>
          <w:rFonts w:asciiTheme="majorHAnsi" w:eastAsiaTheme="majorEastAsia" w:hAnsiTheme="majorHAnsi" w:cstheme="majorBidi"/>
          <w:b/>
          <w:lang w:eastAsia="en-US"/>
        </w:rPr>
        <w:t>wykluczeniu i spełnieniu  warunków udziału w postępowaniu</w:t>
      </w:r>
      <w:r w:rsidR="00E50B32">
        <w:rPr>
          <w:rFonts w:asciiTheme="majorHAnsi" w:eastAsiaTheme="majorEastAsia" w:hAnsiTheme="majorHAnsi" w:cstheme="majorBidi"/>
          <w:b/>
          <w:lang w:eastAsia="en-US"/>
        </w:rPr>
        <w:t>- załącznik nr 2 do SWZ (</w:t>
      </w:r>
      <w:r w:rsidR="00E50B32" w:rsidRPr="00E50B32">
        <w:rPr>
          <w:rFonts w:asciiTheme="majorHAnsi" w:eastAsiaTheme="majorEastAsia" w:hAnsiTheme="majorHAnsi" w:cstheme="majorBidi"/>
          <w:b/>
          <w:u w:val="single"/>
          <w:lang w:eastAsia="en-US"/>
        </w:rPr>
        <w:t>i jeśli dotyczy</w:t>
      </w:r>
      <w:r w:rsidR="00E50B32">
        <w:rPr>
          <w:rFonts w:asciiTheme="majorHAnsi" w:eastAsiaTheme="majorEastAsia" w:hAnsiTheme="majorHAnsi" w:cstheme="majorBidi"/>
          <w:b/>
          <w:lang w:eastAsia="en-US"/>
        </w:rPr>
        <w:t xml:space="preserve"> oświadczenia podmiotu, na którego zasoby powołuje się wykonawca- załącznik nr 5).</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6E769392"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w:t>
      </w:r>
      <w:r w:rsidR="007D5CA8">
        <w:rPr>
          <w:rFonts w:asciiTheme="majorHAnsi" w:eastAsiaTheme="majorEastAsia" w:hAnsiTheme="majorHAnsi" w:cstheme="majorBidi"/>
          <w:lang w:eastAsia="en-US"/>
        </w:rPr>
        <w:t xml:space="preserve">roboty budowlane lub </w:t>
      </w:r>
      <w:r>
        <w:rPr>
          <w:rFonts w:asciiTheme="majorHAnsi" w:eastAsiaTheme="majorEastAsia" w:hAnsiTheme="majorHAnsi" w:cstheme="majorBidi"/>
          <w:lang w:eastAsia="en-US"/>
        </w:rPr>
        <w:t>usługi, do realizacji których te zdolności są wymagane.</w:t>
      </w:r>
    </w:p>
    <w:p w14:paraId="402E4A4C" w14:textId="542A1BBA"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w:t>
      </w:r>
      <w:r w:rsidR="007D5CA8">
        <w:rPr>
          <w:rFonts w:asciiTheme="majorHAnsi" w:eastAsiaTheme="majorEastAsia" w:hAnsiTheme="majorHAnsi" w:cstheme="majorBidi"/>
          <w:lang w:eastAsia="en-US"/>
        </w:rPr>
        <w:t xml:space="preserve"> roboty budowlane,</w:t>
      </w:r>
      <w:r>
        <w:rPr>
          <w:rFonts w:asciiTheme="majorHAnsi" w:eastAsiaTheme="majorEastAsia" w:hAnsiTheme="majorHAnsi" w:cstheme="majorBidi"/>
          <w:lang w:eastAsia="en-US"/>
        </w:rPr>
        <w:t xml:space="preserv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5608428C"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wykonują</w:t>
      </w:r>
      <w:r w:rsidR="007D5CA8">
        <w:rPr>
          <w:rFonts w:asciiTheme="majorHAnsi" w:eastAsiaTheme="majorEastAsia" w:hAnsiTheme="majorHAnsi" w:cstheme="majorBidi"/>
          <w:lang w:eastAsia="en-US"/>
        </w:rPr>
        <w:t xml:space="preserve"> roboty budowlane lub</w:t>
      </w:r>
      <w:r>
        <w:rPr>
          <w:rFonts w:asciiTheme="majorHAnsi" w:eastAsiaTheme="majorEastAsia" w:hAnsiTheme="majorHAnsi" w:cstheme="majorBidi"/>
          <w:lang w:eastAsia="en-US"/>
        </w:rPr>
        <w:t xml:space="preserve">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w:t>
      </w:r>
      <w:r>
        <w:rPr>
          <w:rFonts w:asciiTheme="majorHAnsi" w:eastAsiaTheme="majorEastAsia" w:hAnsiTheme="majorHAnsi" w:cstheme="majorBidi"/>
          <w:lang w:eastAsia="en-US"/>
        </w:rPr>
        <w:lastRenderedPageBreak/>
        <w:t>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xml:space="preserve">2) jeżeli urzędującego członka jego organu zarządzającego lub nadzorczego, wspólnika spółki w spółce jawnej lub partnerskiej albo komplementariusza w spółce </w:t>
      </w:r>
      <w:r w:rsidRPr="009C5220">
        <w:rPr>
          <w:rFonts w:asciiTheme="majorHAnsi" w:eastAsiaTheme="majorEastAsia" w:hAnsiTheme="majorHAnsi" w:cstheme="majorBidi"/>
          <w:lang w:eastAsia="en-US"/>
        </w:rPr>
        <w:lastRenderedPageBreak/>
        <w:t>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lastRenderedPageBreak/>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Default="009C5220" w:rsidP="00B40D1F">
      <w:pPr>
        <w:shd w:val="clear" w:color="auto" w:fill="FFFFFF"/>
        <w:rPr>
          <w:rFonts w:asciiTheme="majorHAnsi" w:eastAsiaTheme="majorEastAsia" w:hAnsiTheme="majorHAnsi" w:cstheme="majorBidi"/>
          <w:b/>
          <w:i/>
          <w:color w:val="002060"/>
          <w:lang w:eastAsia="en-US"/>
        </w:rPr>
      </w:pPr>
    </w:p>
    <w:p w14:paraId="45C99E40" w14:textId="77777777" w:rsidR="007B0187" w:rsidRDefault="007B0187" w:rsidP="00B40D1F">
      <w:pPr>
        <w:shd w:val="clear" w:color="auto" w:fill="FFFFFF"/>
        <w:rPr>
          <w:rFonts w:asciiTheme="majorHAnsi" w:eastAsiaTheme="majorEastAsia" w:hAnsiTheme="majorHAnsi" w:cstheme="majorBidi"/>
          <w:b/>
          <w:i/>
          <w:color w:val="002060"/>
          <w:lang w:eastAsia="en-US"/>
        </w:rPr>
      </w:pPr>
    </w:p>
    <w:p w14:paraId="62C8E88C" w14:textId="77777777" w:rsidR="007B0187" w:rsidRDefault="007B0187" w:rsidP="00B40D1F">
      <w:pPr>
        <w:shd w:val="clear" w:color="auto" w:fill="FFFFFF"/>
        <w:rPr>
          <w:rFonts w:asciiTheme="majorHAnsi" w:eastAsiaTheme="majorEastAsia" w:hAnsiTheme="majorHAnsi" w:cstheme="majorBidi"/>
          <w:b/>
          <w:i/>
          <w:color w:val="002060"/>
          <w:lang w:eastAsia="en-US"/>
        </w:rPr>
      </w:pPr>
    </w:p>
    <w:p w14:paraId="508E2C5C" w14:textId="77777777" w:rsidR="007B0187" w:rsidRPr="00773D17" w:rsidRDefault="007B0187"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A60A5DF"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t>
      </w:r>
      <w:r w:rsidR="00E50B32">
        <w:rPr>
          <w:rFonts w:ascii="Cambria" w:hAnsi="Cambria" w:cs="Arial"/>
        </w:rPr>
        <w:t>waniu, na dzień składania ofert.</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lastRenderedPageBreak/>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16CF462" w14:textId="40E5A19C" w:rsidR="002C00DC" w:rsidRPr="002C00DC" w:rsidRDefault="002C00DC" w:rsidP="002C00DC">
      <w:pPr>
        <w:pStyle w:val="Tekstpodstawowy"/>
        <w:spacing w:after="0"/>
        <w:ind w:left="360" w:right="20"/>
        <w:jc w:val="both"/>
        <w:rPr>
          <w:rFonts w:ascii="Cambria" w:hAnsi="Cambria"/>
          <w:b/>
        </w:rPr>
      </w:pPr>
      <w:r w:rsidRPr="002C00DC">
        <w:rPr>
          <w:rFonts w:ascii="Cambria" w:hAnsi="Cambria"/>
          <w:b/>
        </w:rPr>
        <w:t>Wzór oświadczenia stanowi załącznik nr 5 do SWZ.</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t>
      </w:r>
      <w:r w:rsidRPr="00773D17">
        <w:rPr>
          <w:rFonts w:ascii="Cambria" w:hAnsi="Cambria"/>
        </w:rPr>
        <w:lastRenderedPageBreak/>
        <w:t xml:space="preserve">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46922817"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3B2D4A">
        <w:rPr>
          <w:rFonts w:ascii="Cambria" w:hAnsi="Cambria"/>
          <w:b/>
        </w:rPr>
        <w:t>8</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lastRenderedPageBreak/>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6ED81C77" w14:textId="77777777" w:rsidR="003A24FE" w:rsidRDefault="003A24FE" w:rsidP="00E1023A">
      <w:pPr>
        <w:jc w:val="both"/>
        <w:rPr>
          <w:rFonts w:ascii="Cambria" w:hAnsi="Cambria"/>
          <w:b/>
        </w:rPr>
      </w:pPr>
    </w:p>
    <w:p w14:paraId="7018D8C3" w14:textId="73D364EA" w:rsidR="003B2D4A" w:rsidRDefault="003B2D4A" w:rsidP="00E1023A">
      <w:pPr>
        <w:jc w:val="both"/>
        <w:rPr>
          <w:rFonts w:ascii="Cambria" w:hAnsi="Cambria"/>
          <w:b/>
        </w:rPr>
      </w:pPr>
      <w:r>
        <w:rPr>
          <w:rFonts w:ascii="Cambria" w:hAnsi="Cambria"/>
          <w:b/>
        </w:rPr>
        <w:t xml:space="preserve">Zamawiający nie wymaga złożenia podmiotowych środków dowodowych. </w:t>
      </w:r>
    </w:p>
    <w:p w14:paraId="0FD360DE" w14:textId="77777777" w:rsidR="003B2D4A" w:rsidRPr="00773D17" w:rsidRDefault="003B2D4A"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120C99F8"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4A7EB8">
        <w:rPr>
          <w:rFonts w:ascii="Cambria" w:hAnsi="Cambria" w:cs="Arial"/>
          <w:b/>
          <w:bCs/>
        </w:rPr>
        <w:t>kwocie 5</w:t>
      </w:r>
      <w:r w:rsidR="00CC012A">
        <w:rPr>
          <w:rFonts w:ascii="Cambria" w:hAnsi="Cambria" w:cs="Arial"/>
          <w:b/>
          <w:bCs/>
        </w:rPr>
        <w:t>.000,00</w:t>
      </w:r>
      <w:r w:rsidR="00577B99" w:rsidRPr="00577B99">
        <w:rPr>
          <w:rFonts w:ascii="Cambria" w:hAnsi="Cambria" w:cs="Arial"/>
          <w:b/>
          <w:bCs/>
        </w:rPr>
        <w:t xml:space="preserve"> zł.</w:t>
      </w:r>
    </w:p>
    <w:p w14:paraId="00F0CF7A" w14:textId="034A356E"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4A7EB8">
        <w:rPr>
          <w:rFonts w:ascii="Cambria" w:hAnsi="Cambria"/>
        </w:rPr>
        <w:t>15</w:t>
      </w:r>
      <w:r w:rsidR="00DB1C4D">
        <w:rPr>
          <w:rFonts w:ascii="Cambria" w:hAnsi="Cambria"/>
        </w:rPr>
        <w:t>.10</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00EC0BA9"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4A7EB8">
        <w:rPr>
          <w:rFonts w:ascii="Cambria" w:hAnsi="Cambria"/>
        </w:rPr>
        <w:t>16</w:t>
      </w:r>
      <w:r w:rsidR="00DB1C4D">
        <w:rPr>
          <w:rFonts w:ascii="Cambria" w:hAnsi="Cambria"/>
        </w:rPr>
        <w:t>.09</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261DB3A5"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w:t>
      </w:r>
      <w:r w:rsidR="007B0187">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Pr="004A7EB8" w:rsidRDefault="00F22244" w:rsidP="00CF0B54">
      <w:pPr>
        <w:numPr>
          <w:ilvl w:val="3"/>
          <w:numId w:val="33"/>
        </w:numPr>
        <w:spacing w:after="200" w:line="252" w:lineRule="auto"/>
        <w:ind w:left="284"/>
        <w:contextualSpacing/>
        <w:jc w:val="both"/>
        <w:rPr>
          <w:rFonts w:asciiTheme="majorHAnsi" w:eastAsiaTheme="majorEastAsia" w:hAnsiTheme="majorHAnsi"/>
          <w:b/>
          <w:lang w:eastAsia="en-US"/>
        </w:rPr>
      </w:pPr>
      <w:r w:rsidRPr="004A7EB8">
        <w:rPr>
          <w:rFonts w:asciiTheme="majorHAnsi" w:eastAsiaTheme="majorEastAsia" w:hAnsiTheme="majorHAnsi"/>
          <w:b/>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243441F2"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w:t>
      </w:r>
      <w:r w:rsidR="004A7EB8">
        <w:rPr>
          <w:rFonts w:asciiTheme="majorHAnsi" w:eastAsiaTheme="majorEastAsia" w:hAnsiTheme="majorHAnsi"/>
          <w:lang w:eastAsia="en-US"/>
        </w:rPr>
        <w:t xml:space="preserve">zty utrzymania zaplecza budowy, </w:t>
      </w:r>
      <w:r w:rsidR="00806097">
        <w:rPr>
          <w:rFonts w:asciiTheme="majorHAnsi" w:eastAsiaTheme="majorEastAsia" w:hAnsiTheme="majorHAnsi"/>
          <w:lang w:eastAsia="en-US"/>
        </w:rPr>
        <w:t>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 xml:space="preserve">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w:t>
      </w:r>
      <w:r w:rsidR="00C54BC6" w:rsidRPr="00773D17">
        <w:rPr>
          <w:rFonts w:asciiTheme="majorHAnsi" w:eastAsiaTheme="majorEastAsia" w:hAnsiTheme="majorHAnsi"/>
          <w:lang w:eastAsia="en-US"/>
        </w:rPr>
        <w:lastRenderedPageBreak/>
        <w:t>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xml:space="preserve">,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w:t>
      </w:r>
      <w:r w:rsidRPr="006B5378">
        <w:rPr>
          <w:rFonts w:asciiTheme="majorHAnsi" w:hAnsiTheme="majorHAnsi"/>
        </w:rPr>
        <w:lastRenderedPageBreak/>
        <w:t>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3" w:name="_Hlk60819150"/>
      <w:r w:rsidRPr="00C679FC">
        <w:rPr>
          <w:rFonts w:asciiTheme="majorHAnsi" w:hAnsiTheme="majorHAnsi"/>
          <w:color w:val="000000" w:themeColor="text1"/>
        </w:rPr>
        <w:t>w tym dokumenty o których mowa w art. 94 ust. 2 ustawy</w:t>
      </w:r>
      <w:bookmarkEnd w:id="3"/>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lastRenderedPageBreak/>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4" w:name="_Hlk60819634"/>
      <w:r w:rsidRPr="00636E48">
        <w:rPr>
          <w:rFonts w:asciiTheme="majorHAnsi" w:hAnsiTheme="majorHAnsi"/>
          <w:color w:val="000000" w:themeColor="text1"/>
        </w:rPr>
        <w:t>dokumenty, o których mowa w art. 94 ust. 2 ustawy</w:t>
      </w:r>
      <w:bookmarkEnd w:id="4"/>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 xml:space="preserve">Zadawanie pytań przez Wykonawców odbywa się tylko w zakładce „Pytania do SWZ”.  Odpowiedzi na pytania zamawiający zamieszcza na własnej stronie </w:t>
      </w:r>
      <w:r w:rsidRPr="006B5378">
        <w:rPr>
          <w:rFonts w:asciiTheme="majorHAnsi" w:hAnsiTheme="majorHAnsi" w:cs="Arial"/>
        </w:rPr>
        <w:lastRenderedPageBreak/>
        <w:t>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lastRenderedPageBreak/>
        <w:t>w zakresie dotyczącym przedmiotu zamówienia:</w:t>
      </w:r>
    </w:p>
    <w:p w14:paraId="0159AFAB" w14:textId="0E0D870E" w:rsidR="0011460F" w:rsidRPr="00773D17" w:rsidRDefault="007359F5"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6053BE23"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 xml:space="preserve">e-mail: </w:t>
      </w:r>
      <w:r w:rsidR="007359F5">
        <w:rPr>
          <w:rFonts w:ascii="Cambria" w:hAnsi="Cambria"/>
        </w:rPr>
        <w:t>arczynska</w:t>
      </w:r>
      <w:r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4B33BD61"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7359F5">
        <w:rPr>
          <w:rFonts w:ascii="Cambria" w:hAnsi="Cambria"/>
        </w:rPr>
        <w:t>16</w:t>
      </w:r>
      <w:r w:rsidR="00821C82">
        <w:rPr>
          <w:rFonts w:ascii="Cambria" w:hAnsi="Cambria"/>
        </w:rPr>
        <w:t>.09</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1E0A2887"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7359F5">
        <w:rPr>
          <w:rFonts w:ascii="Cambria" w:hAnsi="Cambria"/>
        </w:rPr>
        <w:t>16</w:t>
      </w:r>
      <w:r w:rsidR="00821C82">
        <w:rPr>
          <w:rFonts w:ascii="Cambria" w:hAnsi="Cambria"/>
        </w:rPr>
        <w:t>.09</w:t>
      </w:r>
      <w:r w:rsidR="00763CDF">
        <w:rPr>
          <w:rFonts w:ascii="Cambria" w:hAnsi="Cambria"/>
        </w:rPr>
        <w:t>.2021</w:t>
      </w:r>
      <w:r w:rsidRPr="00773D17">
        <w:rPr>
          <w:rFonts w:ascii="Cambria" w:hAnsi="Cambria"/>
        </w:rPr>
        <w:t xml:space="preserve"> o godz. </w:t>
      </w:r>
      <w:r w:rsidR="00763CDF">
        <w:rPr>
          <w:rFonts w:ascii="Cambria" w:hAnsi="Cambria"/>
        </w:rPr>
        <w:t>11:</w:t>
      </w:r>
      <w:r w:rsidR="00821C82">
        <w:rPr>
          <w:rFonts w:ascii="Cambria" w:hAnsi="Cambria"/>
        </w:rPr>
        <w:t>05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54550B09"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7359F5">
        <w:rPr>
          <w:rFonts w:ascii="Cambria" w:hAnsi="Cambria"/>
          <w:b/>
          <w:bCs/>
        </w:rPr>
        <w:t>15</w:t>
      </w:r>
      <w:r w:rsidR="00821C82">
        <w:rPr>
          <w:rFonts w:ascii="Cambria" w:hAnsi="Cambria"/>
          <w:b/>
          <w:bCs/>
        </w:rPr>
        <w:t>.10</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lastRenderedPageBreak/>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w:t>
      </w:r>
      <w:r>
        <w:rPr>
          <w:rFonts w:ascii="Cambria" w:hAnsi="Cambria"/>
        </w:rPr>
        <w:lastRenderedPageBreak/>
        <w:t xml:space="preserve">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33EC6FE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DE1683">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452FA9F0" w:rsidR="00660A68" w:rsidRPr="001C7F4B" w:rsidRDefault="00660A68" w:rsidP="001C7F4B">
      <w:pPr>
        <w:numPr>
          <w:ilvl w:val="0"/>
          <w:numId w:val="21"/>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A8145D">
        <w:rPr>
          <w:rFonts w:ascii="Cambria" w:hAnsi="Cambria"/>
          <w:b/>
          <w:i/>
        </w:rPr>
        <w:t xml:space="preserve">Wykonanie zadaszenia nad trybunami Stadionu </w:t>
      </w:r>
      <w:r w:rsidR="004A083D">
        <w:rPr>
          <w:rFonts w:ascii="Cambria" w:hAnsi="Cambria"/>
          <w:b/>
          <w:i/>
        </w:rPr>
        <w:t>Miejskiego w Gniewkowie”.</w:t>
      </w:r>
      <w:bookmarkStart w:id="5" w:name="_GoBack"/>
      <w:bookmarkEnd w:id="5"/>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lastRenderedPageBreak/>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35C14DAA" w14:textId="7D8AA09B" w:rsidR="00C11E7C" w:rsidRDefault="00C11E7C" w:rsidP="008A0851">
      <w:pPr>
        <w:ind w:left="360" w:right="-108"/>
        <w:jc w:val="both"/>
        <w:rPr>
          <w:rFonts w:ascii="Cambria" w:hAnsi="Cambria"/>
        </w:rPr>
      </w:pPr>
      <w:r>
        <w:rPr>
          <w:rFonts w:ascii="Cambria" w:hAnsi="Cambria"/>
        </w:rPr>
        <w:t xml:space="preserve">- </w:t>
      </w:r>
      <w:r w:rsidR="00D25D89">
        <w:rPr>
          <w:rFonts w:ascii="Cambria" w:hAnsi="Cambria"/>
        </w:rPr>
        <w:t>harmonogram rzeczowo- finansowy,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lastRenderedPageBreak/>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1A2153F3" w14:textId="766764D0" w:rsidR="00D25D89" w:rsidRDefault="00D25D89" w:rsidP="008A0851">
      <w:pPr>
        <w:ind w:left="360" w:right="-108"/>
        <w:jc w:val="both"/>
        <w:rPr>
          <w:rFonts w:ascii="Cambria" w:hAnsi="Cambria"/>
        </w:rPr>
      </w:pPr>
      <w:r w:rsidRPr="00D25D89">
        <w:rPr>
          <w:rFonts w:ascii="Cambria" w:hAnsi="Cambria"/>
        </w:rPr>
        <w:t>- kosztorys.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284C13BD" w14:textId="629469AB" w:rsidR="00DB1A25" w:rsidRPr="00707D1E" w:rsidRDefault="008A0851" w:rsidP="00707D1E">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6"/>
    </w:p>
    <w:p w14:paraId="13B15865" w14:textId="100D2014" w:rsidR="00D4155E"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72A6AD1E" w14:textId="77777777" w:rsidR="00707D1E" w:rsidRPr="00707D1E" w:rsidRDefault="00707D1E" w:rsidP="00067B80">
      <w:pPr>
        <w:ind w:right="-108"/>
        <w:jc w:val="both"/>
        <w:rPr>
          <w:rFonts w:ascii="Cambria" w:hAnsi="Cambria"/>
        </w:rPr>
      </w:pPr>
    </w:p>
    <w:p w14:paraId="495A6D14" w14:textId="2A37D7F8" w:rsidR="00C5791B" w:rsidRPr="006F5193" w:rsidRDefault="00C5791B" w:rsidP="00C5791B">
      <w:pPr>
        <w:widowControl w:val="0"/>
        <w:snapToGrid w:val="0"/>
        <w:jc w:val="both"/>
        <w:rPr>
          <w:rFonts w:asciiTheme="majorHAnsi" w:hAnsiTheme="majorHAnsi"/>
          <w:b/>
          <w:sz w:val="22"/>
        </w:rPr>
      </w:pPr>
      <w:r w:rsidRPr="006F5193">
        <w:rPr>
          <w:rFonts w:asciiTheme="majorHAnsi" w:hAnsiTheme="majorHAnsi"/>
          <w:b/>
          <w:sz w:val="22"/>
        </w:rPr>
        <w:t>Zał</w:t>
      </w:r>
      <w:r w:rsidRPr="006F5193">
        <w:rPr>
          <w:rFonts w:asciiTheme="majorHAnsi" w:hAnsiTheme="majorHAnsi" w:cs="Calibri"/>
          <w:b/>
          <w:sz w:val="22"/>
        </w:rPr>
        <w:t>ą</w:t>
      </w:r>
      <w:r w:rsidR="008508D5" w:rsidRPr="006F5193">
        <w:rPr>
          <w:rFonts w:asciiTheme="majorHAnsi" w:hAnsiTheme="majorHAnsi"/>
          <w:b/>
          <w:sz w:val="22"/>
        </w:rPr>
        <w:t>czniki do S</w:t>
      </w:r>
      <w:r w:rsidRPr="006F5193">
        <w:rPr>
          <w:rFonts w:asciiTheme="majorHAnsi" w:hAnsiTheme="majorHAnsi"/>
          <w:b/>
          <w:sz w:val="22"/>
        </w:rPr>
        <w:t>WZ:</w:t>
      </w:r>
    </w:p>
    <w:p w14:paraId="5011902C" w14:textId="5485FE2D" w:rsidR="00660A68" w:rsidRPr="006F5193" w:rsidRDefault="008459CA"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1. Formularz ofertowy</w:t>
      </w:r>
    </w:p>
    <w:p w14:paraId="14FD4D2A" w14:textId="05714FF2" w:rsidR="008459CA" w:rsidRPr="006F5193" w:rsidRDefault="008459CA"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 xml:space="preserve">2. Oświadczenie o niepodleganiu wykluczeniu i spełnieniu warunków udziału </w:t>
      </w:r>
      <w:r w:rsidR="00F07DCB" w:rsidRPr="006F5193">
        <w:rPr>
          <w:rFonts w:asciiTheme="majorHAnsi" w:hAnsiTheme="majorHAnsi" w:cs="Arial"/>
          <w:sz w:val="22"/>
          <w:szCs w:val="24"/>
        </w:rPr>
        <w:br/>
      </w:r>
      <w:r w:rsidRPr="006F5193">
        <w:rPr>
          <w:rFonts w:asciiTheme="majorHAnsi" w:hAnsiTheme="majorHAnsi" w:cs="Arial"/>
          <w:sz w:val="22"/>
          <w:szCs w:val="24"/>
        </w:rPr>
        <w:t>w postępowaniu</w:t>
      </w:r>
      <w:r w:rsidR="00F07DCB" w:rsidRPr="006F5193">
        <w:rPr>
          <w:rFonts w:asciiTheme="majorHAnsi" w:hAnsiTheme="majorHAnsi" w:cs="Arial"/>
          <w:sz w:val="22"/>
          <w:szCs w:val="24"/>
        </w:rPr>
        <w:t xml:space="preserve">- art. 125 ust. 1 </w:t>
      </w:r>
      <w:proofErr w:type="spellStart"/>
      <w:r w:rsidR="00F07DCB" w:rsidRPr="006F5193">
        <w:rPr>
          <w:rFonts w:asciiTheme="majorHAnsi" w:hAnsiTheme="majorHAnsi" w:cs="Arial"/>
          <w:sz w:val="22"/>
          <w:szCs w:val="24"/>
        </w:rPr>
        <w:t>Pzp</w:t>
      </w:r>
      <w:proofErr w:type="spellEnd"/>
      <w:r w:rsidR="00F07DCB" w:rsidRPr="006F5193">
        <w:rPr>
          <w:rFonts w:asciiTheme="majorHAnsi" w:hAnsiTheme="majorHAnsi" w:cs="Arial"/>
          <w:sz w:val="22"/>
          <w:szCs w:val="24"/>
        </w:rPr>
        <w:t xml:space="preserve"> </w:t>
      </w:r>
      <w:r w:rsidR="00F07DCB" w:rsidRPr="006F5193">
        <w:rPr>
          <w:rFonts w:asciiTheme="majorHAnsi" w:hAnsiTheme="majorHAnsi" w:cs="Arial"/>
          <w:i/>
          <w:sz w:val="22"/>
          <w:szCs w:val="24"/>
        </w:rPr>
        <w:t>(złożyć wraz z ofertą)</w:t>
      </w:r>
    </w:p>
    <w:p w14:paraId="298EAA31" w14:textId="6097CB67" w:rsidR="008459CA" w:rsidRPr="006F5193" w:rsidRDefault="008459CA"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3. Oświadczenie wykonawców wspólnie ubiegających się o zamówienie</w:t>
      </w:r>
      <w:r w:rsidR="00F07DCB" w:rsidRPr="006F5193">
        <w:rPr>
          <w:rFonts w:asciiTheme="majorHAnsi" w:hAnsiTheme="majorHAnsi" w:cs="Arial"/>
          <w:sz w:val="22"/>
          <w:szCs w:val="24"/>
        </w:rPr>
        <w:t xml:space="preserve"> </w:t>
      </w:r>
      <w:r w:rsidR="00F07DCB" w:rsidRPr="006F5193">
        <w:rPr>
          <w:rFonts w:asciiTheme="majorHAnsi" w:hAnsiTheme="majorHAnsi" w:cs="Arial"/>
          <w:i/>
          <w:sz w:val="22"/>
          <w:szCs w:val="24"/>
        </w:rPr>
        <w:t>(jeżeli dotyczy złożyć wraz z ofertą)</w:t>
      </w:r>
    </w:p>
    <w:p w14:paraId="0CB9E98E" w14:textId="3A631033" w:rsidR="008459CA" w:rsidRPr="006F5193" w:rsidRDefault="008459CA" w:rsidP="00135E48">
      <w:pPr>
        <w:pStyle w:val="pkt"/>
        <w:spacing w:before="0" w:after="0" w:line="240" w:lineRule="auto"/>
        <w:ind w:left="0" w:firstLine="0"/>
        <w:rPr>
          <w:rFonts w:asciiTheme="majorHAnsi" w:hAnsiTheme="majorHAnsi" w:cs="Arial"/>
          <w:i/>
          <w:sz w:val="22"/>
          <w:szCs w:val="24"/>
        </w:rPr>
      </w:pPr>
      <w:r w:rsidRPr="006F5193">
        <w:rPr>
          <w:rFonts w:asciiTheme="majorHAnsi" w:hAnsiTheme="majorHAnsi" w:cs="Arial"/>
          <w:sz w:val="22"/>
          <w:szCs w:val="24"/>
        </w:rPr>
        <w:t>4. Oświadczenie- zobowiązanie podmiotu udostępniającego zasoby</w:t>
      </w:r>
      <w:r w:rsidR="00F07DCB" w:rsidRPr="006F5193">
        <w:rPr>
          <w:rFonts w:asciiTheme="majorHAnsi" w:hAnsiTheme="majorHAnsi" w:cs="Arial"/>
          <w:sz w:val="22"/>
          <w:szCs w:val="24"/>
        </w:rPr>
        <w:t xml:space="preserve"> </w:t>
      </w:r>
      <w:r w:rsidR="00F07DCB" w:rsidRPr="006F5193">
        <w:rPr>
          <w:rFonts w:asciiTheme="majorHAnsi" w:hAnsiTheme="majorHAnsi" w:cs="Arial"/>
          <w:i/>
          <w:sz w:val="22"/>
          <w:szCs w:val="24"/>
        </w:rPr>
        <w:t>(jeżeli dotyczy złożyć wraz z ofertą)</w:t>
      </w:r>
    </w:p>
    <w:p w14:paraId="65368C95" w14:textId="79B3A1AB" w:rsidR="00F07DCB" w:rsidRPr="006F5193" w:rsidRDefault="00F07DCB"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 xml:space="preserve">5. Oświadczenie o niepodleganiu wykluczeniu i spełnieniu warunków udziału w postępowaniu dla podmiotu udostępniającego zasoby- art. 125 ust. 5 </w:t>
      </w:r>
      <w:proofErr w:type="spellStart"/>
      <w:r w:rsidRPr="006F5193">
        <w:rPr>
          <w:rFonts w:asciiTheme="majorHAnsi" w:hAnsiTheme="majorHAnsi" w:cs="Arial"/>
          <w:sz w:val="22"/>
          <w:szCs w:val="24"/>
        </w:rPr>
        <w:t>Pzp</w:t>
      </w:r>
      <w:proofErr w:type="spellEnd"/>
      <w:r w:rsidRPr="006F5193">
        <w:rPr>
          <w:rFonts w:asciiTheme="majorHAnsi" w:hAnsiTheme="majorHAnsi" w:cs="Arial"/>
          <w:sz w:val="22"/>
          <w:szCs w:val="24"/>
        </w:rPr>
        <w:t xml:space="preserve"> </w:t>
      </w:r>
      <w:r w:rsidRPr="006F5193">
        <w:rPr>
          <w:rFonts w:asciiTheme="majorHAnsi" w:hAnsiTheme="majorHAnsi" w:cs="Arial"/>
          <w:i/>
          <w:sz w:val="22"/>
          <w:szCs w:val="24"/>
        </w:rPr>
        <w:t>(jeżeli dotyczy złożyć wraz z ofertą)</w:t>
      </w:r>
    </w:p>
    <w:p w14:paraId="1AE878A2" w14:textId="48EA791E" w:rsidR="00660A68" w:rsidRPr="006F5193" w:rsidRDefault="00DE1683"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6</w:t>
      </w:r>
      <w:r w:rsidR="008459CA" w:rsidRPr="006F5193">
        <w:rPr>
          <w:rFonts w:asciiTheme="majorHAnsi" w:hAnsiTheme="majorHAnsi" w:cs="Arial"/>
          <w:sz w:val="22"/>
          <w:szCs w:val="24"/>
        </w:rPr>
        <w:t xml:space="preserve">. </w:t>
      </w:r>
      <w:r w:rsidR="00537301" w:rsidRPr="006F5193">
        <w:rPr>
          <w:rFonts w:asciiTheme="majorHAnsi" w:hAnsiTheme="majorHAnsi" w:cs="Arial"/>
          <w:sz w:val="22"/>
          <w:szCs w:val="24"/>
        </w:rPr>
        <w:t xml:space="preserve">Wzór oświadczenia gwarancyjnego </w:t>
      </w:r>
    </w:p>
    <w:p w14:paraId="255D3280" w14:textId="545BFD88" w:rsidR="008459CA" w:rsidRPr="006F5193" w:rsidRDefault="00DE1683"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7</w:t>
      </w:r>
      <w:r w:rsidR="008459CA" w:rsidRPr="006F5193">
        <w:rPr>
          <w:rFonts w:asciiTheme="majorHAnsi" w:hAnsiTheme="majorHAnsi" w:cs="Arial"/>
          <w:sz w:val="22"/>
          <w:szCs w:val="24"/>
        </w:rPr>
        <w:t>. Klauzula informacyjna</w:t>
      </w:r>
    </w:p>
    <w:p w14:paraId="03670ED4" w14:textId="4FBF019B" w:rsidR="008459CA" w:rsidRPr="006F5193" w:rsidRDefault="00DE1683"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8</w:t>
      </w:r>
      <w:r w:rsidR="008459CA" w:rsidRPr="006F5193">
        <w:rPr>
          <w:rFonts w:asciiTheme="majorHAnsi" w:hAnsiTheme="majorHAnsi" w:cs="Arial"/>
          <w:sz w:val="22"/>
          <w:szCs w:val="24"/>
        </w:rPr>
        <w:t xml:space="preserve">. Wzór </w:t>
      </w:r>
      <w:r w:rsidR="00E233AD" w:rsidRPr="006F5193">
        <w:rPr>
          <w:rFonts w:asciiTheme="majorHAnsi" w:hAnsiTheme="majorHAnsi" w:cs="Arial"/>
          <w:sz w:val="22"/>
          <w:szCs w:val="24"/>
        </w:rPr>
        <w:t xml:space="preserve">pełnomocnictwa </w:t>
      </w:r>
      <w:r w:rsidR="00E233AD" w:rsidRPr="006F5193">
        <w:rPr>
          <w:rFonts w:asciiTheme="majorHAnsi" w:hAnsiTheme="majorHAnsi" w:cs="Arial"/>
          <w:i/>
          <w:sz w:val="22"/>
          <w:szCs w:val="24"/>
        </w:rPr>
        <w:t>(</w:t>
      </w:r>
      <w:r w:rsidR="007B3210" w:rsidRPr="006F5193">
        <w:rPr>
          <w:rFonts w:asciiTheme="majorHAnsi" w:hAnsiTheme="majorHAnsi" w:cs="Arial"/>
          <w:i/>
          <w:sz w:val="22"/>
          <w:szCs w:val="24"/>
        </w:rPr>
        <w:t>jeżeli dotyczy złożyć wraz z ofertą)</w:t>
      </w:r>
    </w:p>
    <w:p w14:paraId="5C41EEB3" w14:textId="3538E9AE" w:rsidR="00FD7208" w:rsidRPr="006F5193" w:rsidRDefault="00DE1683" w:rsidP="00F07DCB">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9</w:t>
      </w:r>
      <w:r w:rsidR="00537301" w:rsidRPr="006F5193">
        <w:rPr>
          <w:rFonts w:asciiTheme="majorHAnsi" w:hAnsiTheme="majorHAnsi" w:cs="Arial"/>
          <w:sz w:val="22"/>
          <w:szCs w:val="24"/>
        </w:rPr>
        <w:t xml:space="preserve">. </w:t>
      </w:r>
      <w:r w:rsidR="00E233AD" w:rsidRPr="006F5193">
        <w:rPr>
          <w:rFonts w:asciiTheme="majorHAnsi" w:hAnsiTheme="majorHAnsi" w:cs="Arial"/>
          <w:sz w:val="22"/>
          <w:szCs w:val="24"/>
        </w:rPr>
        <w:t>Wzór umowy</w:t>
      </w:r>
    </w:p>
    <w:p w14:paraId="6273C96A" w14:textId="492B22F2" w:rsidR="00D25D89" w:rsidRPr="006F5193" w:rsidRDefault="00DE1683" w:rsidP="00497ADF">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10</w:t>
      </w:r>
      <w:r w:rsidR="001C7F4B" w:rsidRPr="006F5193">
        <w:rPr>
          <w:rFonts w:asciiTheme="majorHAnsi" w:hAnsiTheme="majorHAnsi" w:cs="Arial"/>
          <w:sz w:val="22"/>
          <w:szCs w:val="24"/>
        </w:rPr>
        <w:t xml:space="preserve">. </w:t>
      </w:r>
      <w:r w:rsidR="00497ADF" w:rsidRPr="006F5193">
        <w:rPr>
          <w:rFonts w:asciiTheme="majorHAnsi" w:hAnsiTheme="majorHAnsi" w:cs="Arial"/>
          <w:sz w:val="22"/>
          <w:szCs w:val="24"/>
        </w:rPr>
        <w:t>Projekt zamienny</w:t>
      </w:r>
    </w:p>
    <w:p w14:paraId="0ECD093B" w14:textId="08AA888C" w:rsidR="008459CA" w:rsidRPr="006F5193" w:rsidRDefault="00497ADF"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 xml:space="preserve">11. </w:t>
      </w:r>
      <w:proofErr w:type="spellStart"/>
      <w:r w:rsidRPr="006F5193">
        <w:rPr>
          <w:rFonts w:asciiTheme="majorHAnsi" w:hAnsiTheme="majorHAnsi" w:cs="Arial"/>
          <w:sz w:val="22"/>
          <w:szCs w:val="24"/>
        </w:rPr>
        <w:t>STWiOR</w:t>
      </w:r>
      <w:proofErr w:type="spellEnd"/>
    </w:p>
    <w:p w14:paraId="6AE7E20A" w14:textId="2FE45506" w:rsidR="008459CA" w:rsidRDefault="00497ADF" w:rsidP="00135E48">
      <w:pPr>
        <w:pStyle w:val="pkt"/>
        <w:spacing w:before="0" w:after="0" w:line="240" w:lineRule="auto"/>
        <w:ind w:left="0" w:firstLine="0"/>
        <w:rPr>
          <w:rFonts w:asciiTheme="majorHAnsi" w:hAnsiTheme="majorHAnsi" w:cs="Arial"/>
          <w:sz w:val="22"/>
          <w:szCs w:val="24"/>
        </w:rPr>
      </w:pPr>
      <w:r w:rsidRPr="006F5193">
        <w:rPr>
          <w:rFonts w:asciiTheme="majorHAnsi" w:hAnsiTheme="majorHAnsi" w:cs="Arial"/>
          <w:sz w:val="22"/>
          <w:szCs w:val="24"/>
        </w:rPr>
        <w:t>12. Przedmiar robót</w:t>
      </w:r>
    </w:p>
    <w:p w14:paraId="659E96D4" w14:textId="77777777" w:rsidR="00707D1E" w:rsidRPr="00707D1E" w:rsidRDefault="00707D1E" w:rsidP="00135E48">
      <w:pPr>
        <w:pStyle w:val="pkt"/>
        <w:spacing w:before="0" w:after="0" w:line="240" w:lineRule="auto"/>
        <w:ind w:left="0" w:firstLine="0"/>
        <w:rPr>
          <w:rFonts w:asciiTheme="majorHAnsi" w:hAnsiTheme="majorHAnsi" w:cs="Arial"/>
          <w:sz w:val="22"/>
          <w:szCs w:val="24"/>
        </w:rPr>
      </w:pPr>
    </w:p>
    <w:p w14:paraId="0D7E8F86" w14:textId="0AC4D618"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D25D89">
        <w:rPr>
          <w:rFonts w:asciiTheme="majorHAnsi" w:hAnsiTheme="majorHAnsi" w:cs="Arial"/>
          <w:szCs w:val="24"/>
        </w:rPr>
        <w:t>, dnia 31</w:t>
      </w:r>
      <w:r w:rsidR="001C7F4B">
        <w:rPr>
          <w:rFonts w:asciiTheme="majorHAnsi" w:hAnsiTheme="majorHAnsi" w:cs="Arial"/>
          <w:szCs w:val="24"/>
        </w:rPr>
        <w:t>.08</w:t>
      </w:r>
      <w:r w:rsidR="00FE4BB7">
        <w:rPr>
          <w:rFonts w:asciiTheme="majorHAnsi" w:hAnsiTheme="majorHAnsi" w:cs="Arial"/>
          <w:szCs w:val="24"/>
        </w:rPr>
        <w:t>.</w:t>
      </w:r>
      <w:r>
        <w:rPr>
          <w:rFonts w:asciiTheme="majorHAnsi" w:hAnsiTheme="majorHAnsi" w:cs="Arial"/>
          <w:szCs w:val="24"/>
        </w:rPr>
        <w:t>2021</w:t>
      </w:r>
      <w:r w:rsidR="00135E48" w:rsidRPr="00773D17">
        <w:rPr>
          <w:rFonts w:asciiTheme="majorHAnsi" w:hAnsiTheme="majorHAnsi" w:cs="Arial"/>
          <w:szCs w:val="24"/>
        </w:rPr>
        <w:t xml:space="preserve"> r.                                                           </w:t>
      </w:r>
    </w:p>
    <w:p w14:paraId="19BF31BA" w14:textId="56E37C11" w:rsidR="00F772F4"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79DD77E1" w14:textId="04967853" w:rsidR="00412BC8" w:rsidRPr="00FD0334" w:rsidRDefault="000521B3" w:rsidP="00FD0334">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ierownika zamawiającego lub osoby upoważnionej</w:t>
      </w:r>
    </w:p>
    <w:sectPr w:rsidR="00412BC8" w:rsidRPr="00FD03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0FB51" w14:textId="77777777" w:rsidR="001A3411" w:rsidRDefault="001A3411" w:rsidP="000F1DCF">
      <w:r>
        <w:separator/>
      </w:r>
    </w:p>
  </w:endnote>
  <w:endnote w:type="continuationSeparator" w:id="0">
    <w:p w14:paraId="632541E0" w14:textId="77777777" w:rsidR="001A3411" w:rsidRDefault="001A3411" w:rsidP="000F1DCF">
      <w:r>
        <w:continuationSeparator/>
      </w:r>
    </w:p>
  </w:endnote>
  <w:endnote w:type="continuationNotice" w:id="1">
    <w:p w14:paraId="3A6F50DB" w14:textId="77777777" w:rsidR="001A3411" w:rsidRDefault="001A3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E65E9" w14:textId="77777777" w:rsidR="001A3411" w:rsidRDefault="001A3411" w:rsidP="000F1DCF">
      <w:r>
        <w:separator/>
      </w:r>
    </w:p>
  </w:footnote>
  <w:footnote w:type="continuationSeparator" w:id="0">
    <w:p w14:paraId="695F3B94" w14:textId="77777777" w:rsidR="001A3411" w:rsidRDefault="001A3411" w:rsidP="000F1DCF">
      <w:r>
        <w:continuationSeparator/>
      </w:r>
    </w:p>
  </w:footnote>
  <w:footnote w:type="continuationNotice" w:id="1">
    <w:p w14:paraId="399AC5B7" w14:textId="77777777" w:rsidR="001A3411" w:rsidRDefault="001A34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02753F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7"/>
  </w:num>
  <w:num w:numId="3">
    <w:abstractNumId w:val="38"/>
  </w:num>
  <w:num w:numId="4">
    <w:abstractNumId w:val="40"/>
  </w:num>
  <w:num w:numId="5">
    <w:abstractNumId w:val="20"/>
  </w:num>
  <w:num w:numId="6">
    <w:abstractNumId w:val="39"/>
  </w:num>
  <w:num w:numId="7">
    <w:abstractNumId w:val="2"/>
  </w:num>
  <w:num w:numId="8">
    <w:abstractNumId w:val="12"/>
  </w:num>
  <w:num w:numId="9">
    <w:abstractNumId w:val="23"/>
  </w:num>
  <w:num w:numId="10">
    <w:abstractNumId w:val="25"/>
  </w:num>
  <w:num w:numId="11">
    <w:abstractNumId w:val="10"/>
  </w:num>
  <w:num w:numId="12">
    <w:abstractNumId w:val="31"/>
  </w:num>
  <w:num w:numId="13">
    <w:abstractNumId w:val="0"/>
  </w:num>
  <w:num w:numId="14">
    <w:abstractNumId w:val="21"/>
  </w:num>
  <w:num w:numId="15">
    <w:abstractNumId w:val="15"/>
  </w:num>
  <w:num w:numId="16">
    <w:abstractNumId w:val="37"/>
  </w:num>
  <w:num w:numId="17">
    <w:abstractNumId w:val="29"/>
  </w:num>
  <w:num w:numId="18">
    <w:abstractNumId w:val="32"/>
  </w:num>
  <w:num w:numId="19">
    <w:abstractNumId w:val="14"/>
  </w:num>
  <w:num w:numId="20">
    <w:abstractNumId w:val="24"/>
  </w:num>
  <w:num w:numId="21">
    <w:abstractNumId w:val="26"/>
  </w:num>
  <w:num w:numId="22">
    <w:abstractNumId w:val="8"/>
  </w:num>
  <w:num w:numId="23">
    <w:abstractNumId w:val="36"/>
  </w:num>
  <w:num w:numId="24">
    <w:abstractNumId w:val="34"/>
  </w:num>
  <w:num w:numId="25">
    <w:abstractNumId w:val="7"/>
  </w:num>
  <w:num w:numId="26">
    <w:abstractNumId w:val="13"/>
  </w:num>
  <w:num w:numId="27">
    <w:abstractNumId w:val="5"/>
  </w:num>
  <w:num w:numId="28">
    <w:abstractNumId w:val="6"/>
  </w:num>
  <w:num w:numId="29">
    <w:abstractNumId w:val="18"/>
  </w:num>
  <w:num w:numId="30">
    <w:abstractNumId w:val="33"/>
  </w:num>
  <w:num w:numId="31">
    <w:abstractNumId w:val="9"/>
  </w:num>
  <w:num w:numId="32">
    <w:abstractNumId w:val="17"/>
  </w:num>
  <w:num w:numId="33">
    <w:abstractNumId w:val="3"/>
  </w:num>
  <w:num w:numId="34">
    <w:abstractNumId w:val="16"/>
  </w:num>
  <w:num w:numId="35">
    <w:abstractNumId w:val="4"/>
  </w:num>
  <w:num w:numId="36">
    <w:abstractNumId w:val="30"/>
  </w:num>
  <w:num w:numId="37">
    <w:abstractNumId w:val="28"/>
  </w:num>
  <w:num w:numId="38">
    <w:abstractNumId w:val="1"/>
  </w:num>
  <w:num w:numId="39">
    <w:abstractNumId w:val="35"/>
  </w:num>
  <w:num w:numId="40">
    <w:abstractNumId w:val="22"/>
  </w:num>
  <w:num w:numId="4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4F0C"/>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671"/>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36F"/>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2AFE"/>
    <w:rsid w:val="000D390A"/>
    <w:rsid w:val="000D3D99"/>
    <w:rsid w:val="000D4695"/>
    <w:rsid w:val="000D504C"/>
    <w:rsid w:val="000D55A8"/>
    <w:rsid w:val="000D61D4"/>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6013"/>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3411"/>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481D"/>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0D24"/>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58B"/>
    <w:rsid w:val="00292E7E"/>
    <w:rsid w:val="002939E9"/>
    <w:rsid w:val="002958B7"/>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1DEA"/>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1E2"/>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1D8"/>
    <w:rsid w:val="003A3475"/>
    <w:rsid w:val="003A4F4E"/>
    <w:rsid w:val="003A5304"/>
    <w:rsid w:val="003A708D"/>
    <w:rsid w:val="003A74E9"/>
    <w:rsid w:val="003A7889"/>
    <w:rsid w:val="003B0E8A"/>
    <w:rsid w:val="003B2D4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37E45"/>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57FE0"/>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ADF"/>
    <w:rsid w:val="00497C8D"/>
    <w:rsid w:val="004A083D"/>
    <w:rsid w:val="004A1CDB"/>
    <w:rsid w:val="004A1D27"/>
    <w:rsid w:val="004A2140"/>
    <w:rsid w:val="004A3755"/>
    <w:rsid w:val="004A4B4A"/>
    <w:rsid w:val="004A514B"/>
    <w:rsid w:val="004A5B68"/>
    <w:rsid w:val="004A65DA"/>
    <w:rsid w:val="004A6CBB"/>
    <w:rsid w:val="004A7EB8"/>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2E91"/>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1D7A"/>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5B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45D2"/>
    <w:rsid w:val="00675246"/>
    <w:rsid w:val="00676A96"/>
    <w:rsid w:val="00677D7B"/>
    <w:rsid w:val="00680033"/>
    <w:rsid w:val="00681924"/>
    <w:rsid w:val="00681F64"/>
    <w:rsid w:val="006823F3"/>
    <w:rsid w:val="00683608"/>
    <w:rsid w:val="00683F59"/>
    <w:rsid w:val="006840A4"/>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193"/>
    <w:rsid w:val="006F53DA"/>
    <w:rsid w:val="006F6489"/>
    <w:rsid w:val="006F6744"/>
    <w:rsid w:val="006F69FC"/>
    <w:rsid w:val="006F7196"/>
    <w:rsid w:val="00701C6A"/>
    <w:rsid w:val="00704B6D"/>
    <w:rsid w:val="00704FCD"/>
    <w:rsid w:val="00707D1E"/>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359F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0187"/>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393C"/>
    <w:rsid w:val="00814ACA"/>
    <w:rsid w:val="00814EB5"/>
    <w:rsid w:val="0081543D"/>
    <w:rsid w:val="00816456"/>
    <w:rsid w:val="008204FC"/>
    <w:rsid w:val="0082105F"/>
    <w:rsid w:val="00821C82"/>
    <w:rsid w:val="00821F8E"/>
    <w:rsid w:val="008231AE"/>
    <w:rsid w:val="00823425"/>
    <w:rsid w:val="008242DE"/>
    <w:rsid w:val="0082603D"/>
    <w:rsid w:val="0082627F"/>
    <w:rsid w:val="00826E43"/>
    <w:rsid w:val="00827D01"/>
    <w:rsid w:val="00832755"/>
    <w:rsid w:val="0083277D"/>
    <w:rsid w:val="008330F9"/>
    <w:rsid w:val="008334DA"/>
    <w:rsid w:val="00834EA3"/>
    <w:rsid w:val="00835624"/>
    <w:rsid w:val="00835E4A"/>
    <w:rsid w:val="008372B2"/>
    <w:rsid w:val="00840152"/>
    <w:rsid w:val="00840160"/>
    <w:rsid w:val="0084028C"/>
    <w:rsid w:val="008407FF"/>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09C"/>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7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47B75"/>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04CF"/>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5364"/>
    <w:rsid w:val="00A060D1"/>
    <w:rsid w:val="00A10382"/>
    <w:rsid w:val="00A10C94"/>
    <w:rsid w:val="00A11B71"/>
    <w:rsid w:val="00A11F33"/>
    <w:rsid w:val="00A12D92"/>
    <w:rsid w:val="00A2163E"/>
    <w:rsid w:val="00A21FD8"/>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C9B"/>
    <w:rsid w:val="00A421C9"/>
    <w:rsid w:val="00A42474"/>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145D"/>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3017"/>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0F"/>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3119"/>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1E5C"/>
    <w:rsid w:val="00C11E7C"/>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8736C"/>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C8"/>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D0F4F"/>
    <w:rsid w:val="00CD1235"/>
    <w:rsid w:val="00CD174A"/>
    <w:rsid w:val="00CD345D"/>
    <w:rsid w:val="00CD5113"/>
    <w:rsid w:val="00CD5F87"/>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026"/>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54CA"/>
    <w:rsid w:val="00D161D5"/>
    <w:rsid w:val="00D16B7D"/>
    <w:rsid w:val="00D170B1"/>
    <w:rsid w:val="00D17309"/>
    <w:rsid w:val="00D20F8C"/>
    <w:rsid w:val="00D227EE"/>
    <w:rsid w:val="00D22E4A"/>
    <w:rsid w:val="00D25B32"/>
    <w:rsid w:val="00D25D89"/>
    <w:rsid w:val="00D260CF"/>
    <w:rsid w:val="00D263AD"/>
    <w:rsid w:val="00D27F94"/>
    <w:rsid w:val="00D30BF5"/>
    <w:rsid w:val="00D30E4A"/>
    <w:rsid w:val="00D312A6"/>
    <w:rsid w:val="00D323C2"/>
    <w:rsid w:val="00D34E9E"/>
    <w:rsid w:val="00D34FEF"/>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39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859DF"/>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1C4D"/>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632D"/>
    <w:rsid w:val="00DC6E39"/>
    <w:rsid w:val="00DC7FE1"/>
    <w:rsid w:val="00DD0276"/>
    <w:rsid w:val="00DD03C1"/>
    <w:rsid w:val="00DD05B2"/>
    <w:rsid w:val="00DD096C"/>
    <w:rsid w:val="00DD11DE"/>
    <w:rsid w:val="00DD1F6F"/>
    <w:rsid w:val="00DD3394"/>
    <w:rsid w:val="00DD36DB"/>
    <w:rsid w:val="00DD3D59"/>
    <w:rsid w:val="00DD3D80"/>
    <w:rsid w:val="00DD4D87"/>
    <w:rsid w:val="00DD5F8F"/>
    <w:rsid w:val="00DE1683"/>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4763A"/>
    <w:rsid w:val="00E502BD"/>
    <w:rsid w:val="00E50405"/>
    <w:rsid w:val="00E50B32"/>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289C"/>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27998"/>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4DDA"/>
    <w:rsid w:val="00F754E9"/>
    <w:rsid w:val="00F76470"/>
    <w:rsid w:val="00F765EE"/>
    <w:rsid w:val="00F772F4"/>
    <w:rsid w:val="00F779C7"/>
    <w:rsid w:val="00F77A1B"/>
    <w:rsid w:val="00F77FDE"/>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0334"/>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30572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6818935">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B7ABD-4C97-431B-86D9-45C5C899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32</Pages>
  <Words>12114</Words>
  <Characters>72686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84631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19</cp:revision>
  <cp:lastPrinted>2021-09-01T05:40:00Z</cp:lastPrinted>
  <dcterms:created xsi:type="dcterms:W3CDTF">2021-08-31T05:43:00Z</dcterms:created>
  <dcterms:modified xsi:type="dcterms:W3CDTF">2021-09-01T07:24:00Z</dcterms:modified>
</cp:coreProperties>
</file>