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37ADB770"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541D99">
        <w:rPr>
          <w:rFonts w:asciiTheme="majorHAnsi" w:eastAsiaTheme="majorEastAsia" w:hAnsiTheme="majorHAnsi" w:cstheme="majorBidi"/>
          <w:caps/>
          <w:color w:val="632423" w:themeColor="accent2" w:themeShade="80"/>
          <w:spacing w:val="20"/>
          <w:lang w:eastAsia="en-US"/>
        </w:rPr>
        <w:t>rzP.271.1.8</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3638363" w14:textId="3C3331D8" w:rsidR="00AB0104" w:rsidRPr="00C05ABE" w:rsidRDefault="00541D99"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Remont placu przy szkole podstawowej nr 2 w gniewkowie</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6B44F7C"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4BC09AD8" w14:textId="77777777" w:rsidR="00C05ABE" w:rsidRDefault="00C05ABE" w:rsidP="00412BC8">
      <w:pPr>
        <w:spacing w:line="252" w:lineRule="auto"/>
        <w:jc w:val="center"/>
        <w:rPr>
          <w:rFonts w:asciiTheme="majorHAnsi" w:eastAsiaTheme="majorEastAsia" w:hAnsiTheme="majorHAnsi" w:cs="Arial"/>
          <w:bCs/>
          <w:lang w:eastAsia="en-US"/>
        </w:rPr>
      </w:pPr>
    </w:p>
    <w:p w14:paraId="37013A7E" w14:textId="77777777" w:rsidR="00C05ABE" w:rsidRDefault="00C05ABE" w:rsidP="00412BC8">
      <w:pPr>
        <w:spacing w:line="252" w:lineRule="auto"/>
        <w:jc w:val="center"/>
        <w:rPr>
          <w:rFonts w:asciiTheme="majorHAnsi" w:eastAsiaTheme="majorEastAsia" w:hAnsiTheme="majorHAnsi" w:cs="Arial"/>
          <w:bCs/>
          <w:lang w:eastAsia="en-US"/>
        </w:rPr>
      </w:pPr>
    </w:p>
    <w:p w14:paraId="452DCE70" w14:textId="77777777" w:rsidR="00C05ABE" w:rsidRDefault="00C05ABE"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46991F4E" w14:textId="471BB315" w:rsidR="00042179" w:rsidRPr="00D30E4A" w:rsidRDefault="00D30E4A" w:rsidP="00D30E4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25.06.202</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FA1EB17" w14:textId="57786812"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Tryb podstawowy z możliwością przeprowadzenia negocjacji treści ofert w celu ich ulepszenia, o którym mowa w art. 275 pkt 2 ustawy z 11 września 2019 r. – Prawo zamówień publicznych (Dz.U.</w:t>
      </w:r>
      <w:r w:rsidR="008242DE">
        <w:rPr>
          <w:rFonts w:asciiTheme="majorHAnsi" w:eastAsiaTheme="majorEastAsia" w:hAnsiTheme="majorHAnsi" w:cs="Arial"/>
          <w:lang w:eastAsia="en-US"/>
        </w:rPr>
        <w:t xml:space="preserve"> 2019</w:t>
      </w:r>
      <w:r w:rsidRPr="001D762C">
        <w:rPr>
          <w:rFonts w:asciiTheme="majorHAnsi" w:eastAsiaTheme="majorEastAsia" w:hAnsiTheme="majorHAnsi" w:cs="Arial"/>
          <w:lang w:eastAsia="en-US"/>
        </w:rPr>
        <w:t xml:space="preserve"> poz. 2019 ze zm.) – dalej: ustawa </w:t>
      </w:r>
      <w:proofErr w:type="spellStart"/>
      <w:r w:rsidRPr="001D762C">
        <w:rPr>
          <w:rFonts w:asciiTheme="majorHAnsi" w:eastAsiaTheme="majorEastAsia" w:hAnsiTheme="majorHAnsi" w:cs="Arial"/>
          <w:lang w:eastAsia="en-US"/>
        </w:rPr>
        <w:t>Pzp</w:t>
      </w:r>
      <w:proofErr w:type="spellEnd"/>
      <w:r w:rsidRPr="001D762C">
        <w:rPr>
          <w:rFonts w:asciiTheme="majorHAnsi" w:eastAsiaTheme="majorEastAsia" w:hAnsiTheme="majorHAnsi" w:cs="Arial"/>
          <w:lang w:eastAsia="en-US"/>
        </w:rPr>
        <w:t>.</w:t>
      </w:r>
    </w:p>
    <w:p w14:paraId="61C4BEF9" w14:textId="77777777" w:rsidR="001D762C" w:rsidRPr="001D762C" w:rsidRDefault="001D762C" w:rsidP="001D762C">
      <w:pPr>
        <w:jc w:val="both"/>
        <w:rPr>
          <w:rFonts w:asciiTheme="majorHAnsi" w:eastAsiaTheme="majorEastAsia" w:hAnsiTheme="majorHAnsi" w:cs="Arial"/>
          <w:lang w:eastAsia="en-US"/>
        </w:rPr>
      </w:pPr>
    </w:p>
    <w:p w14:paraId="53DF4CB1" w14:textId="1521BA3A"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Zamawiający </w:t>
      </w:r>
      <w:r w:rsidRPr="001D762C">
        <w:rPr>
          <w:rFonts w:asciiTheme="majorHAnsi" w:eastAsiaTheme="majorEastAsia" w:hAnsiTheme="majorHAnsi" w:cs="Arial"/>
          <w:b/>
          <w:lang w:eastAsia="en-US"/>
        </w:rPr>
        <w:t>przewiduje możliwość</w:t>
      </w:r>
      <w:r w:rsidRPr="001D762C">
        <w:rPr>
          <w:rFonts w:asciiTheme="majorHAnsi" w:eastAsiaTheme="majorEastAsia" w:hAnsiTheme="majorHAnsi" w:cs="Arial"/>
          <w:lang w:eastAsia="en-US"/>
        </w:rPr>
        <w:t xml:space="preserve"> ograniczenia liczby wykonawców.</w:t>
      </w:r>
    </w:p>
    <w:p w14:paraId="3DAC591C" w14:textId="61F3D162"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Maksymalna liczba wykonawców, których zamawiający zaprosi do negocjacji ofert: </w:t>
      </w:r>
      <w:r>
        <w:rPr>
          <w:rFonts w:asciiTheme="majorHAnsi" w:eastAsiaTheme="majorEastAsia" w:hAnsiTheme="majorHAnsi" w:cs="Arial"/>
          <w:lang w:eastAsia="en-US"/>
        </w:rPr>
        <w:t>3</w:t>
      </w:r>
    </w:p>
    <w:p w14:paraId="17E349F0" w14:textId="671BD196"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Kryteria oceny ofert, które zamierza stosować w celu ograniczenia liczby wykonawców zapraszanych do negocjacji ofert: </w:t>
      </w:r>
      <w:r>
        <w:rPr>
          <w:rFonts w:asciiTheme="majorHAnsi" w:eastAsiaTheme="majorEastAsia" w:hAnsiTheme="majorHAnsi" w:cs="Arial"/>
          <w:lang w:eastAsia="en-US"/>
        </w:rPr>
        <w:t>cena, okres gwarancji i rękojmi za wady.</w:t>
      </w:r>
    </w:p>
    <w:p w14:paraId="05982999" w14:textId="77777777" w:rsidR="001D762C" w:rsidRPr="001D762C" w:rsidRDefault="001D762C" w:rsidP="001D762C">
      <w:pPr>
        <w:jc w:val="both"/>
        <w:rPr>
          <w:rFonts w:asciiTheme="majorHAnsi" w:eastAsiaTheme="majorEastAsia" w:hAnsiTheme="majorHAnsi" w:cs="Arial"/>
          <w:lang w:eastAsia="en-US"/>
        </w:rPr>
      </w:pPr>
    </w:p>
    <w:p w14:paraId="398088E8" w14:textId="77777777"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lastRenderedPageBreak/>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lastRenderedPageBreak/>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777777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Rozmiar zamówienia nie wymaga podziału na części. Zamówienia nie przekracza kwot określonych w art. 11 ust. 8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lastRenderedPageBreak/>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593CD049"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92635C">
        <w:rPr>
          <w:rFonts w:asciiTheme="majorHAnsi" w:eastAsiaTheme="majorEastAsia" w:hAnsiTheme="majorHAnsi" w:cstheme="majorBidi"/>
          <w:b/>
          <w:lang w:eastAsia="en-US"/>
        </w:rPr>
        <w:t>Remont placu przy Szkole Podstawowej nr 2 w Gniewkowie</w:t>
      </w:r>
      <w:r w:rsidR="00895FFD" w:rsidRPr="00895FFD">
        <w:rPr>
          <w:rFonts w:asciiTheme="majorHAnsi" w:eastAsiaTheme="majorEastAsia" w:hAnsiTheme="majorHAnsi" w:cstheme="majorBidi"/>
          <w:b/>
          <w:lang w:eastAsia="en-US"/>
        </w:rPr>
        <w:t>.</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BA9B7C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4C17DA">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07CDCCAF"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3C75">
        <w:rPr>
          <w:rFonts w:asciiTheme="majorHAnsi" w:hAnsiTheme="majorHAnsi" w:cstheme="majorBidi"/>
          <w:b/>
          <w:highlight w:val="lightGray"/>
          <w:lang w:eastAsia="en-US"/>
        </w:rPr>
        <w:t xml:space="preserve">2019 </w:t>
      </w:r>
      <w:r w:rsidRPr="00773D17">
        <w:rPr>
          <w:rFonts w:asciiTheme="majorHAnsi" w:hAnsiTheme="majorHAnsi" w:cstheme="majorBidi"/>
          <w:b/>
          <w:highlight w:val="lightGray"/>
          <w:lang w:eastAsia="en-US"/>
        </w:rPr>
        <w:t>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200798BC" w:rsidR="00AA4F20" w:rsidRPr="008468A9"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8468A9">
        <w:rPr>
          <w:rFonts w:asciiTheme="majorHAnsi" w:eastAsiaTheme="majorEastAsia" w:hAnsiTheme="majorHAnsi" w:cstheme="majorBidi"/>
          <w:lang w:eastAsia="en-US"/>
        </w:rPr>
        <w:t xml:space="preserve">są roboty budowlane związane z </w:t>
      </w:r>
      <w:r w:rsidR="0092635C">
        <w:rPr>
          <w:rFonts w:asciiTheme="majorHAnsi" w:eastAsiaTheme="majorEastAsia" w:hAnsiTheme="majorHAnsi" w:cstheme="majorBidi"/>
          <w:b/>
          <w:lang w:eastAsia="en-US"/>
        </w:rPr>
        <w:t>remontem placu przy Szkole Podstawowej nr 2 w Gniewkowie</w:t>
      </w:r>
      <w:r w:rsidR="008468A9" w:rsidRPr="008468A9">
        <w:rPr>
          <w:rFonts w:asciiTheme="majorHAnsi" w:eastAsiaTheme="majorEastAsia" w:hAnsiTheme="majorHAnsi" w:cstheme="majorBidi"/>
          <w:b/>
          <w:lang w:eastAsia="en-US"/>
        </w:rPr>
        <w:t>.</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5E7FD71F" w14:textId="594F2C3D" w:rsidR="0086693A" w:rsidRDefault="0086693A" w:rsidP="0086693A">
      <w:pPr>
        <w:widowControl w:val="0"/>
        <w:spacing w:after="200" w:line="252" w:lineRule="auto"/>
        <w:ind w:left="360"/>
        <w:contextualSpacing/>
        <w:jc w:val="both"/>
        <w:rPr>
          <w:rFonts w:asciiTheme="majorHAnsi" w:eastAsiaTheme="majorEastAsia" w:hAnsiTheme="majorHAnsi" w:cstheme="majorBidi"/>
          <w:lang w:eastAsia="en-US"/>
        </w:rPr>
      </w:pPr>
      <w:r w:rsidRPr="0086693A">
        <w:rPr>
          <w:rFonts w:asciiTheme="majorHAnsi" w:eastAsiaTheme="majorEastAsia" w:hAnsiTheme="majorHAnsi" w:cstheme="majorBidi"/>
          <w:lang w:eastAsia="en-US"/>
        </w:rPr>
        <w:t>45230000-8</w:t>
      </w:r>
      <w:r>
        <w:rPr>
          <w:rFonts w:asciiTheme="majorHAnsi" w:eastAsiaTheme="majorEastAsia" w:hAnsiTheme="majorHAnsi" w:cstheme="majorBidi"/>
          <w:lang w:eastAsia="en-US"/>
        </w:rPr>
        <w:t xml:space="preserve">- </w:t>
      </w:r>
      <w:r w:rsidRPr="0086693A">
        <w:rPr>
          <w:rFonts w:asciiTheme="majorHAnsi" w:eastAsiaTheme="majorEastAsia" w:hAnsiTheme="majorHAnsi" w:cstheme="majorBidi"/>
          <w:lang w:eastAsia="en-US"/>
        </w:rPr>
        <w:t xml:space="preserve">Roboty budowlane w zakresie budowy rurociągów, linii komunikacyjnych i elektroenergetycznych, autostrad, dróg, lotnisk i kolei; wyrównywanie terenu </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16E56BD7" w:rsidR="00AA4F20" w:rsidRPr="00773D17" w:rsidRDefault="008468A9"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dokumentacja projektowa, tj. Projekt Wykonawczy, Specyfikacja Techniczna Wykonania i Odbioru Robót Budowlany</w:t>
      </w:r>
      <w:r w:rsidR="00503CDA">
        <w:rPr>
          <w:rFonts w:asciiTheme="majorHAnsi" w:eastAsiaTheme="majorEastAsia" w:hAnsiTheme="majorHAnsi" w:cstheme="majorBidi"/>
          <w:lang w:eastAsia="en-US"/>
        </w:rPr>
        <w:t>ch, Przedmiar Robót Budowlanych- zał. 10- 13 do SWZ;</w:t>
      </w:r>
    </w:p>
    <w:p w14:paraId="0720C4B8" w14:textId="22439285" w:rsidR="00AA4F20" w:rsidRPr="0086693A"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C0153A">
        <w:rPr>
          <w:rFonts w:asciiTheme="majorHAnsi" w:eastAsiaTheme="majorEastAsia" w:hAnsiTheme="majorHAnsi" w:cstheme="majorBidi"/>
          <w:lang w:eastAsia="en-US"/>
        </w:rPr>
        <w:t>9</w:t>
      </w:r>
      <w:r w:rsidR="00AA4F20" w:rsidRPr="00773D17">
        <w:rPr>
          <w:rFonts w:asciiTheme="majorHAnsi" w:eastAsiaTheme="majorEastAsia" w:hAnsiTheme="majorHAnsi" w:cstheme="majorBidi"/>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50114194" w14:textId="14D8CC8C" w:rsidR="0086693A"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w:t>
      </w:r>
      <w:r w:rsidR="00486B66">
        <w:rPr>
          <w:rFonts w:asciiTheme="majorHAnsi" w:eastAsiaTheme="majorEastAsia" w:hAnsiTheme="majorHAnsi" w:cstheme="majorBidi"/>
          <w:lang w:eastAsia="en-US"/>
        </w:rPr>
        <w:t xml:space="preserve"> (naprawy, dozorowanie budowy), </w:t>
      </w:r>
      <w:r>
        <w:rPr>
          <w:rFonts w:asciiTheme="majorHAnsi" w:eastAsiaTheme="majorEastAsia" w:hAnsiTheme="majorHAnsi" w:cstheme="majorBidi"/>
          <w:lang w:eastAsia="en-US"/>
        </w:rPr>
        <w:t>itp., należą do Wykonawcy i stanowią jego koszt.</w:t>
      </w:r>
    </w:p>
    <w:p w14:paraId="533330D1" w14:textId="68F2FDA8" w:rsidR="002958B7"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trakcie realizacji prac Wykonawca jest zobowiązany do przestrzegania przepisów BHP oraz ograniczenia uciążliwości prowadzenia robót.</w:t>
      </w:r>
    </w:p>
    <w:p w14:paraId="749A927F" w14:textId="73620CD5" w:rsidR="002958B7" w:rsidRPr="00F92F39" w:rsidRDefault="00F92F39"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Wymienione w komplecie dokumentacji nazwy wyrobów/ produktów wskazujące na konkretnego producenta są wyłącznie przykładem ich użycia przy realizacji przedmiotu zamówienia i nie należy ich traktować jako zobowiązujących, gdyż w żaden sposób nie wiążą one Wykonawcy.</w:t>
      </w:r>
    </w:p>
    <w:p w14:paraId="0419F895" w14:textId="3882334A" w:rsidR="00F92F39" w:rsidRPr="00694BE5" w:rsidRDefault="00F92F39"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lastRenderedPageBreak/>
        <w:t xml:space="preserve">Wykonawca zapewnia nowe materiały i urządzenia niezbędne do wykonania przedmiotu umowy, posiadające aktualne atesty i certyfikaty pozwalające na ich stosowanie. Materiały użyte do wykonania zamówienia muszą być dopuszczone do </w:t>
      </w:r>
      <w:r w:rsidR="00694BE5">
        <w:rPr>
          <w:rFonts w:asciiTheme="majorHAnsi" w:eastAsiaTheme="majorEastAsia" w:hAnsiTheme="majorHAnsi" w:cstheme="majorBidi"/>
          <w:lang w:eastAsia="en-US"/>
        </w:rPr>
        <w:t>zgodnie z ustawą z dnia 16 kwietnia 2004 r. o wyrobach budowlanych (</w:t>
      </w:r>
      <w:r w:rsidR="00694BE5" w:rsidRPr="00694BE5">
        <w:rPr>
          <w:rFonts w:asciiTheme="majorHAnsi" w:eastAsiaTheme="majorEastAsia" w:hAnsiTheme="majorHAnsi" w:cstheme="majorBidi"/>
          <w:lang w:eastAsia="en-US"/>
        </w:rPr>
        <w:t>Dz.U.2020.215</w:t>
      </w:r>
      <w:r w:rsidR="00694BE5">
        <w:rPr>
          <w:rFonts w:asciiTheme="majorHAnsi" w:eastAsiaTheme="majorEastAsia" w:hAnsiTheme="majorHAnsi" w:cstheme="majorBidi"/>
          <w:lang w:eastAsia="en-US"/>
        </w:rPr>
        <w:t xml:space="preserve">) wraz z aktami wykonawczymi. </w:t>
      </w:r>
    </w:p>
    <w:p w14:paraId="75F65D58" w14:textId="250DD864"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694BE5">
        <w:rPr>
          <w:rFonts w:asciiTheme="majorHAnsi" w:eastAsiaTheme="majorEastAsia" w:hAnsiTheme="majorHAnsi" w:cstheme="majorBidi"/>
          <w:b/>
          <w:lang w:eastAsia="en-US"/>
        </w:rPr>
        <w:t>zaleca</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C12E7A"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0CCE2DD6" w14:textId="5A3C611D" w:rsidR="00E9372E"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Transport materiałów na plac budowy (miejsce wykonania zamówienia) oraz dostarczenie i eksploatacja maszyn i urządzeń niezbędnych do prawidłowego wykonania zamówienia obciążają Wykonawcę.</w:t>
      </w:r>
    </w:p>
    <w:p w14:paraId="7A20DFF3" w14:textId="5B91FE6A"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w razie wytworzenia odpadów jest zobowiązany do postępowania określonego przepisami ustawy z dnia 14 grudnia 2012 r. o odpadach (</w:t>
      </w:r>
      <w:r w:rsidRPr="00E9372E">
        <w:rPr>
          <w:rFonts w:asciiTheme="majorHAnsi" w:eastAsiaTheme="majorEastAsia" w:hAnsiTheme="majorHAnsi" w:cstheme="majorBidi"/>
          <w:lang w:eastAsia="en-US"/>
        </w:rPr>
        <w:t>Dz.U.2020.797</w:t>
      </w:r>
      <w:r>
        <w:rPr>
          <w:rFonts w:asciiTheme="majorHAnsi" w:eastAsiaTheme="majorEastAsia" w:hAnsiTheme="majorHAnsi" w:cstheme="majorBidi"/>
          <w:lang w:eastAsia="en-US"/>
        </w:rPr>
        <w:t>), a w szczególności jest obowiązany do gospodarowania tymi odpadami.</w:t>
      </w:r>
    </w:p>
    <w:p w14:paraId="2C9141B1" w14:textId="040D745D"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mając na uwadze, że jeżeli w jakimkolwiek miejscu w Specyfikacji Warunków Zamówienia, tj. projektach, opisach technicznych, przedmiarach robót, rysunkach oraz specyfikacjach technicznych wykonania i odbioru robót budowlanych zostały wskazane nazwy producenta, nazwy własne, znaki towarowe, patenty lub pochodzenie źródła lub szczególnego procesu, który charakteryzuje produkty lub usługi dostarczone przez konkretnego Wykonawcę, materiałów czy urządzeń służących do wykonania robót budowlanych będących przedmiotem zamówienia- dopuszcza możliwość zastosowania materiałów równoważnych lub lepszych. Oznacza to, że </w:t>
      </w:r>
      <w:r w:rsidRPr="00E9372E">
        <w:rPr>
          <w:rFonts w:asciiTheme="majorHAnsi" w:eastAsiaTheme="majorEastAsia" w:hAnsiTheme="majorHAnsi" w:cstheme="majorBidi"/>
          <w:lang w:eastAsia="en-US"/>
        </w:rPr>
        <w:t>przewidziane przez Wykonawcę do zastosowania na etapie realizacji robót materiały i urządzenia powinny spełniać parametry określone w dokumentacji przetargowej postępowania i nie powinny być gorsze od jej założeń (równe lub lepsze). Zamawiający dopuszcza wszelkie rynkowe odpowiedniki o parametrach równych lub lepszych niż wskazane.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14:paraId="0E0802CC" w14:textId="1C8C1AFD"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 xml:space="preserve">Zamawiający </w:t>
      </w:r>
      <w:r w:rsidRPr="00E9372E">
        <w:rPr>
          <w:rFonts w:asciiTheme="majorHAnsi" w:eastAsiaTheme="majorEastAsia" w:hAnsiTheme="majorHAnsi" w:cstheme="majorBidi"/>
          <w:b/>
          <w:lang w:eastAsia="en-US"/>
        </w:rPr>
        <w:t>wymaga przed podpisaniem umowy</w:t>
      </w: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 xml:space="preserve">złożenia </w:t>
      </w:r>
      <w:r w:rsidRPr="00E9372E">
        <w:rPr>
          <w:rFonts w:asciiTheme="majorHAnsi" w:eastAsiaTheme="majorEastAsia" w:hAnsiTheme="majorHAnsi" w:cstheme="majorBidi"/>
          <w:lang w:eastAsia="en-US"/>
        </w:rPr>
        <w:t>(w celach informacyjnych) kosztorysu obrazującego sposób obliczania ceny. Kosztorys ma być</w:t>
      </w:r>
      <w:r>
        <w:rPr>
          <w:rFonts w:asciiTheme="majorHAnsi" w:eastAsiaTheme="majorEastAsia" w:hAnsiTheme="majorHAnsi" w:cstheme="majorBidi"/>
          <w:lang w:eastAsia="en-US"/>
        </w:rPr>
        <w:t xml:space="preserve"> sporządzony metodą szczegółową </w:t>
      </w:r>
      <w:r w:rsidRPr="00E9372E">
        <w:rPr>
          <w:rFonts w:asciiTheme="majorHAnsi" w:eastAsiaTheme="majorEastAsia" w:hAnsiTheme="majorHAnsi" w:cstheme="majorBidi"/>
          <w:lang w:eastAsia="en-US"/>
        </w:rPr>
        <w:t xml:space="preserve">(zgodnie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w:t>
      </w:r>
      <w:r w:rsidRPr="00E9372E">
        <w:rPr>
          <w:rFonts w:asciiTheme="majorHAnsi" w:eastAsiaTheme="majorEastAsia" w:hAnsiTheme="majorHAnsi" w:cstheme="majorBidi"/>
          <w:lang w:eastAsia="en-US"/>
        </w:rPr>
        <w:lastRenderedPageBreak/>
        <w:t>scalonych. Zamawiający nie będzie sprawdzał ani poprawiał kosztorysu Wykonawcy przyjmując, że prawidłowo podano cenę ryczałtową ogółem w formularzu ofertowym.</w:t>
      </w:r>
    </w:p>
    <w:p w14:paraId="33D8E356" w14:textId="41CADA6F" w:rsid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 Zamawiający udostępnia przedmiary robót tylko jako materiał pomocniczy, wyjściowy.</w:t>
      </w:r>
    </w:p>
    <w:p w14:paraId="59AE7E28" w14:textId="616AC968"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r w:rsidR="007B184A">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76C08CF9" w:rsidR="002B582F" w:rsidRDefault="002B582F" w:rsidP="00503CDA">
      <w:pPr>
        <w:pStyle w:val="Akapitzlist"/>
        <w:numPr>
          <w:ilvl w:val="0"/>
          <w:numId w:val="36"/>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pracowników fizycznych bezpośrednio wykonujących roboty budowlane opisane lub wynikające z dokumentacji projektowej i Specyfikacji Technicznego Wykonania i Odbioru Robót, </w:t>
      </w:r>
      <w:r w:rsidRPr="000F41B3">
        <w:rPr>
          <w:rFonts w:asciiTheme="majorHAnsi" w:hAnsiTheme="majorHAnsi"/>
        </w:rPr>
        <w:t>w ilości osób niezbędnej do r</w:t>
      </w:r>
      <w:r w:rsidR="007B1AB3">
        <w:rPr>
          <w:rFonts w:asciiTheme="majorHAnsi" w:hAnsiTheme="majorHAnsi"/>
        </w:rPr>
        <w:t xml:space="preserve">ealizacji przedmiotu zamówienia, </w:t>
      </w:r>
      <w:r w:rsidR="007B1AB3" w:rsidRPr="00980423">
        <w:rPr>
          <w:rFonts w:eastAsia="Calibri"/>
          <w:color w:val="000000" w:themeColor="text1"/>
        </w:rPr>
        <w:t>za wyjątkiem prac wykonywanych przez kierow</w:t>
      </w:r>
      <w:r w:rsidR="007B1AB3">
        <w:rPr>
          <w:rFonts w:eastAsia="Calibri"/>
          <w:color w:val="000000" w:themeColor="text1"/>
        </w:rPr>
        <w:t xml:space="preserve">nika budowy, kierownika robót , geodetę i </w:t>
      </w:r>
      <w:r w:rsidR="007B1AB3" w:rsidRPr="00980423">
        <w:rPr>
          <w:rFonts w:eastAsia="Calibri"/>
          <w:color w:val="000000" w:themeColor="text1"/>
        </w:rPr>
        <w:t>projektantów.</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lastRenderedPageBreak/>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4AD31EC6"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AA1427">
        <w:rPr>
          <w:rFonts w:asciiTheme="majorHAnsi" w:eastAsiaTheme="majorEastAsia" w:hAnsiTheme="majorHAnsi" w:cstheme="majorBidi"/>
          <w:b/>
          <w:lang w:eastAsia="en-US"/>
        </w:rPr>
        <w:t>2</w:t>
      </w:r>
      <w:r w:rsidR="008A61F8">
        <w:rPr>
          <w:rFonts w:asciiTheme="majorHAnsi" w:eastAsiaTheme="majorEastAsia" w:hAnsiTheme="majorHAnsi" w:cstheme="majorBidi"/>
          <w:b/>
          <w:lang w:eastAsia="en-US"/>
        </w:rPr>
        <w:t xml:space="preserve"> </w:t>
      </w:r>
      <w:r w:rsidR="000F41B3">
        <w:rPr>
          <w:rFonts w:asciiTheme="majorHAnsi" w:eastAsiaTheme="majorEastAsia" w:hAnsiTheme="majorHAnsi" w:cstheme="majorBidi"/>
          <w:b/>
          <w:lang w:eastAsia="en-US"/>
        </w:rPr>
        <w:t xml:space="preserve">miesięcy </w:t>
      </w:r>
      <w:r w:rsidR="00F04C1F" w:rsidRPr="00773D17">
        <w:rPr>
          <w:rFonts w:asciiTheme="majorHAnsi" w:eastAsiaTheme="majorEastAsia" w:hAnsiTheme="majorHAnsi" w:cstheme="majorBidi"/>
          <w:b/>
          <w:lang w:eastAsia="en-US"/>
        </w:rPr>
        <w:t>od dnia podpisania umowy</w:t>
      </w:r>
      <w:r w:rsidR="005179D5">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lastRenderedPageBreak/>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16F3384" w14:textId="77777777" w:rsidR="008B58DE" w:rsidRDefault="008B58DE" w:rsidP="00DB65A7">
      <w:pPr>
        <w:ind w:left="-142"/>
        <w:jc w:val="both"/>
        <w:rPr>
          <w:rFonts w:asciiTheme="majorHAnsi" w:eastAsiaTheme="majorEastAsia" w:hAnsiTheme="majorHAnsi" w:cstheme="majorBidi"/>
          <w:i/>
          <w:lang w:eastAsia="en-US"/>
        </w:rPr>
      </w:pPr>
    </w:p>
    <w:p w14:paraId="5D40307B" w14:textId="095F0C2D" w:rsidR="002A0F78" w:rsidRPr="00363290"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A) Doświadczenie zawodowe</w:t>
      </w:r>
    </w:p>
    <w:p w14:paraId="0290D599" w14:textId="41BA32D7" w:rsidR="002A0F78" w:rsidRDefault="002A0F78" w:rsidP="00DB65A7">
      <w:pPr>
        <w:ind w:left="-142"/>
        <w:jc w:val="both"/>
        <w:rPr>
          <w:rFonts w:asciiTheme="majorHAnsi" w:eastAsiaTheme="majorEastAsia" w:hAnsiTheme="majorHAnsi" w:cstheme="majorBidi"/>
          <w:lang w:eastAsia="en-US"/>
        </w:rPr>
      </w:pPr>
      <w:r w:rsidRPr="002A0F78">
        <w:rPr>
          <w:rFonts w:asciiTheme="majorHAnsi" w:eastAsiaTheme="majorEastAsia" w:hAnsiTheme="majorHAnsi" w:cstheme="majorBidi"/>
          <w:lang w:eastAsia="en-US"/>
        </w:rPr>
        <w:t>Wykonawca posiada wiedzę i doświadc</w:t>
      </w:r>
      <w:r w:rsidR="002141F4">
        <w:rPr>
          <w:rFonts w:asciiTheme="majorHAnsi" w:eastAsiaTheme="majorEastAsia" w:hAnsiTheme="majorHAnsi" w:cstheme="majorBidi"/>
          <w:lang w:eastAsia="en-US"/>
        </w:rPr>
        <w:t>zenie, tj. w okresie ostatnich 5</w:t>
      </w:r>
      <w:r w:rsidRPr="002A0F78">
        <w:rPr>
          <w:rFonts w:asciiTheme="majorHAnsi" w:eastAsiaTheme="majorEastAsia" w:hAnsiTheme="majorHAnsi" w:cstheme="majorBidi"/>
          <w:lang w:eastAsia="en-US"/>
        </w:rPr>
        <w:t xml:space="preserve"> la</w:t>
      </w:r>
      <w:r w:rsidR="00363290">
        <w:rPr>
          <w:rFonts w:asciiTheme="majorHAnsi" w:eastAsiaTheme="majorEastAsia" w:hAnsiTheme="majorHAnsi" w:cstheme="majorBidi"/>
          <w:lang w:eastAsia="en-US"/>
        </w:rPr>
        <w:t>t</w:t>
      </w:r>
      <w:r w:rsidRPr="002A0F78">
        <w:rPr>
          <w:rFonts w:asciiTheme="majorHAnsi" w:eastAsiaTheme="majorEastAsia" w:hAnsiTheme="majorHAnsi" w:cstheme="majorBidi"/>
          <w:lang w:eastAsia="en-US"/>
        </w:rPr>
        <w:t xml:space="preserve"> przed upływem terminu składania ofert, a jeżeli okres prowadzenia działalności jest krótszy- w tym okresie, wykonał </w:t>
      </w:r>
      <w:r w:rsidRPr="00695332">
        <w:rPr>
          <w:rFonts w:asciiTheme="majorHAnsi" w:eastAsiaTheme="majorEastAsia" w:hAnsiTheme="majorHAnsi" w:cstheme="majorBidi"/>
          <w:b/>
          <w:lang w:eastAsia="en-US"/>
        </w:rPr>
        <w:t xml:space="preserve">co najmniej </w:t>
      </w:r>
      <w:r w:rsidR="004B62DA">
        <w:rPr>
          <w:rFonts w:asciiTheme="majorHAnsi" w:eastAsiaTheme="majorEastAsia" w:hAnsiTheme="majorHAnsi" w:cstheme="majorBidi"/>
          <w:b/>
          <w:lang w:eastAsia="en-US"/>
        </w:rPr>
        <w:t>1</w:t>
      </w:r>
      <w:r w:rsidRPr="00695332">
        <w:rPr>
          <w:rFonts w:asciiTheme="majorHAnsi" w:eastAsiaTheme="majorEastAsia" w:hAnsiTheme="majorHAnsi" w:cstheme="majorBidi"/>
          <w:b/>
          <w:lang w:eastAsia="en-US"/>
        </w:rPr>
        <w:t xml:space="preserve"> </w:t>
      </w:r>
      <w:r w:rsidR="00803B4C">
        <w:rPr>
          <w:rFonts w:asciiTheme="majorHAnsi" w:eastAsiaTheme="majorEastAsia" w:hAnsiTheme="majorHAnsi" w:cstheme="majorBidi"/>
          <w:b/>
          <w:lang w:eastAsia="en-US"/>
        </w:rPr>
        <w:t>robotę budowlaną</w:t>
      </w:r>
      <w:r w:rsidRPr="002A0F78">
        <w:rPr>
          <w:rFonts w:asciiTheme="majorHAnsi" w:eastAsiaTheme="majorEastAsia" w:hAnsiTheme="majorHAnsi" w:cstheme="majorBidi"/>
          <w:lang w:eastAsia="en-US"/>
        </w:rPr>
        <w:t xml:space="preserve"> polegające na </w:t>
      </w:r>
      <w:r w:rsidR="00803B4C">
        <w:rPr>
          <w:rFonts w:asciiTheme="majorHAnsi" w:eastAsiaTheme="majorEastAsia" w:hAnsiTheme="majorHAnsi" w:cstheme="majorBidi"/>
          <w:b/>
          <w:lang w:eastAsia="en-US"/>
        </w:rPr>
        <w:t xml:space="preserve">budowie przebudowie lub </w:t>
      </w:r>
      <w:r w:rsidR="002141F4">
        <w:rPr>
          <w:rFonts w:asciiTheme="majorHAnsi" w:eastAsiaTheme="majorEastAsia" w:hAnsiTheme="majorHAnsi" w:cstheme="majorBidi"/>
          <w:b/>
          <w:lang w:eastAsia="en-US"/>
        </w:rPr>
        <w:t>remoncie</w:t>
      </w:r>
      <w:r w:rsidR="004B62DA">
        <w:rPr>
          <w:rFonts w:asciiTheme="majorHAnsi" w:eastAsiaTheme="majorEastAsia" w:hAnsiTheme="majorHAnsi" w:cstheme="majorBidi"/>
          <w:b/>
          <w:lang w:eastAsia="en-US"/>
        </w:rPr>
        <w:t xml:space="preserve"> </w:t>
      </w:r>
      <w:r w:rsidR="0024138C">
        <w:rPr>
          <w:rFonts w:asciiTheme="majorHAnsi" w:eastAsiaTheme="majorEastAsia" w:hAnsiTheme="majorHAnsi" w:cstheme="majorBidi"/>
          <w:b/>
          <w:lang w:eastAsia="en-US"/>
        </w:rPr>
        <w:t xml:space="preserve">drogi, parkingu lub </w:t>
      </w:r>
      <w:r w:rsidR="00803B4C">
        <w:rPr>
          <w:rFonts w:asciiTheme="majorHAnsi" w:eastAsiaTheme="majorEastAsia" w:hAnsiTheme="majorHAnsi" w:cstheme="majorBidi"/>
          <w:b/>
          <w:lang w:eastAsia="en-US"/>
        </w:rPr>
        <w:t>placu o nawierzchni z kostki betonowej,</w:t>
      </w:r>
      <w:r w:rsidR="004B62DA">
        <w:rPr>
          <w:rFonts w:asciiTheme="majorHAnsi" w:eastAsiaTheme="majorEastAsia" w:hAnsiTheme="majorHAnsi" w:cstheme="majorBidi"/>
          <w:b/>
          <w:lang w:eastAsia="en-US"/>
        </w:rPr>
        <w:t xml:space="preserve"> o wartości</w:t>
      </w:r>
      <w:r w:rsidR="00803B4C">
        <w:rPr>
          <w:rFonts w:asciiTheme="majorHAnsi" w:eastAsiaTheme="majorEastAsia" w:hAnsiTheme="majorHAnsi" w:cstheme="majorBidi"/>
          <w:b/>
          <w:lang w:eastAsia="en-US"/>
        </w:rPr>
        <w:t xml:space="preserve"> zadania nie mniejszej niż 150.000,00</w:t>
      </w:r>
      <w:r w:rsidR="004B62DA">
        <w:rPr>
          <w:rFonts w:asciiTheme="majorHAnsi" w:eastAsiaTheme="majorEastAsia" w:hAnsiTheme="majorHAnsi" w:cstheme="majorBidi"/>
          <w:b/>
          <w:lang w:eastAsia="en-US"/>
        </w:rPr>
        <w:t xml:space="preserve"> zł brutto</w:t>
      </w:r>
      <w:r w:rsidR="002141F4">
        <w:rPr>
          <w:rFonts w:asciiTheme="majorHAnsi" w:eastAsiaTheme="majorEastAsia" w:hAnsiTheme="majorHAnsi" w:cstheme="majorBidi"/>
          <w:b/>
          <w:lang w:eastAsia="en-US"/>
        </w:rPr>
        <w:t xml:space="preserve"> </w:t>
      </w:r>
      <w:r w:rsidR="002141F4" w:rsidRPr="002141F4">
        <w:rPr>
          <w:rFonts w:asciiTheme="majorHAnsi" w:eastAsiaTheme="majorEastAsia" w:hAnsiTheme="majorHAnsi" w:cstheme="majorBidi"/>
          <w:lang w:eastAsia="en-US"/>
        </w:rPr>
        <w:t>oraz załączy dowody określające, czy roboty budowlane zostały wykonane należycie, w szczególności, czy zostały wykonane zgodnie z przepisami prawa budowlanego i prawidłowo ukończone.</w:t>
      </w:r>
      <w:r w:rsidR="002141F4">
        <w:rPr>
          <w:rFonts w:asciiTheme="majorHAnsi" w:eastAsiaTheme="majorEastAsia" w:hAnsiTheme="majorHAnsi" w:cstheme="majorBidi"/>
          <w:b/>
          <w:lang w:eastAsia="en-US"/>
        </w:rPr>
        <w:t xml:space="preserve"> </w:t>
      </w:r>
    </w:p>
    <w:p w14:paraId="238384B1" w14:textId="77777777" w:rsidR="00117227" w:rsidRDefault="00117227" w:rsidP="00DB65A7">
      <w:pPr>
        <w:ind w:left="-142"/>
        <w:jc w:val="both"/>
        <w:rPr>
          <w:rFonts w:asciiTheme="majorHAnsi" w:eastAsiaTheme="majorEastAsia" w:hAnsiTheme="majorHAnsi" w:cstheme="majorBidi"/>
          <w:lang w:eastAsia="en-US"/>
        </w:rPr>
      </w:pPr>
    </w:p>
    <w:p w14:paraId="0AB31F97" w14:textId="14F1DB9D"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 xml:space="preserve">Wzór wykaz </w:t>
      </w:r>
      <w:r w:rsidR="00B65095">
        <w:rPr>
          <w:rFonts w:asciiTheme="majorHAnsi" w:eastAsiaTheme="majorEastAsia" w:hAnsiTheme="majorHAnsi" w:cstheme="majorBidi"/>
          <w:b/>
          <w:lang w:eastAsia="en-US"/>
        </w:rPr>
        <w:t xml:space="preserve">robót budowlanych </w:t>
      </w:r>
      <w:r w:rsidRPr="005025AB">
        <w:rPr>
          <w:rFonts w:asciiTheme="majorHAnsi" w:eastAsiaTheme="majorEastAsia" w:hAnsiTheme="majorHAnsi" w:cstheme="majorBidi"/>
          <w:b/>
          <w:lang w:eastAsia="en-US"/>
        </w:rPr>
        <w:t>stanowi załącznik nr 5 do SWZ.</w:t>
      </w:r>
    </w:p>
    <w:p w14:paraId="6E6E9662" w14:textId="14CF8D12" w:rsidR="00363290" w:rsidRPr="002A0F78" w:rsidRDefault="004017F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
    <w:p w14:paraId="1E62D9AB" w14:textId="14A0AD30" w:rsidR="002A0F78"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 xml:space="preserve">B)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2E1C79D7" w14:textId="76FB9B64"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737EE">
        <w:rPr>
          <w:rFonts w:asciiTheme="majorHAnsi" w:eastAsiaTheme="majorEastAsia" w:hAnsiTheme="majorHAnsi" w:cstheme="majorBidi"/>
          <w:lang w:eastAsia="en-US"/>
        </w:rPr>
        <w:t>-</w:t>
      </w:r>
      <w:r w:rsidRPr="00695332">
        <w:rPr>
          <w:rFonts w:asciiTheme="majorHAnsi" w:eastAsiaTheme="majorEastAsia" w:hAnsiTheme="majorHAnsi" w:cstheme="majorBidi"/>
          <w:b/>
          <w:lang w:eastAsia="en-US"/>
        </w:rPr>
        <w:t xml:space="preserve">uprawnienia budowlane do </w:t>
      </w:r>
      <w:r w:rsidR="001737EE">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Pr="00695332">
        <w:rPr>
          <w:rFonts w:asciiTheme="majorHAnsi" w:eastAsiaTheme="majorEastAsia" w:hAnsiTheme="majorHAnsi" w:cstheme="majorBidi"/>
          <w:b/>
          <w:lang w:eastAsia="en-US"/>
        </w:rPr>
        <w:t>w specjalności drogowej bez ograniczeń</w:t>
      </w:r>
    </w:p>
    <w:p w14:paraId="75DEB2F5" w14:textId="5E0B6A58"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7D487496" w14:textId="5FADAC7B" w:rsidR="004017FA" w:rsidRPr="005025AB" w:rsidRDefault="004017FA" w:rsidP="006D6680">
      <w:pPr>
        <w:ind w:left="-142"/>
        <w:jc w:val="both"/>
        <w:rPr>
          <w:rFonts w:asciiTheme="majorHAnsi" w:eastAsiaTheme="majorEastAsia" w:hAnsiTheme="majorHAnsi" w:cstheme="majorBidi"/>
          <w:b/>
          <w:bCs/>
          <w:lang w:eastAsia="en-US"/>
        </w:rPr>
      </w:pPr>
      <w:r w:rsidRPr="005025AB">
        <w:rPr>
          <w:rFonts w:asciiTheme="majorHAnsi" w:eastAsiaTheme="majorEastAsia" w:hAnsiTheme="majorHAnsi" w:cstheme="majorBidi"/>
          <w:b/>
          <w:bCs/>
          <w:lang w:eastAsia="en-US"/>
        </w:rPr>
        <w:t xml:space="preserve">Wzór wykazu osób stanowi załącznik nr 6 do SWZ.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05D75ADE"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podstawie oświadczenia Wykonawcy w formie wykazu usług i osób wraz z dokumentami tam wskazanymi.</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4AE515D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w:t>
      </w:r>
      <w:r>
        <w:rPr>
          <w:rFonts w:asciiTheme="majorHAnsi" w:eastAsiaTheme="majorEastAsia" w:hAnsiTheme="majorHAnsi" w:cstheme="majorBidi"/>
          <w:lang w:eastAsia="en-US"/>
        </w:rPr>
        <w:lastRenderedPageBreak/>
        <w:t>polegać na zdolnościach tych z wykonawców, którzy wykonują usługi, do realizacji których te zdolności są wymagane.</w:t>
      </w:r>
    </w:p>
    <w:p w14:paraId="402E4A4C" w14:textId="147E915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4E95A97D"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wykonawcy mogą polegać na zdolnościach podmiotów udostępniających zasoby, jeśli podmioty te wykonują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lastRenderedPageBreak/>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 xml:space="preserve">który w sposób zawiniony poważnie naruszył obowiązki zawodowe, co podważa jego uczciwość, w szczególności gdy wykonawca w wyniku zamierzonego działania lub </w:t>
      </w:r>
      <w:r w:rsidRPr="000850FA">
        <w:rPr>
          <w:rFonts w:asciiTheme="majorHAnsi" w:eastAsiaTheme="majorEastAsia" w:hAnsiTheme="majorHAnsi" w:cstheme="majorBidi"/>
          <w:lang w:eastAsia="en-US"/>
        </w:rPr>
        <w:lastRenderedPageBreak/>
        <w:t>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21CC092"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lastRenderedPageBreak/>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AB7DAF">
      <w:pPr>
        <w:pStyle w:val="Tekstpodstawowy"/>
        <w:numPr>
          <w:ilvl w:val="0"/>
          <w:numId w:val="12"/>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lastRenderedPageBreak/>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lastRenderedPageBreak/>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 xml:space="preserve">Wykaz musi być złożony w formie elektronicznej lub w postaci elektronicznej opatrzonej podpisem zaufanym, lub podpisem osobistym osoby upoważnionej do </w:t>
      </w:r>
      <w:r w:rsidRPr="00773D17">
        <w:rPr>
          <w:rFonts w:ascii="Cambria" w:hAnsi="Cambria"/>
        </w:rPr>
        <w:lastRenderedPageBreak/>
        <w:t>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165E786E"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w:t>
      </w:r>
      <w:r w:rsidR="00F366D1">
        <w:rPr>
          <w:rFonts w:ascii="Cambria" w:hAnsi="Cambria"/>
        </w:rPr>
        <w:t>dowodowych dotyczących:</w:t>
      </w:r>
    </w:p>
    <w:p w14:paraId="0A113C5E" w14:textId="77777777" w:rsidR="00F366D1" w:rsidRDefault="00F366D1" w:rsidP="00C968E1">
      <w:pPr>
        <w:ind w:left="-142"/>
        <w:jc w:val="both"/>
        <w:rPr>
          <w:rFonts w:asciiTheme="majorHAnsi" w:hAnsiTheme="majorHAnsi"/>
        </w:rPr>
      </w:pPr>
      <w:r>
        <w:rPr>
          <w:rFonts w:asciiTheme="majorHAnsi" w:hAnsiTheme="majorHAnsi"/>
        </w:rPr>
        <w:tab/>
      </w:r>
    </w:p>
    <w:p w14:paraId="38BBB60E" w14:textId="50790E4A" w:rsidR="00C968E1" w:rsidRDefault="00F366D1" w:rsidP="00C968E1">
      <w:pPr>
        <w:ind w:left="-142"/>
        <w:jc w:val="both"/>
        <w:rPr>
          <w:rFonts w:asciiTheme="majorHAnsi" w:hAnsiTheme="majorHAnsi"/>
          <w:b/>
        </w:rPr>
      </w:pPr>
      <w:r w:rsidRPr="009749A9">
        <w:rPr>
          <w:rFonts w:asciiTheme="majorHAnsi" w:hAnsiTheme="majorHAnsi"/>
          <w:b/>
        </w:rPr>
        <w:tab/>
      </w:r>
      <w:r w:rsidR="009749A9" w:rsidRPr="009749A9">
        <w:rPr>
          <w:rFonts w:asciiTheme="majorHAnsi" w:hAnsiTheme="majorHAnsi"/>
          <w:b/>
        </w:rPr>
        <w:t>1. Potwierdzenia s</w:t>
      </w:r>
      <w:r w:rsidRPr="009749A9">
        <w:rPr>
          <w:rFonts w:asciiTheme="majorHAnsi" w:hAnsiTheme="majorHAnsi"/>
          <w:b/>
        </w:rPr>
        <w:t>pełnienia warunków udziału w postępowaniu:</w:t>
      </w:r>
    </w:p>
    <w:p w14:paraId="0218F61F" w14:textId="77777777" w:rsidR="009749A9" w:rsidRDefault="009749A9" w:rsidP="00C968E1">
      <w:pPr>
        <w:ind w:left="-142"/>
        <w:jc w:val="both"/>
        <w:rPr>
          <w:rFonts w:asciiTheme="majorHAnsi" w:hAnsiTheme="majorHAnsi"/>
          <w:b/>
        </w:rPr>
      </w:pPr>
    </w:p>
    <w:p w14:paraId="12A6B551" w14:textId="6C1C6329" w:rsidR="009749A9" w:rsidRDefault="008F2D56" w:rsidP="00C968E1">
      <w:pPr>
        <w:ind w:left="-142"/>
        <w:jc w:val="both"/>
        <w:rPr>
          <w:rFonts w:asciiTheme="majorHAnsi" w:hAnsiTheme="majorHAnsi"/>
        </w:rPr>
      </w:pPr>
      <w:r>
        <w:rPr>
          <w:rFonts w:asciiTheme="majorHAnsi" w:hAnsiTheme="majorHAnsi"/>
          <w:b/>
        </w:rPr>
        <w:tab/>
        <w:t xml:space="preserve">A) Zdolność techniczna lub zawodowa- Doświadczenie zawodowe- </w:t>
      </w:r>
      <w:r>
        <w:rPr>
          <w:rFonts w:asciiTheme="majorHAnsi" w:hAnsiTheme="majorHAnsi"/>
        </w:rPr>
        <w:t xml:space="preserve">Wykaz </w:t>
      </w:r>
      <w:r w:rsidR="00621CEF">
        <w:rPr>
          <w:rFonts w:asciiTheme="majorHAnsi" w:hAnsiTheme="majorHAnsi"/>
        </w:rPr>
        <w:t>robót budowlanych wykonanych nie wcześniej niż w okresie ostatnich 5 lat,</w:t>
      </w:r>
      <w:r>
        <w:rPr>
          <w:rFonts w:asciiTheme="majorHAnsi" w:hAnsiTheme="majorHAnsi"/>
        </w:rPr>
        <w:t xml:space="preserve"> a jeżeli okres prowadzenia działalności jest krótszy- w tym okresie, wraz z podaniem ich </w:t>
      </w:r>
      <w:r w:rsidR="00621CEF">
        <w:rPr>
          <w:rFonts w:asciiTheme="majorHAnsi" w:hAnsiTheme="majorHAnsi"/>
        </w:rPr>
        <w:t xml:space="preserve">rodzaju, wartości, </w:t>
      </w:r>
      <w:r>
        <w:rPr>
          <w:rFonts w:asciiTheme="majorHAnsi" w:hAnsiTheme="majorHAnsi"/>
        </w:rPr>
        <w:t>dat</w:t>
      </w:r>
      <w:r w:rsidR="00621CEF">
        <w:rPr>
          <w:rFonts w:asciiTheme="majorHAnsi" w:hAnsiTheme="majorHAnsi"/>
        </w:rPr>
        <w:t xml:space="preserve">y i miejsca wykonania oraz </w:t>
      </w:r>
      <w:r>
        <w:rPr>
          <w:rFonts w:asciiTheme="majorHAnsi" w:hAnsiTheme="majorHAnsi"/>
        </w:rPr>
        <w:t xml:space="preserve">podmiotów, na rzecz </w:t>
      </w:r>
      <w:r w:rsidR="00621CEF">
        <w:rPr>
          <w:rFonts w:asciiTheme="majorHAnsi" w:hAnsiTheme="majorHAnsi"/>
        </w:rPr>
        <w:t xml:space="preserve">roboty te </w:t>
      </w:r>
      <w:r>
        <w:rPr>
          <w:rFonts w:asciiTheme="majorHAnsi" w:hAnsiTheme="majorHAnsi"/>
        </w:rPr>
        <w:t xml:space="preserve">zostały wykonane, oraz załączeniem dowodów określających, czy te </w:t>
      </w:r>
      <w:r w:rsidR="00621CEF">
        <w:rPr>
          <w:rFonts w:asciiTheme="majorHAnsi" w:hAnsiTheme="majorHAnsi"/>
        </w:rPr>
        <w:t xml:space="preserve">roboty budowlane zostały wykonane </w:t>
      </w:r>
      <w:r>
        <w:rPr>
          <w:rFonts w:asciiTheme="majorHAnsi" w:hAnsiTheme="majorHAnsi"/>
        </w:rPr>
        <w:t xml:space="preserve">należycie, przy czym dowodami, o których mowa, są referencje bądź inne dokumenty sporządzone przez podmiot, na rzecz którego </w:t>
      </w:r>
      <w:r w:rsidR="00621CEF">
        <w:rPr>
          <w:rFonts w:asciiTheme="majorHAnsi" w:hAnsiTheme="majorHAnsi"/>
        </w:rPr>
        <w:t>roboty budowlane</w:t>
      </w:r>
      <w:r>
        <w:rPr>
          <w:rFonts w:asciiTheme="majorHAnsi" w:hAnsiTheme="majorHAnsi"/>
        </w:rPr>
        <w:t xml:space="preserve"> </w:t>
      </w:r>
      <w:r w:rsidR="00621CEF">
        <w:rPr>
          <w:rFonts w:asciiTheme="majorHAnsi" w:hAnsiTheme="majorHAnsi"/>
        </w:rPr>
        <w:t xml:space="preserve">zostały wykonane, a jeżeli wykonawca z przyczyn niezależnych od niego nie jest w stanie uzyskać tych dokumentów- inne odpowiednie dokumenty. </w:t>
      </w:r>
    </w:p>
    <w:p w14:paraId="3AC65177" w14:textId="77777777" w:rsidR="008F2D56" w:rsidRDefault="008F2D56" w:rsidP="00C968E1">
      <w:pPr>
        <w:ind w:left="-142"/>
        <w:jc w:val="both"/>
        <w:rPr>
          <w:rFonts w:asciiTheme="majorHAnsi" w:hAnsiTheme="majorHAnsi"/>
        </w:rPr>
      </w:pPr>
    </w:p>
    <w:p w14:paraId="6530115A" w14:textId="14351172" w:rsidR="008F2D56" w:rsidRPr="008F2D56" w:rsidRDefault="008F2D56" w:rsidP="00C968E1">
      <w:pPr>
        <w:ind w:left="-142"/>
        <w:jc w:val="both"/>
        <w:rPr>
          <w:rFonts w:asciiTheme="majorHAnsi" w:hAnsiTheme="majorHAnsi"/>
          <w:b/>
        </w:rPr>
      </w:pPr>
      <w:r>
        <w:rPr>
          <w:rFonts w:asciiTheme="majorHAnsi" w:hAnsiTheme="majorHAnsi"/>
        </w:rPr>
        <w:tab/>
      </w:r>
      <w:r w:rsidRPr="008F2D56">
        <w:rPr>
          <w:rFonts w:asciiTheme="majorHAnsi" w:hAnsiTheme="majorHAnsi"/>
          <w:b/>
        </w:rPr>
        <w:t>Wzór wykazu stanowi załącznik nr 5 do SWZ.</w:t>
      </w:r>
    </w:p>
    <w:p w14:paraId="086134D9" w14:textId="643813BD" w:rsidR="008F2D56" w:rsidRDefault="008F2D56" w:rsidP="00C968E1">
      <w:pPr>
        <w:ind w:left="-142"/>
        <w:jc w:val="both"/>
        <w:rPr>
          <w:rFonts w:asciiTheme="majorHAnsi" w:hAnsiTheme="majorHAnsi"/>
        </w:rPr>
      </w:pPr>
      <w:r>
        <w:rPr>
          <w:rFonts w:asciiTheme="majorHAnsi" w:hAnsiTheme="majorHAnsi"/>
        </w:rPr>
        <w:tab/>
        <w:t xml:space="preserve">Weryfikacja spełnienia ww. warunków nastąpi na podstawie oświadczeń Wykonawcy w </w:t>
      </w:r>
      <w:r>
        <w:rPr>
          <w:rFonts w:asciiTheme="majorHAnsi" w:hAnsiTheme="majorHAnsi"/>
        </w:rPr>
        <w:tab/>
        <w:t>formie wykazu usług wraz z dokumentami tam wskazanymi.</w:t>
      </w:r>
    </w:p>
    <w:p w14:paraId="353EDABB" w14:textId="77777777" w:rsidR="008F2D56" w:rsidRDefault="008F2D56" w:rsidP="00C968E1">
      <w:pPr>
        <w:ind w:left="-142"/>
        <w:jc w:val="both"/>
        <w:rPr>
          <w:rFonts w:asciiTheme="majorHAnsi" w:hAnsiTheme="majorHAnsi"/>
        </w:rPr>
      </w:pPr>
    </w:p>
    <w:p w14:paraId="475A10CC" w14:textId="55DED617" w:rsidR="008F2D56" w:rsidRDefault="008F2D56" w:rsidP="00C968E1">
      <w:pPr>
        <w:ind w:left="-142"/>
        <w:jc w:val="both"/>
        <w:rPr>
          <w:rFonts w:asciiTheme="majorHAnsi" w:hAnsiTheme="majorHAnsi"/>
        </w:rPr>
      </w:pPr>
      <w:r w:rsidRPr="008F2D56">
        <w:rPr>
          <w:rFonts w:asciiTheme="majorHAnsi" w:hAnsiTheme="majorHAnsi"/>
          <w:b/>
        </w:rPr>
        <w:t>B) Zdolność techniczna lub zawodowa- Potencjał osobowy</w:t>
      </w:r>
      <w:r w:rsidR="000171C5">
        <w:rPr>
          <w:rFonts w:asciiTheme="majorHAnsi" w:hAnsiTheme="majorHAnsi"/>
          <w:b/>
        </w:rPr>
        <w:t xml:space="preserve">- </w:t>
      </w:r>
      <w:r w:rsidR="000171C5">
        <w:rPr>
          <w:rFonts w:asciiTheme="majorHAnsi" w:hAnsi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133D34" w14:textId="77777777" w:rsidR="0045075C" w:rsidRDefault="0045075C" w:rsidP="00C968E1">
      <w:pPr>
        <w:ind w:left="-142"/>
        <w:jc w:val="both"/>
        <w:rPr>
          <w:rFonts w:asciiTheme="majorHAnsi" w:hAnsiTheme="majorHAnsi"/>
        </w:rPr>
      </w:pPr>
    </w:p>
    <w:p w14:paraId="4E1FB23B" w14:textId="2D4E7139" w:rsidR="0045075C" w:rsidRPr="0045075C" w:rsidRDefault="000C4855" w:rsidP="00C968E1">
      <w:pPr>
        <w:ind w:left="-142"/>
        <w:jc w:val="both"/>
        <w:rPr>
          <w:rFonts w:asciiTheme="majorHAnsi" w:hAnsiTheme="majorHAnsi"/>
          <w:b/>
        </w:rPr>
      </w:pPr>
      <w:r>
        <w:rPr>
          <w:rFonts w:asciiTheme="majorHAnsi" w:hAnsiTheme="majorHAnsi"/>
          <w:b/>
        </w:rPr>
        <w:tab/>
      </w:r>
      <w:r w:rsidR="0045075C" w:rsidRPr="0045075C">
        <w:rPr>
          <w:rFonts w:asciiTheme="majorHAnsi" w:hAnsiTheme="majorHAnsi"/>
          <w:b/>
        </w:rPr>
        <w:t xml:space="preserve">Wzór wykazu stanowi załącznik nr 6 do SWZ. </w:t>
      </w:r>
    </w:p>
    <w:p w14:paraId="2086A4CB" w14:textId="2C6A59FC" w:rsidR="009749A9" w:rsidRPr="000C4855" w:rsidRDefault="008F2D56" w:rsidP="00C968E1">
      <w:pPr>
        <w:ind w:left="-142"/>
        <w:jc w:val="both"/>
        <w:rPr>
          <w:rFonts w:asciiTheme="majorHAnsi" w:hAnsiTheme="majorHAnsi"/>
        </w:rPr>
      </w:pPr>
      <w:r>
        <w:rPr>
          <w:rFonts w:asciiTheme="majorHAnsi" w:hAnsiTheme="majorHAnsi"/>
          <w:b/>
        </w:rPr>
        <w:lastRenderedPageBreak/>
        <w:tab/>
      </w:r>
      <w:r w:rsidR="000C4855">
        <w:rPr>
          <w:rFonts w:asciiTheme="majorHAnsi" w:hAnsiTheme="majorHAnsi"/>
        </w:rPr>
        <w:t xml:space="preserve">Weryfikacja spełnienia ww. warunków nastąpi na podstawie oświadczeń Wykonawcy w </w:t>
      </w:r>
      <w:r w:rsidR="000C4855">
        <w:rPr>
          <w:rFonts w:asciiTheme="majorHAnsi" w:hAnsiTheme="majorHAnsi"/>
        </w:rPr>
        <w:tab/>
        <w:t>formie wykazu osób.</w:t>
      </w:r>
    </w:p>
    <w:p w14:paraId="070AEC65" w14:textId="77777777" w:rsidR="000C4855" w:rsidRDefault="009749A9" w:rsidP="00C968E1">
      <w:pPr>
        <w:ind w:left="-142"/>
        <w:jc w:val="both"/>
        <w:rPr>
          <w:rFonts w:asciiTheme="majorHAnsi" w:hAnsiTheme="majorHAnsi"/>
          <w:b/>
        </w:rPr>
      </w:pPr>
      <w:r>
        <w:rPr>
          <w:rFonts w:asciiTheme="majorHAnsi" w:hAnsiTheme="majorHAnsi"/>
          <w:b/>
        </w:rPr>
        <w:tab/>
      </w:r>
    </w:p>
    <w:p w14:paraId="3581DC2F" w14:textId="491B9BFC" w:rsidR="009749A9" w:rsidRDefault="009749A9" w:rsidP="00C968E1">
      <w:pPr>
        <w:ind w:left="-142"/>
        <w:jc w:val="both"/>
        <w:rPr>
          <w:rFonts w:asciiTheme="majorHAnsi" w:hAnsiTheme="majorHAnsi"/>
          <w:b/>
        </w:rPr>
      </w:pPr>
      <w:r>
        <w:rPr>
          <w:rFonts w:asciiTheme="majorHAnsi" w:hAnsiTheme="majorHAnsi"/>
          <w:b/>
        </w:rPr>
        <w:t>2. Potwierdzenia braku podstaw wykluczenia</w:t>
      </w:r>
      <w:r w:rsidR="000171C5">
        <w:rPr>
          <w:rFonts w:asciiTheme="majorHAnsi" w:hAnsiTheme="majorHAnsi"/>
          <w:b/>
        </w:rPr>
        <w:t>:</w:t>
      </w:r>
    </w:p>
    <w:p w14:paraId="132F6E7B" w14:textId="53566BBB" w:rsidR="00F55AC9" w:rsidRPr="00F55AC9" w:rsidRDefault="00F55AC9" w:rsidP="00C968E1">
      <w:pPr>
        <w:ind w:left="-142"/>
        <w:jc w:val="both"/>
        <w:rPr>
          <w:rFonts w:asciiTheme="majorHAnsi" w:hAnsiTheme="majorHAnsi"/>
        </w:rPr>
      </w:pPr>
      <w:r>
        <w:rPr>
          <w:rFonts w:asciiTheme="majorHAnsi" w:hAnsiTheme="majorHAnsi"/>
        </w:rPr>
        <w:t xml:space="preserve">Odpis lub informacja z Krajowego Rejestru Sądowego lub z Centralnej Ewidencji i Informacji o Działalności Gospodarczej, w zakresie art. 109 ust. 1 pkt 4 ustawy PZP, sporządzona nie wcześniej niż 3 miesiące przed jej złożeniem, jeżeli odrębne przepisy wymagają wpisu do rejestru lub ewidencji.  </w:t>
      </w:r>
    </w:p>
    <w:p w14:paraId="7FBF27E4" w14:textId="77777777"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7061237A"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2477EA">
        <w:rPr>
          <w:rFonts w:ascii="Cambria" w:hAnsi="Cambria" w:cs="Arial"/>
          <w:b/>
          <w:bCs/>
        </w:rPr>
        <w:t>kwocie 2</w:t>
      </w:r>
      <w:r w:rsidR="00577B99" w:rsidRPr="00577B99">
        <w:rPr>
          <w:rFonts w:ascii="Cambria" w:hAnsi="Cambria" w:cs="Arial"/>
          <w:b/>
          <w:bCs/>
        </w:rPr>
        <w:t>.000,00 zł.</w:t>
      </w:r>
    </w:p>
    <w:p w14:paraId="00F0CF7A" w14:textId="06051701"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2477EA">
        <w:rPr>
          <w:rFonts w:ascii="Cambria" w:hAnsi="Cambria"/>
        </w:rPr>
        <w:t>10.08</w:t>
      </w:r>
      <w:r w:rsidR="00417C01">
        <w:rPr>
          <w:rFonts w:ascii="Cambria" w:hAnsi="Cambria"/>
        </w:rPr>
        <w:t xml:space="preserve">.2021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1" w:name="_Toc42045496"/>
      <w:bookmarkEnd w:id="0"/>
      <w:r w:rsidRPr="00773D17">
        <w:rPr>
          <w:rFonts w:ascii="Cambria" w:hAnsi="Cambria"/>
        </w:rPr>
        <w:lastRenderedPageBreak/>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11794FB9"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2477EA">
        <w:rPr>
          <w:rFonts w:ascii="Cambria" w:hAnsi="Cambria"/>
        </w:rPr>
        <w:t>12.07</w:t>
      </w:r>
      <w:r w:rsidR="003C7824">
        <w:rPr>
          <w:rFonts w:ascii="Cambria" w:hAnsi="Cambria"/>
        </w:rPr>
        <w:t xml:space="preserve">.2021 r. </w:t>
      </w:r>
      <w:r>
        <w:rPr>
          <w:rFonts w:ascii="Cambria" w:hAnsi="Cambria"/>
        </w:rPr>
        <w:t>do godziny</w:t>
      </w:r>
      <w:r w:rsidR="003C7824">
        <w:rPr>
          <w:rFonts w:ascii="Cambria" w:hAnsi="Cambria"/>
        </w:rPr>
        <w:t xml:space="preserve"> 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542B58B5" w14:textId="00D6B1C1" w:rsidR="00482C9E" w:rsidRDefault="00482C9E"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23F3F9C5" w14:textId="61C1C531" w:rsidR="00D45C88" w:rsidRPr="00482C9E" w:rsidRDefault="00D45C88"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Zamawiający udostępnia przedmiar robót tylko jako materiał pomocniczy, wyjściowy. </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0792754"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koszty zajęcia pasa drogowego, </w:t>
      </w:r>
      <w:bookmarkStart w:id="2" w:name="_GoBack"/>
      <w:bookmarkEnd w:id="2"/>
      <w:r w:rsidR="00806097">
        <w:rPr>
          <w:rFonts w:asciiTheme="majorHAnsi" w:eastAsiaTheme="majorEastAsia" w:hAnsiTheme="majorHAnsi"/>
          <w:lang w:eastAsia="en-US"/>
        </w:rPr>
        <w:t>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3"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3"/>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lastRenderedPageBreak/>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4" w:name="_Hlk60819150"/>
      <w:r w:rsidRPr="00C679FC">
        <w:rPr>
          <w:rFonts w:asciiTheme="majorHAnsi" w:hAnsiTheme="majorHAnsi"/>
          <w:color w:val="000000" w:themeColor="text1"/>
        </w:rPr>
        <w:t>w tym dokumenty o których mowa w art. 94 ust. 2 ustawy</w:t>
      </w:r>
      <w:bookmarkEnd w:id="4"/>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 xml:space="preserve">podmiotowych środków dowodowych oraz dokumentów potwierdzających umocowanie do reprezentowania – odpowiednio Wykonawca, Wykonawca </w:t>
      </w:r>
      <w:r w:rsidR="006B5378" w:rsidRPr="006B5378">
        <w:rPr>
          <w:rFonts w:asciiTheme="majorHAnsi" w:hAnsiTheme="majorHAnsi"/>
        </w:rPr>
        <w:lastRenderedPageBreak/>
        <w:t>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5" w:name="_Hlk60819634"/>
      <w:r w:rsidRPr="00636E48">
        <w:rPr>
          <w:rFonts w:asciiTheme="majorHAnsi" w:hAnsiTheme="majorHAnsi"/>
          <w:color w:val="000000" w:themeColor="text1"/>
        </w:rPr>
        <w:t>dokumenty, o których mowa w art. 94 ust. 2 ustawy</w:t>
      </w:r>
      <w:bookmarkEnd w:id="5"/>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3E10BF">
        <w:rPr>
          <w:rFonts w:asciiTheme="majorHAnsi" w:hAnsiTheme="majorHAnsi"/>
          <w:color w:val="000000" w:themeColor="text1"/>
        </w:rPr>
        <w:lastRenderedPageBreak/>
        <w:t>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lastRenderedPageBreak/>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4FA58689" w:rsidR="0011460F" w:rsidRPr="00773D17" w:rsidRDefault="00AE28F2" w:rsidP="0011460F">
      <w:pPr>
        <w:pStyle w:val="Tekstpodstawowy"/>
        <w:tabs>
          <w:tab w:val="left" w:pos="762"/>
        </w:tabs>
        <w:spacing w:before="120" w:after="0" w:line="250" w:lineRule="exact"/>
        <w:ind w:left="786" w:right="20"/>
        <w:jc w:val="both"/>
        <w:rPr>
          <w:rFonts w:ascii="Cambria" w:hAnsi="Cambria"/>
        </w:rPr>
      </w:pPr>
      <w:r>
        <w:rPr>
          <w:rFonts w:ascii="Cambria" w:hAnsi="Cambria"/>
        </w:rPr>
        <w:t>Przemysław Nakonieczny</w:t>
      </w:r>
    </w:p>
    <w:p w14:paraId="55BF85D0" w14:textId="51AA7AF4"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nakonieczny@gniewkowo.com.pl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69751523"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1A14FF">
        <w:rPr>
          <w:rFonts w:ascii="Cambria" w:hAnsi="Cambria"/>
        </w:rPr>
        <w:t>12.07</w:t>
      </w:r>
      <w:r w:rsidR="00763CDF">
        <w:rPr>
          <w:rFonts w:ascii="Cambria" w:hAnsi="Cambria"/>
        </w:rPr>
        <w:t>.2021</w:t>
      </w:r>
      <w:r w:rsidRPr="00773D17">
        <w:rPr>
          <w:rFonts w:ascii="Cambria" w:hAnsi="Cambria"/>
        </w:rPr>
        <w:t xml:space="preserve"> do godz. </w:t>
      </w:r>
      <w:r w:rsidR="00763CDF">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3592D7A9"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1A14FF">
        <w:rPr>
          <w:rFonts w:ascii="Cambria" w:hAnsi="Cambria"/>
        </w:rPr>
        <w:t>12.07</w:t>
      </w:r>
      <w:r w:rsidR="00763CDF">
        <w:rPr>
          <w:rFonts w:ascii="Cambria" w:hAnsi="Cambria"/>
        </w:rPr>
        <w:t>.2021</w:t>
      </w:r>
      <w:r w:rsidRPr="00773D17">
        <w:rPr>
          <w:rFonts w:ascii="Cambria" w:hAnsi="Cambria"/>
        </w:rPr>
        <w:t xml:space="preserve"> o godz. </w:t>
      </w:r>
      <w:r w:rsidR="00763CDF">
        <w:rPr>
          <w:rFonts w:ascii="Cambria" w:hAnsi="Cambria"/>
        </w:rPr>
        <w:t>11:15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1C7E880D"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1A14FF">
        <w:rPr>
          <w:rFonts w:ascii="Cambria" w:hAnsi="Cambria"/>
          <w:b/>
          <w:bCs/>
        </w:rPr>
        <w:t>10.08</w:t>
      </w:r>
      <w:r w:rsidR="00763CDF">
        <w:rPr>
          <w:rFonts w:ascii="Cambria" w:hAnsi="Cambria"/>
          <w:b/>
          <w:bCs/>
        </w:rPr>
        <w:t>.2021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lastRenderedPageBreak/>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lastRenderedPageBreak/>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94F5A17"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922E5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58C55049"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2C37E6">
        <w:rPr>
          <w:rFonts w:ascii="Cambria" w:hAnsi="Cambria"/>
          <w:i/>
        </w:rPr>
        <w:t>(tylko gdy okres realizacji zamówienia jest dłuższy niż rok i przewidziano płatności częściowe).</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lastRenderedPageBreak/>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6929C6B2" w:rsidR="00660A68" w:rsidRPr="00773D17" w:rsidRDefault="00660A68" w:rsidP="00CF0B54">
      <w:pPr>
        <w:numPr>
          <w:ilvl w:val="0"/>
          <w:numId w:val="21"/>
        </w:numPr>
        <w:ind w:right="-108"/>
        <w:jc w:val="both"/>
        <w:rPr>
          <w:rFonts w:ascii="Cambria" w:hAnsi="Cambria"/>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DD3D59">
        <w:rPr>
          <w:rFonts w:ascii="Cambria" w:hAnsi="Cambria"/>
        </w:rPr>
        <w:t>Remont placu przy Szkole Podstawowej nr 2 w Gniewkowie</w:t>
      </w:r>
      <w:r w:rsidR="007B5FD2">
        <w:rPr>
          <w:rFonts w:ascii="Cambria" w:hAnsi="Cambria"/>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lastRenderedPageBreak/>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6"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0298C4DF" w14:textId="11103008" w:rsidR="006E643F" w:rsidRPr="00AE0ACB" w:rsidRDefault="00254478" w:rsidP="008A0851">
      <w:pPr>
        <w:ind w:left="360" w:right="-108"/>
        <w:jc w:val="both"/>
        <w:rPr>
          <w:rFonts w:ascii="Cambria" w:hAnsi="Cambria"/>
        </w:rPr>
      </w:pPr>
      <w:r>
        <w:rPr>
          <w:rFonts w:ascii="Cambria" w:hAnsi="Cambria"/>
        </w:rPr>
        <w:t xml:space="preserve">- kosztorys. </w:t>
      </w:r>
      <w:r w:rsidRPr="00254478">
        <w:rPr>
          <w:rFonts w:ascii="Cambria" w:hAnsi="Cambria"/>
        </w:rPr>
        <w:t>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w:t>
      </w:r>
      <w:r w:rsidR="00B31B45">
        <w:rPr>
          <w:rFonts w:ascii="Cambria" w:hAnsi="Cambria"/>
        </w:rPr>
        <w:t>z.U. z 2004r. Nr 130, poz.1389)</w:t>
      </w:r>
      <w:r w:rsidRPr="00254478">
        <w:rPr>
          <w:rFonts w:ascii="Cambria" w:hAnsi="Cambria"/>
        </w:rPr>
        <w:t xml:space="preserve">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C78E1D6" w14:textId="2D16194D"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7A62B178"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2. Oświadczenie o niepodleganiu wykluczeniu i spełnieniu warunków udziału w postępowaniu</w:t>
      </w:r>
    </w:p>
    <w:p w14:paraId="298EAA31" w14:textId="53419F03"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p>
    <w:p w14:paraId="0CB9E98E" w14:textId="5B9D3EF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4. Oświadczenie- zobowiązanie podmiotu udostępniającego zasoby</w:t>
      </w:r>
    </w:p>
    <w:p w14:paraId="177E194C" w14:textId="662E1526"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5. Wykaz </w:t>
      </w:r>
      <w:r w:rsidR="00FD7208">
        <w:rPr>
          <w:rFonts w:asciiTheme="majorHAnsi" w:hAnsiTheme="majorHAnsi" w:cs="Arial"/>
          <w:szCs w:val="24"/>
        </w:rPr>
        <w:t>robót budowlanych</w:t>
      </w:r>
    </w:p>
    <w:p w14:paraId="2D82A499" w14:textId="69D95D51"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 Wykaz osób</w:t>
      </w:r>
    </w:p>
    <w:p w14:paraId="1AE878A2" w14:textId="13F1FBD0"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lastRenderedPageBreak/>
        <w:t xml:space="preserve">7. </w:t>
      </w:r>
      <w:r w:rsidR="00537301">
        <w:rPr>
          <w:rFonts w:asciiTheme="majorHAnsi" w:hAnsiTheme="majorHAnsi" w:cs="Arial"/>
          <w:szCs w:val="24"/>
        </w:rPr>
        <w:t xml:space="preserve">Wzór oświadczenia gwarancyjnego </w:t>
      </w:r>
    </w:p>
    <w:p w14:paraId="255D3280" w14:textId="23B08294"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 Klauzula informacyjna</w:t>
      </w:r>
    </w:p>
    <w:p w14:paraId="03670ED4" w14:textId="7CEDAF2F"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 Wzór umowy</w:t>
      </w:r>
    </w:p>
    <w:p w14:paraId="455620D8" w14:textId="483C5BDA" w:rsidR="00537301" w:rsidRDefault="00537301"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10. </w:t>
      </w:r>
      <w:r w:rsidR="00F45817">
        <w:rPr>
          <w:rFonts w:asciiTheme="majorHAnsi" w:hAnsiTheme="majorHAnsi" w:cs="Arial"/>
          <w:szCs w:val="24"/>
        </w:rPr>
        <w:t>Projekt budowlany</w:t>
      </w:r>
    </w:p>
    <w:p w14:paraId="444FE621" w14:textId="38241B8E" w:rsidR="00F45817" w:rsidRDefault="00F45817"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11. </w:t>
      </w:r>
      <w:r w:rsidR="00FD7208">
        <w:rPr>
          <w:rFonts w:asciiTheme="majorHAnsi" w:hAnsiTheme="majorHAnsi" w:cs="Arial"/>
          <w:szCs w:val="24"/>
        </w:rPr>
        <w:t xml:space="preserve"> Specyfikacja techniczna wykonania i odbioru robót</w:t>
      </w:r>
    </w:p>
    <w:p w14:paraId="51EACF6B" w14:textId="22246D5B" w:rsidR="00FD7208" w:rsidRDefault="00FD7208" w:rsidP="00D30E4A">
      <w:pPr>
        <w:pStyle w:val="pkt"/>
        <w:tabs>
          <w:tab w:val="left" w:pos="2100"/>
        </w:tabs>
        <w:spacing w:before="0" w:after="0" w:line="240" w:lineRule="auto"/>
        <w:ind w:left="0" w:firstLine="0"/>
        <w:rPr>
          <w:rFonts w:asciiTheme="majorHAnsi" w:hAnsiTheme="majorHAnsi" w:cs="Arial"/>
          <w:szCs w:val="24"/>
        </w:rPr>
      </w:pPr>
      <w:r>
        <w:rPr>
          <w:rFonts w:asciiTheme="majorHAnsi" w:hAnsiTheme="majorHAnsi" w:cs="Arial"/>
          <w:szCs w:val="24"/>
        </w:rPr>
        <w:t>12. Przedmiary</w:t>
      </w:r>
    </w:p>
    <w:p w14:paraId="5C41EEB3" w14:textId="62414FAC" w:rsidR="00FD7208" w:rsidRPr="00773D17" w:rsidRDefault="00FD7208"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13. </w:t>
      </w:r>
      <w:r w:rsidR="00D30E4A">
        <w:rPr>
          <w:rFonts w:asciiTheme="majorHAnsi" w:hAnsiTheme="majorHAnsi" w:cs="Arial"/>
          <w:szCs w:val="24"/>
        </w:rPr>
        <w:t>Charakterystyka obiektu</w:t>
      </w: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39A367B5"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D30E4A">
        <w:rPr>
          <w:rFonts w:asciiTheme="majorHAnsi" w:hAnsiTheme="majorHAnsi" w:cs="Arial"/>
          <w:szCs w:val="24"/>
        </w:rPr>
        <w:t>, dnia 25.06</w:t>
      </w:r>
      <w:r w:rsidR="00FE4BB7">
        <w:rPr>
          <w:rFonts w:asciiTheme="majorHAnsi" w:hAnsiTheme="majorHAnsi" w:cs="Arial"/>
          <w:szCs w:val="24"/>
        </w:rPr>
        <w:t>.</w:t>
      </w:r>
      <w:r>
        <w:rPr>
          <w:rFonts w:asciiTheme="majorHAnsi" w:hAnsiTheme="majorHAnsi" w:cs="Arial"/>
          <w:szCs w:val="24"/>
        </w:rPr>
        <w:t>2021</w:t>
      </w:r>
      <w:r w:rsidR="00135E48" w:rsidRPr="00773D17">
        <w:rPr>
          <w:rFonts w:asciiTheme="majorHAnsi" w:hAnsiTheme="majorHAnsi" w:cs="Arial"/>
          <w:szCs w:val="24"/>
        </w:rPr>
        <w:t xml:space="preserve"> r.                                                           </w:t>
      </w: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794D714" w:rsidR="008508D5" w:rsidRPr="00773D17" w:rsidRDefault="000521B3" w:rsidP="008508D5">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0D3C1" w14:textId="77777777" w:rsidR="00AA4426" w:rsidRDefault="00AA4426" w:rsidP="000F1DCF">
      <w:r>
        <w:separator/>
      </w:r>
    </w:p>
  </w:endnote>
  <w:endnote w:type="continuationSeparator" w:id="0">
    <w:p w14:paraId="485FFEB3" w14:textId="77777777" w:rsidR="00AA4426" w:rsidRDefault="00AA4426" w:rsidP="000F1DCF">
      <w:r>
        <w:continuationSeparator/>
      </w:r>
    </w:p>
  </w:endnote>
  <w:endnote w:type="continuationNotice" w:id="1">
    <w:p w14:paraId="11CD0BC3" w14:textId="77777777" w:rsidR="00AA4426" w:rsidRDefault="00AA4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5E98D" w14:textId="77777777" w:rsidR="00AA4426" w:rsidRDefault="00AA4426" w:rsidP="000F1DCF">
      <w:r>
        <w:separator/>
      </w:r>
    </w:p>
  </w:footnote>
  <w:footnote w:type="continuationSeparator" w:id="0">
    <w:p w14:paraId="74DB229A" w14:textId="77777777" w:rsidR="00AA4426" w:rsidRDefault="00AA4426" w:rsidP="000F1DCF">
      <w:r>
        <w:continuationSeparator/>
      </w:r>
    </w:p>
  </w:footnote>
  <w:footnote w:type="continuationNotice" w:id="1">
    <w:p w14:paraId="399AEA8D" w14:textId="77777777" w:rsidR="00AA4426" w:rsidRDefault="00AA44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5"/>
  </w:num>
  <w:num w:numId="3">
    <w:abstractNumId w:val="35"/>
  </w:num>
  <w:num w:numId="4">
    <w:abstractNumId w:val="37"/>
  </w:num>
  <w:num w:numId="5">
    <w:abstractNumId w:val="19"/>
  </w:num>
  <w:num w:numId="6">
    <w:abstractNumId w:val="36"/>
  </w:num>
  <w:num w:numId="7">
    <w:abstractNumId w:val="2"/>
  </w:num>
  <w:num w:numId="8">
    <w:abstractNumId w:val="12"/>
  </w:num>
  <w:num w:numId="9">
    <w:abstractNumId w:val="21"/>
  </w:num>
  <w:num w:numId="10">
    <w:abstractNumId w:val="23"/>
  </w:num>
  <w:num w:numId="11">
    <w:abstractNumId w:val="10"/>
  </w:num>
  <w:num w:numId="12">
    <w:abstractNumId w:val="29"/>
  </w:num>
  <w:num w:numId="13">
    <w:abstractNumId w:val="0"/>
  </w:num>
  <w:num w:numId="14">
    <w:abstractNumId w:val="20"/>
  </w:num>
  <w:num w:numId="15">
    <w:abstractNumId w:val="15"/>
  </w:num>
  <w:num w:numId="16">
    <w:abstractNumId w:val="34"/>
  </w:num>
  <w:num w:numId="17">
    <w:abstractNumId w:val="27"/>
  </w:num>
  <w:num w:numId="18">
    <w:abstractNumId w:val="30"/>
  </w:num>
  <w:num w:numId="19">
    <w:abstractNumId w:val="14"/>
  </w:num>
  <w:num w:numId="20">
    <w:abstractNumId w:val="22"/>
  </w:num>
  <w:num w:numId="21">
    <w:abstractNumId w:val="24"/>
  </w:num>
  <w:num w:numId="22">
    <w:abstractNumId w:val="8"/>
  </w:num>
  <w:num w:numId="23">
    <w:abstractNumId w:val="33"/>
  </w:num>
  <w:num w:numId="24">
    <w:abstractNumId w:val="32"/>
  </w:num>
  <w:num w:numId="25">
    <w:abstractNumId w:val="7"/>
  </w:num>
  <w:num w:numId="26">
    <w:abstractNumId w:val="13"/>
  </w:num>
  <w:num w:numId="27">
    <w:abstractNumId w:val="5"/>
  </w:num>
  <w:num w:numId="28">
    <w:abstractNumId w:val="6"/>
  </w:num>
  <w:num w:numId="29">
    <w:abstractNumId w:val="18"/>
  </w:num>
  <w:num w:numId="30">
    <w:abstractNumId w:val="31"/>
  </w:num>
  <w:num w:numId="31">
    <w:abstractNumId w:val="9"/>
  </w:num>
  <w:num w:numId="32">
    <w:abstractNumId w:val="17"/>
  </w:num>
  <w:num w:numId="33">
    <w:abstractNumId w:val="3"/>
  </w:num>
  <w:num w:numId="34">
    <w:abstractNumId w:val="16"/>
  </w:num>
  <w:num w:numId="35">
    <w:abstractNumId w:val="4"/>
  </w:num>
  <w:num w:numId="36">
    <w:abstractNumId w:val="28"/>
  </w:num>
  <w:num w:numId="37">
    <w:abstractNumId w:val="26"/>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2A4"/>
    <w:rsid w:val="00147FDB"/>
    <w:rsid w:val="00150742"/>
    <w:rsid w:val="001512BA"/>
    <w:rsid w:val="001515DD"/>
    <w:rsid w:val="001537D4"/>
    <w:rsid w:val="0015398B"/>
    <w:rsid w:val="00154D7E"/>
    <w:rsid w:val="00155272"/>
    <w:rsid w:val="00155485"/>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3FF0"/>
    <w:rsid w:val="002241E4"/>
    <w:rsid w:val="00224931"/>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9EF"/>
    <w:rsid w:val="00246F8D"/>
    <w:rsid w:val="002477EA"/>
    <w:rsid w:val="00247911"/>
    <w:rsid w:val="00247D6B"/>
    <w:rsid w:val="00250EE5"/>
    <w:rsid w:val="00251531"/>
    <w:rsid w:val="00253B05"/>
    <w:rsid w:val="00254478"/>
    <w:rsid w:val="00255778"/>
    <w:rsid w:val="00255E8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24ED"/>
    <w:rsid w:val="00292E7E"/>
    <w:rsid w:val="002939E9"/>
    <w:rsid w:val="002958B7"/>
    <w:rsid w:val="002958F8"/>
    <w:rsid w:val="00295E81"/>
    <w:rsid w:val="00296DE6"/>
    <w:rsid w:val="00297AEF"/>
    <w:rsid w:val="00297BFA"/>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12CC"/>
    <w:rsid w:val="002C149C"/>
    <w:rsid w:val="002C1BC1"/>
    <w:rsid w:val="002C2D40"/>
    <w:rsid w:val="002C37E6"/>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A7889"/>
    <w:rsid w:val="003B0E8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2806"/>
    <w:rsid w:val="00433C75"/>
    <w:rsid w:val="00433E8F"/>
    <w:rsid w:val="00434F4D"/>
    <w:rsid w:val="00435608"/>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763"/>
    <w:rsid w:val="00534BF9"/>
    <w:rsid w:val="00534CF3"/>
    <w:rsid w:val="00534F77"/>
    <w:rsid w:val="00537301"/>
    <w:rsid w:val="005375FA"/>
    <w:rsid w:val="00541BD3"/>
    <w:rsid w:val="00541D99"/>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68AF"/>
    <w:rsid w:val="005705CA"/>
    <w:rsid w:val="00570F42"/>
    <w:rsid w:val="00571D0D"/>
    <w:rsid w:val="0057326D"/>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1336"/>
    <w:rsid w:val="00621CEF"/>
    <w:rsid w:val="00625125"/>
    <w:rsid w:val="00625D61"/>
    <w:rsid w:val="006268D9"/>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40152"/>
    <w:rsid w:val="00840160"/>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7ED"/>
    <w:rsid w:val="00936656"/>
    <w:rsid w:val="0093682D"/>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0ACB"/>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AEE"/>
    <w:rsid w:val="00C10EA2"/>
    <w:rsid w:val="00C11069"/>
    <w:rsid w:val="00C11079"/>
    <w:rsid w:val="00C11203"/>
    <w:rsid w:val="00C1121D"/>
    <w:rsid w:val="00C1201C"/>
    <w:rsid w:val="00C12EB2"/>
    <w:rsid w:val="00C13094"/>
    <w:rsid w:val="00C1340B"/>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3F88"/>
    <w:rsid w:val="00CC4EBA"/>
    <w:rsid w:val="00CC64FA"/>
    <w:rsid w:val="00CC6E9B"/>
    <w:rsid w:val="00CD0F4F"/>
    <w:rsid w:val="00CD1235"/>
    <w:rsid w:val="00CD174A"/>
    <w:rsid w:val="00CD345D"/>
    <w:rsid w:val="00CD5113"/>
    <w:rsid w:val="00CE0FDC"/>
    <w:rsid w:val="00CE1B1E"/>
    <w:rsid w:val="00CE245C"/>
    <w:rsid w:val="00CE4334"/>
    <w:rsid w:val="00CE5112"/>
    <w:rsid w:val="00CE54E0"/>
    <w:rsid w:val="00CE5693"/>
    <w:rsid w:val="00CE5944"/>
    <w:rsid w:val="00CE66F3"/>
    <w:rsid w:val="00CE6F5F"/>
    <w:rsid w:val="00CF07EC"/>
    <w:rsid w:val="00CF0B54"/>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5B32"/>
    <w:rsid w:val="00D260CF"/>
    <w:rsid w:val="00D263AD"/>
    <w:rsid w:val="00D27F94"/>
    <w:rsid w:val="00D30BF5"/>
    <w:rsid w:val="00D30E4A"/>
    <w:rsid w:val="00D312A6"/>
    <w:rsid w:val="00D323C2"/>
    <w:rsid w:val="00D34E9E"/>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677"/>
    <w:rsid w:val="00DC3711"/>
    <w:rsid w:val="00DC632D"/>
    <w:rsid w:val="00DC6E39"/>
    <w:rsid w:val="00DC7FE1"/>
    <w:rsid w:val="00DD0276"/>
    <w:rsid w:val="00DD03C1"/>
    <w:rsid w:val="00DD05B2"/>
    <w:rsid w:val="00DD11DE"/>
    <w:rsid w:val="00DD1F6F"/>
    <w:rsid w:val="00DD3394"/>
    <w:rsid w:val="00DD36DB"/>
    <w:rsid w:val="00DD3D59"/>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218F"/>
    <w:rsid w:val="00E708E1"/>
    <w:rsid w:val="00E70C5B"/>
    <w:rsid w:val="00E72CF4"/>
    <w:rsid w:val="00E72E22"/>
    <w:rsid w:val="00E7318F"/>
    <w:rsid w:val="00E74BAB"/>
    <w:rsid w:val="00E74EA1"/>
    <w:rsid w:val="00E75917"/>
    <w:rsid w:val="00E77F60"/>
    <w:rsid w:val="00E8091D"/>
    <w:rsid w:val="00E80ABE"/>
    <w:rsid w:val="00E80CBB"/>
    <w:rsid w:val="00E81643"/>
    <w:rsid w:val="00E828F8"/>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1532"/>
    <w:rsid w:val="00F128C5"/>
    <w:rsid w:val="00F13375"/>
    <w:rsid w:val="00F13D0E"/>
    <w:rsid w:val="00F14227"/>
    <w:rsid w:val="00F14465"/>
    <w:rsid w:val="00F146CE"/>
    <w:rsid w:val="00F15A6F"/>
    <w:rsid w:val="00F15DE4"/>
    <w:rsid w:val="00F173A6"/>
    <w:rsid w:val="00F22244"/>
    <w:rsid w:val="00F23E7B"/>
    <w:rsid w:val="00F241B4"/>
    <w:rsid w:val="00F24B9B"/>
    <w:rsid w:val="00F25D2D"/>
    <w:rsid w:val="00F26F4F"/>
    <w:rsid w:val="00F315A0"/>
    <w:rsid w:val="00F31D80"/>
    <w:rsid w:val="00F322FC"/>
    <w:rsid w:val="00F32B0D"/>
    <w:rsid w:val="00F33181"/>
    <w:rsid w:val="00F366D1"/>
    <w:rsid w:val="00F3708F"/>
    <w:rsid w:val="00F40E76"/>
    <w:rsid w:val="00F41096"/>
    <w:rsid w:val="00F422DF"/>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1B72-7B63-4BCA-8210-E604E282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32</Pages>
  <Words>11790</Words>
  <Characters>70740</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82366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127</cp:revision>
  <cp:lastPrinted>2020-10-08T13:25:00Z</cp:lastPrinted>
  <dcterms:created xsi:type="dcterms:W3CDTF">2021-03-03T06:59:00Z</dcterms:created>
  <dcterms:modified xsi:type="dcterms:W3CDTF">2021-06-25T06:33:00Z</dcterms:modified>
</cp:coreProperties>
</file>