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bookmarkStart w:id="0" w:name="_GoBack"/>
      <w:bookmarkEnd w:id="0"/>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3B9D7CFA"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AA3088">
        <w:rPr>
          <w:rFonts w:asciiTheme="majorHAnsi" w:eastAsiaTheme="majorEastAsia" w:hAnsiTheme="majorHAnsi" w:cstheme="majorBidi"/>
          <w:caps/>
          <w:color w:val="632423" w:themeColor="accent2" w:themeShade="80"/>
          <w:spacing w:val="20"/>
          <w:lang w:eastAsia="en-US"/>
        </w:rPr>
        <w:t>rzP.271.1.5</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5D2A66F2" w:rsidR="00AB0104" w:rsidRPr="00C05ABE" w:rsidRDefault="00AA3088"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Wykonanie zadaszenia nad trybunami stadionu miejskiego</w:t>
      </w:r>
      <w:r w:rsidR="00047368">
        <w:rPr>
          <w:rFonts w:asciiTheme="majorHAnsi" w:eastAsiaTheme="majorEastAsia" w:hAnsiTheme="majorHAnsi" w:cs="Arial"/>
          <w:b/>
          <w:caps/>
          <w:color w:val="943634" w:themeColor="accent2" w:themeShade="BF"/>
          <w:spacing w:val="10"/>
          <w:sz w:val="32"/>
          <w:lang w:eastAsia="en-US"/>
        </w:rPr>
        <w:t xml:space="preserve"> W GNIEWKOWIE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452DCE70"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7C08240A" w14:textId="2BB65705" w:rsidR="00295E81" w:rsidRPr="00C05ABE" w:rsidRDefault="00D74338" w:rsidP="00C05ABE">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 xml:space="preserve">Gniewkowo, </w:t>
      </w:r>
      <w:r w:rsidR="008633AA">
        <w:rPr>
          <w:rFonts w:asciiTheme="majorHAnsi" w:eastAsiaTheme="majorEastAsia" w:hAnsiTheme="majorHAnsi" w:cs="Arial"/>
          <w:bCs/>
          <w:lang w:eastAsia="en-US"/>
        </w:rPr>
        <w:t>11.05</w:t>
      </w:r>
      <w:r w:rsidR="007B54BE">
        <w:rPr>
          <w:rFonts w:asciiTheme="majorHAnsi" w:eastAsiaTheme="majorEastAsia" w:hAnsiTheme="majorHAnsi" w:cs="Arial"/>
          <w:bCs/>
          <w:lang w:eastAsia="en-US"/>
        </w:rPr>
        <w:t>.2021</w:t>
      </w:r>
    </w:p>
    <w:p w14:paraId="46991F4E" w14:textId="77777777" w:rsidR="00042179" w:rsidRDefault="00042179"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FA1EB17" w14:textId="5778681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w:t>
      </w:r>
      <w:r w:rsidR="008242DE">
        <w:rPr>
          <w:rFonts w:asciiTheme="majorHAnsi" w:eastAsiaTheme="majorEastAsia" w:hAnsiTheme="majorHAnsi" w:cs="Arial"/>
          <w:lang w:eastAsia="en-US"/>
        </w:rPr>
        <w:t xml:space="preserve"> 2019</w:t>
      </w:r>
      <w:r w:rsidRPr="001D762C">
        <w:rPr>
          <w:rFonts w:asciiTheme="majorHAnsi" w:eastAsiaTheme="majorEastAsia" w:hAnsiTheme="majorHAnsi" w:cs="Arial"/>
          <w:lang w:eastAsia="en-US"/>
        </w:rPr>
        <w:t xml:space="preserve"> poz. 2019 ze zm.) – dalej: ustawa </w:t>
      </w:r>
      <w:proofErr w:type="spellStart"/>
      <w:r w:rsidRPr="001D762C">
        <w:rPr>
          <w:rFonts w:asciiTheme="majorHAnsi" w:eastAsiaTheme="majorEastAsia" w:hAnsiTheme="majorHAnsi" w:cs="Arial"/>
          <w:lang w:eastAsia="en-US"/>
        </w:rPr>
        <w:t>Pzp</w:t>
      </w:r>
      <w:proofErr w:type="spellEnd"/>
      <w:r w:rsidRPr="001D762C">
        <w:rPr>
          <w:rFonts w:asciiTheme="majorHAnsi" w:eastAsiaTheme="majorEastAsia" w:hAnsiTheme="majorHAnsi" w:cs="Arial"/>
          <w:lang w:eastAsia="en-US"/>
        </w:rPr>
        <w:t>.</w:t>
      </w:r>
    </w:p>
    <w:p w14:paraId="61C4BEF9" w14:textId="77777777" w:rsidR="001D762C" w:rsidRPr="001D762C" w:rsidRDefault="001D762C" w:rsidP="001D762C">
      <w:pPr>
        <w:jc w:val="both"/>
        <w:rPr>
          <w:rFonts w:asciiTheme="majorHAnsi" w:eastAsiaTheme="majorEastAsia" w:hAnsiTheme="majorHAnsi" w:cs="Arial"/>
          <w:lang w:eastAsia="en-US"/>
        </w:rPr>
      </w:pPr>
    </w:p>
    <w:p w14:paraId="53DF4CB1" w14:textId="1521BA3A"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Zamawiający </w:t>
      </w:r>
      <w:r w:rsidRPr="001D762C">
        <w:rPr>
          <w:rFonts w:asciiTheme="majorHAnsi" w:eastAsiaTheme="majorEastAsia" w:hAnsiTheme="majorHAnsi" w:cs="Arial"/>
          <w:b/>
          <w:lang w:eastAsia="en-US"/>
        </w:rPr>
        <w:t>przewiduje możliwość</w:t>
      </w:r>
      <w:r w:rsidRPr="001D762C">
        <w:rPr>
          <w:rFonts w:asciiTheme="majorHAnsi" w:eastAsiaTheme="majorEastAsia" w:hAnsiTheme="majorHAnsi" w:cs="Arial"/>
          <w:lang w:eastAsia="en-US"/>
        </w:rPr>
        <w:t xml:space="preserve"> ograniczenia liczby wykonawców.</w:t>
      </w:r>
    </w:p>
    <w:p w14:paraId="3DAC591C" w14:textId="61F3D16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Maksymalna liczba wykonawców, których zamawiający zaprosi do negocjacji ofert: </w:t>
      </w:r>
      <w:r>
        <w:rPr>
          <w:rFonts w:asciiTheme="majorHAnsi" w:eastAsiaTheme="majorEastAsia" w:hAnsiTheme="majorHAnsi" w:cs="Arial"/>
          <w:lang w:eastAsia="en-US"/>
        </w:rPr>
        <w:t>3</w:t>
      </w:r>
    </w:p>
    <w:p w14:paraId="17E349F0" w14:textId="671BD196"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Kryteria oceny ofert, które zamierza stosować w celu ograniczenia liczby wykonawców zapraszanych do negocjacji ofert: </w:t>
      </w:r>
      <w:r>
        <w:rPr>
          <w:rFonts w:asciiTheme="majorHAnsi" w:eastAsiaTheme="majorEastAsia" w:hAnsiTheme="majorHAnsi" w:cs="Arial"/>
          <w:lang w:eastAsia="en-US"/>
        </w:rPr>
        <w:t>cena, okres gwarancji i rękojmi za wady.</w:t>
      </w:r>
    </w:p>
    <w:p w14:paraId="05982999" w14:textId="77777777" w:rsidR="001D762C" w:rsidRPr="001D762C" w:rsidRDefault="001D762C" w:rsidP="001D762C">
      <w:pPr>
        <w:jc w:val="both"/>
        <w:rPr>
          <w:rFonts w:asciiTheme="majorHAnsi" w:eastAsiaTheme="majorEastAsia" w:hAnsiTheme="majorHAnsi" w:cs="Arial"/>
          <w:lang w:eastAsia="en-US"/>
        </w:rPr>
      </w:pPr>
    </w:p>
    <w:p w14:paraId="398088E8"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lastRenderedPageBreak/>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lastRenderedPageBreak/>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777777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Rozmiar zamówienia nie wymaga podziału na części. Zamówienia nie przekracza kwot określonych w art. 11 ust. 8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lastRenderedPageBreak/>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55C1A772"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A3088">
        <w:rPr>
          <w:rFonts w:asciiTheme="majorHAnsi" w:eastAsiaTheme="majorEastAsia" w:hAnsiTheme="majorHAnsi" w:cstheme="majorBidi"/>
          <w:b/>
          <w:lang w:eastAsia="en-US"/>
        </w:rPr>
        <w:t>Wykonanie zadaszenia nad trybunami Stadionu Miejskiego</w:t>
      </w:r>
      <w:r w:rsidR="00047368">
        <w:rPr>
          <w:rFonts w:asciiTheme="majorHAnsi" w:eastAsiaTheme="majorEastAsia" w:hAnsiTheme="majorHAnsi" w:cstheme="majorBidi"/>
          <w:b/>
          <w:lang w:eastAsia="en-US"/>
        </w:rPr>
        <w:t xml:space="preserve"> w Gniewkowie.</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582555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966B76">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0383F7A1" w:rsidR="00AA4F20" w:rsidRDefault="00AA4F20" w:rsidP="00C50FE2">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8468A9">
        <w:rPr>
          <w:rFonts w:asciiTheme="majorHAnsi" w:eastAsiaTheme="majorEastAsia" w:hAnsiTheme="majorHAnsi" w:cstheme="majorBidi"/>
          <w:lang w:eastAsia="en-US"/>
        </w:rPr>
        <w:t xml:space="preserve">są roboty budowlane związane z </w:t>
      </w:r>
      <w:r w:rsidR="00E1221C">
        <w:rPr>
          <w:rFonts w:asciiTheme="majorHAnsi" w:eastAsiaTheme="majorEastAsia" w:hAnsiTheme="majorHAnsi" w:cstheme="majorBidi"/>
          <w:b/>
          <w:lang w:eastAsia="en-US"/>
        </w:rPr>
        <w:t>Wykonaniem zadaszenia nad trybunami Stadionu Miejskiego</w:t>
      </w:r>
      <w:r w:rsidR="00C50FE2">
        <w:rPr>
          <w:rFonts w:asciiTheme="majorHAnsi" w:eastAsiaTheme="majorEastAsia" w:hAnsiTheme="majorHAnsi" w:cstheme="majorBidi"/>
          <w:b/>
          <w:lang w:eastAsia="en-US"/>
        </w:rPr>
        <w:t xml:space="preserve"> w Gniewkowie</w:t>
      </w:r>
      <w:r w:rsidR="00E1221C">
        <w:rPr>
          <w:rFonts w:asciiTheme="majorHAnsi" w:eastAsiaTheme="majorEastAsia" w:hAnsiTheme="majorHAnsi" w:cstheme="majorBidi"/>
          <w:b/>
          <w:lang w:eastAsia="en-US"/>
        </w:rPr>
        <w:t>.</w:t>
      </w:r>
      <w:r w:rsidR="00ED6D71">
        <w:rPr>
          <w:rFonts w:asciiTheme="majorHAnsi" w:eastAsiaTheme="majorEastAsia" w:hAnsiTheme="majorHAnsi" w:cstheme="majorBidi"/>
          <w:b/>
          <w:lang w:eastAsia="en-US"/>
        </w:rPr>
        <w:t xml:space="preserve"> </w:t>
      </w:r>
    </w:p>
    <w:p w14:paraId="4C5F1427" w14:textId="2F61EFB8" w:rsidR="00A12648" w:rsidRPr="00A12648" w:rsidRDefault="00A12648" w:rsidP="00A12648">
      <w:pPr>
        <w:spacing w:after="200" w:line="252" w:lineRule="auto"/>
        <w:ind w:left="360"/>
        <w:contextualSpacing/>
        <w:jc w:val="both"/>
        <w:rPr>
          <w:rFonts w:asciiTheme="majorHAnsi" w:eastAsiaTheme="majorEastAsia" w:hAnsiTheme="majorHAnsi" w:cstheme="majorBidi"/>
          <w:lang w:eastAsia="en-US"/>
        </w:rPr>
      </w:pPr>
      <w:r w:rsidRPr="00A12648">
        <w:rPr>
          <w:rFonts w:asciiTheme="majorHAnsi" w:eastAsiaTheme="majorEastAsia" w:hAnsiTheme="majorHAnsi" w:cstheme="majorBidi"/>
          <w:lang w:eastAsia="en-US"/>
        </w:rPr>
        <w:t>Zadaszenie – projekt zakłada wykonanie więźby dachowej w konstrukcji stalowej. Przykrycie dachu membraną PCV z tkanin wielowarstwowych stosowanych  w budownictwie posiadających odpowiednie atesty. Membrana o gramaturze min. 590g/m2, trudnopalna E30.  Więźba dachowa opiera się na słupach stalowych.</w:t>
      </w:r>
    </w:p>
    <w:p w14:paraId="5B11CB72" w14:textId="78BF84B2" w:rsidR="00ED6D71" w:rsidRPr="00C50FE2" w:rsidRDefault="00E1221C" w:rsidP="00ED6D71">
      <w:pPr>
        <w:spacing w:after="200" w:line="252" w:lineRule="auto"/>
        <w:ind w:left="360"/>
        <w:contextualSpacing/>
        <w:jc w:val="both"/>
        <w:rPr>
          <w:rFonts w:asciiTheme="majorHAnsi" w:eastAsiaTheme="majorEastAsia" w:hAnsiTheme="majorHAnsi" w:cstheme="majorBidi"/>
          <w:lang w:eastAsia="en-US"/>
        </w:rPr>
      </w:pPr>
      <w:r w:rsidRPr="00C50FE2">
        <w:rPr>
          <w:rFonts w:asciiTheme="majorHAnsi" w:eastAsiaTheme="majorEastAsia" w:hAnsiTheme="majorHAnsi" w:cstheme="majorBidi"/>
          <w:u w:val="single"/>
          <w:lang w:eastAsia="en-US"/>
        </w:rPr>
        <w:t xml:space="preserve">Postępowanie dotyczy </w:t>
      </w:r>
      <w:r w:rsidR="00C50FE2" w:rsidRPr="00C50FE2">
        <w:rPr>
          <w:rFonts w:asciiTheme="majorHAnsi" w:eastAsiaTheme="majorEastAsia" w:hAnsiTheme="majorHAnsi" w:cstheme="majorBidi"/>
          <w:u w:val="single"/>
          <w:lang w:eastAsia="en-US"/>
        </w:rPr>
        <w:t xml:space="preserve">budowy zadaszenia na </w:t>
      </w:r>
      <w:r w:rsidR="00C50FE2" w:rsidRPr="00C50FE2">
        <w:rPr>
          <w:rFonts w:asciiTheme="majorHAnsi" w:eastAsiaTheme="majorEastAsia" w:hAnsiTheme="majorHAnsi" w:cstheme="majorBidi"/>
          <w:b/>
          <w:u w:val="single"/>
          <w:lang w:eastAsia="en-US"/>
        </w:rPr>
        <w:t>istniejących słupach stalowych.</w:t>
      </w:r>
      <w:r w:rsidR="00C50FE2">
        <w:rPr>
          <w:rFonts w:asciiTheme="majorHAnsi" w:eastAsiaTheme="majorEastAsia" w:hAnsiTheme="majorHAnsi" w:cstheme="majorBidi"/>
          <w:u w:val="single"/>
          <w:lang w:eastAsia="en-US"/>
        </w:rPr>
        <w:t xml:space="preserve"> </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4F6409CB" w14:textId="107867D8" w:rsidR="00E1221C" w:rsidRDefault="006475FD" w:rsidP="006475FD">
      <w:pPr>
        <w:ind w:left="720" w:hanging="294"/>
        <w:rPr>
          <w:rFonts w:asciiTheme="majorHAnsi" w:hAnsiTheme="majorHAnsi"/>
          <w:color w:val="000000" w:themeColor="text1"/>
        </w:rPr>
      </w:pPr>
      <w:r>
        <w:rPr>
          <w:rFonts w:asciiTheme="majorHAnsi" w:hAnsiTheme="majorHAnsi"/>
          <w:color w:val="000000" w:themeColor="text1"/>
        </w:rPr>
        <w:t xml:space="preserve">45000000-7- </w:t>
      </w:r>
      <w:r w:rsidR="00966B76">
        <w:rPr>
          <w:rFonts w:asciiTheme="majorHAnsi" w:hAnsiTheme="majorHAnsi"/>
          <w:color w:val="000000" w:themeColor="text1"/>
        </w:rPr>
        <w:t xml:space="preserve"> Roboty Budowlane</w:t>
      </w:r>
    </w:p>
    <w:p w14:paraId="238A6CB0" w14:textId="56AD0175" w:rsidR="00966B76" w:rsidRDefault="00966B76" w:rsidP="006475FD">
      <w:pPr>
        <w:ind w:left="720" w:hanging="294"/>
        <w:rPr>
          <w:rFonts w:asciiTheme="majorHAnsi" w:hAnsiTheme="majorHAnsi"/>
          <w:color w:val="000000" w:themeColor="text1"/>
        </w:rPr>
      </w:pPr>
      <w:r>
        <w:rPr>
          <w:rFonts w:asciiTheme="majorHAnsi" w:hAnsiTheme="majorHAnsi"/>
          <w:color w:val="000000" w:themeColor="text1"/>
        </w:rPr>
        <w:t>45262400-5- Konstrukcje stalowe</w:t>
      </w:r>
    </w:p>
    <w:p w14:paraId="76347D04" w14:textId="7D95EC66" w:rsidR="00966B76" w:rsidRDefault="00966B76" w:rsidP="006475FD">
      <w:pPr>
        <w:ind w:left="720" w:hanging="294"/>
        <w:rPr>
          <w:rFonts w:asciiTheme="majorHAnsi" w:hAnsiTheme="majorHAnsi"/>
          <w:color w:val="000000" w:themeColor="text1"/>
        </w:rPr>
      </w:pPr>
      <w:r>
        <w:rPr>
          <w:rFonts w:asciiTheme="majorHAnsi" w:hAnsiTheme="majorHAnsi"/>
          <w:color w:val="000000" w:themeColor="text1"/>
        </w:rPr>
        <w:t>45261320-3- Obróbki blacharskie</w:t>
      </w:r>
    </w:p>
    <w:p w14:paraId="461DBAD9" w14:textId="7B9AEF86" w:rsidR="00966B76" w:rsidRDefault="00966B76" w:rsidP="006475FD">
      <w:pPr>
        <w:ind w:left="720" w:hanging="294"/>
        <w:rPr>
          <w:rFonts w:asciiTheme="majorHAnsi" w:hAnsiTheme="majorHAnsi"/>
          <w:color w:val="000000" w:themeColor="text1"/>
        </w:rPr>
      </w:pPr>
      <w:r>
        <w:rPr>
          <w:rFonts w:asciiTheme="majorHAnsi" w:hAnsiTheme="majorHAnsi"/>
          <w:color w:val="000000" w:themeColor="text1"/>
        </w:rPr>
        <w:t>45262100-2- Rusztowania</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3F93E937" w:rsidR="00AA4F20" w:rsidRPr="00773D17" w:rsidRDefault="00531882"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 xml:space="preserve">dokumentacja projektowa- załączniki nr </w:t>
      </w:r>
      <w:r w:rsidR="00966B76">
        <w:rPr>
          <w:rFonts w:asciiTheme="majorHAnsi" w:eastAsiaTheme="majorEastAsia" w:hAnsiTheme="majorHAnsi" w:cstheme="majorBidi"/>
          <w:lang w:eastAsia="en-US"/>
        </w:rPr>
        <w:t>10-13 do SWZ</w:t>
      </w:r>
    </w:p>
    <w:p w14:paraId="0720C4B8" w14:textId="6F4DDC54"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966B76">
        <w:rPr>
          <w:rFonts w:asciiTheme="majorHAnsi" w:eastAsiaTheme="majorEastAsia" w:hAnsiTheme="majorHAnsi" w:cstheme="majorBidi"/>
          <w:lang w:eastAsia="en-US"/>
        </w:rPr>
        <w:t xml:space="preserve">9 </w:t>
      </w:r>
      <w:r w:rsidR="00AA4F20" w:rsidRPr="00773D17">
        <w:rPr>
          <w:rFonts w:asciiTheme="majorHAnsi" w:eastAsiaTheme="majorEastAsia" w:hAnsiTheme="majorHAnsi" w:cstheme="majorBidi"/>
          <w:lang w:eastAsia="en-US"/>
        </w:rPr>
        <w:t>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DB8F2C7" w14:textId="6452FDAA"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Roboty budowlane należy wykonać z należytą starannością oraz z wiedzą techniczną, obowiązującymi przepisami BHP, ppoż. i sztuką budowlaną, a także zgodnie z poleceniami inspektora nadzoru, zgodnie z załączoną </w:t>
      </w:r>
      <w:r w:rsidR="00835BAC">
        <w:rPr>
          <w:rFonts w:asciiTheme="majorHAnsi" w:eastAsiaTheme="majorEastAsia" w:hAnsiTheme="majorHAnsi" w:cstheme="majorBidi"/>
          <w:lang w:eastAsia="en-US"/>
        </w:rPr>
        <w:t xml:space="preserve">dokumentacją projektową, </w:t>
      </w:r>
      <w:r>
        <w:rPr>
          <w:rFonts w:asciiTheme="majorHAnsi" w:eastAsiaTheme="majorEastAsia" w:hAnsiTheme="majorHAnsi" w:cstheme="majorBidi"/>
          <w:lang w:eastAsia="en-US"/>
        </w:rPr>
        <w:t>oraz wytycznymi określonymi w niniejszej SWZ wraz z załącznikami, pytaniami i odpowiedziami udzielonymi w trakcie procedury o udzielenie zamówienia publicznego.</w:t>
      </w:r>
    </w:p>
    <w:p w14:paraId="40B79E10" w14:textId="72FEA4C4"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lastRenderedPageBreak/>
        <w:t>Realizacja zamówienia podlega prawu polskiemu, w tym w szczególności ustawie z dnia 7 lipca 1994 r. Prawo Budowlane (Dz.U. 2020 poz. 1333 ze zm.).</w:t>
      </w:r>
    </w:p>
    <w:p w14:paraId="13D84036" w14:textId="27CEAC38" w:rsidR="004C4817" w:rsidRPr="004C4817" w:rsidRDefault="004C4817" w:rsidP="004C4817">
      <w:pPr>
        <w:numPr>
          <w:ilvl w:val="0"/>
          <w:numId w:val="10"/>
        </w:numPr>
        <w:spacing w:line="252" w:lineRule="auto"/>
        <w:ind w:left="357" w:hanging="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3EB1AA86" w14:textId="53F3D888" w:rsidR="004C4817" w:rsidRPr="004C4817" w:rsidRDefault="004C4817" w:rsidP="004C4817">
      <w:pPr>
        <w:pStyle w:val="Akapitzlist"/>
        <w:numPr>
          <w:ilvl w:val="0"/>
          <w:numId w:val="40"/>
        </w:numPr>
        <w:spacing w:after="200" w:line="252" w:lineRule="auto"/>
        <w:ind w:firstLine="66"/>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Utrzymywania terenu budowy w stanie wolnym od przeszkód komunikacyjnych </w:t>
      </w:r>
      <w:r>
        <w:rPr>
          <w:rFonts w:asciiTheme="majorHAnsi" w:eastAsiaTheme="majorEastAsia" w:hAnsiTheme="majorHAnsi" w:cstheme="majorBidi"/>
          <w:lang w:eastAsia="en-US"/>
        </w:rPr>
        <w:tab/>
        <w:t>oraz usuwania na bieżąco zbędnych materiałów, odpadów i śmieci,</w:t>
      </w:r>
    </w:p>
    <w:p w14:paraId="5A774C8F" w14:textId="0B7B8EDF" w:rsidR="004C4817" w:rsidRPr="004C4817" w:rsidRDefault="004C4817" w:rsidP="004C4817">
      <w:pPr>
        <w:pStyle w:val="Akapitzlist"/>
        <w:numPr>
          <w:ilvl w:val="0"/>
          <w:numId w:val="40"/>
        </w:numPr>
        <w:spacing w:line="252" w:lineRule="auto"/>
        <w:ind w:left="357" w:firstLine="68"/>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Umożliwiania wstępu na teren budowy pracownikom jednostek sprawujących </w:t>
      </w:r>
      <w:r>
        <w:rPr>
          <w:rFonts w:asciiTheme="majorHAnsi" w:eastAsiaTheme="majorEastAsia" w:hAnsiTheme="majorHAnsi" w:cstheme="majorBidi"/>
          <w:lang w:eastAsia="en-US"/>
        </w:rPr>
        <w:tab/>
        <w:t>funkcje kontrolne oraz upoważnionym pracownikom Zamawiającego.</w:t>
      </w:r>
    </w:p>
    <w:p w14:paraId="59BEE1E9" w14:textId="1E9EBC99" w:rsidR="009D626A" w:rsidRPr="009D626A" w:rsidRDefault="00835BAC"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Z</w:t>
      </w:r>
      <w:r w:rsidR="009D626A">
        <w:rPr>
          <w:rFonts w:asciiTheme="majorHAnsi" w:eastAsiaTheme="majorEastAsia" w:hAnsiTheme="majorHAnsi" w:cstheme="majorBidi"/>
          <w:b/>
          <w:lang w:eastAsia="en-US"/>
        </w:rPr>
        <w:t xml:space="preserve">obowiązuje się Wykonawcę do opracowania harmonogramu rzeczowo- finansowego </w:t>
      </w:r>
      <w:r w:rsidR="009D626A" w:rsidRPr="00835BAC">
        <w:rPr>
          <w:rFonts w:asciiTheme="majorHAnsi" w:eastAsiaTheme="majorEastAsia" w:hAnsiTheme="majorHAnsi" w:cstheme="majorBidi"/>
          <w:b/>
          <w:lang w:eastAsia="en-US"/>
        </w:rPr>
        <w:t>robót.</w:t>
      </w:r>
      <w:r w:rsidR="0069373C">
        <w:rPr>
          <w:rFonts w:asciiTheme="majorHAnsi" w:eastAsiaTheme="majorEastAsia" w:hAnsiTheme="majorHAnsi" w:cstheme="majorBidi"/>
          <w:b/>
          <w:lang w:eastAsia="en-US"/>
        </w:rPr>
        <w:t xml:space="preserve"> Harmonogram rzeczowo- finansowy Wykonawca zobowiązany jest przedstawić przed podpisaniem umowy. </w:t>
      </w:r>
    </w:p>
    <w:p w14:paraId="36FB7E93" w14:textId="606A15BE"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Wykonanie robót będzie się uważać za zakończone</w:t>
      </w:r>
      <w:r w:rsidR="00440021">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odbiór końcowy, jeżeli odbiór nastąpi bez wad istotnych, zostaną zakończone wszystkie prace wchodzące w przedmiot zamówienia oraz obiekt będzie spełniał wymagania projektowe.</w:t>
      </w:r>
    </w:p>
    <w:p w14:paraId="3BC0201D" w14:textId="2E364581" w:rsidR="004C4817" w:rsidRPr="006501D7"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421EAF42" w14:textId="15BFBEE4" w:rsidR="006501D7" w:rsidRPr="00291403"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r w:rsidR="00291403">
        <w:rPr>
          <w:rFonts w:asciiTheme="majorHAnsi" w:eastAsiaTheme="majorEastAsia" w:hAnsiTheme="majorHAnsi" w:cstheme="majorBidi"/>
          <w:lang w:eastAsia="en-US"/>
        </w:rPr>
        <w:t>.</w:t>
      </w:r>
    </w:p>
    <w:p w14:paraId="6CDDD84C" w14:textId="084C824A"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58C7E943" w14:textId="79372A0C"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7A2F0747" w14:textId="7A0300A2" w:rsidR="00291403" w:rsidRPr="006460C1" w:rsidRDefault="009D5554"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Wyroby budowlane użyte do wykonania robót muszą odpowiadać wymaganiom określonym w obowiązujących przepisach, tj. w szczególności ustawie o wyrobach budowlanych i ustawie </w:t>
      </w:r>
      <w:r w:rsidR="006460C1">
        <w:rPr>
          <w:rFonts w:asciiTheme="majorHAnsi" w:eastAsiaTheme="majorEastAsia" w:hAnsiTheme="majorHAnsi" w:cstheme="majorBidi"/>
          <w:lang w:eastAsia="en-US"/>
        </w:rPr>
        <w:t>Prawo budowlane.</w:t>
      </w:r>
    </w:p>
    <w:p w14:paraId="0F16D556" w14:textId="000F1D6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03C3020" w14:textId="04761AB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5EE7FA31" w14:textId="114C0B6E"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3D2F550C" w14:textId="59A2C016" w:rsidR="005D152C" w:rsidRPr="003D588C" w:rsidRDefault="006460C1" w:rsidP="003D588C">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r w:rsidR="003D588C">
        <w:rPr>
          <w:rFonts w:asciiTheme="majorHAnsi" w:eastAsiaTheme="majorEastAsia" w:hAnsiTheme="majorHAnsi" w:cstheme="majorBidi"/>
          <w:lang w:eastAsia="en-US"/>
        </w:rPr>
        <w:t xml:space="preserve"> Wykonawca jest zobowiązany do postępowania określonego przepisami ustawy z dnia 14 grudnia 2012 r. o odpadach (</w:t>
      </w:r>
      <w:r w:rsidR="00BC208D">
        <w:rPr>
          <w:rFonts w:asciiTheme="majorHAnsi" w:eastAsiaTheme="majorEastAsia" w:hAnsiTheme="majorHAnsi" w:cstheme="majorBidi"/>
          <w:lang w:eastAsia="en-US"/>
        </w:rPr>
        <w:t>Dz.U.2020 poz. 797 ze zm.</w:t>
      </w:r>
      <w:r w:rsidR="003D588C">
        <w:rPr>
          <w:rFonts w:asciiTheme="majorHAnsi" w:eastAsiaTheme="majorEastAsia" w:hAnsiTheme="majorHAnsi" w:cstheme="majorBidi"/>
          <w:lang w:eastAsia="en-US"/>
        </w:rPr>
        <w:t>)</w:t>
      </w:r>
      <w:r w:rsidR="00BC208D">
        <w:rPr>
          <w:rFonts w:asciiTheme="majorHAnsi" w:eastAsiaTheme="majorEastAsia" w:hAnsiTheme="majorHAnsi" w:cstheme="majorBidi"/>
          <w:lang w:eastAsia="en-US"/>
        </w:rPr>
        <w:t>.</w:t>
      </w:r>
    </w:p>
    <w:p w14:paraId="38686625" w14:textId="5BDE8446" w:rsidR="006460C1" w:rsidRPr="005D152C" w:rsidRDefault="006460C1" w:rsidP="005D152C">
      <w:pPr>
        <w:numPr>
          <w:ilvl w:val="0"/>
          <w:numId w:val="10"/>
        </w:numPr>
        <w:spacing w:line="252" w:lineRule="auto"/>
        <w:ind w:left="426" w:hanging="426"/>
        <w:contextualSpacing/>
        <w:jc w:val="both"/>
        <w:rPr>
          <w:rFonts w:asciiTheme="majorHAnsi" w:eastAsiaTheme="majorEastAsia" w:hAnsiTheme="majorHAnsi" w:cstheme="majorBidi"/>
          <w:b/>
          <w:lang w:eastAsia="en-US"/>
        </w:rPr>
      </w:pPr>
      <w:r w:rsidRPr="005D152C">
        <w:rPr>
          <w:rFonts w:asciiTheme="majorHAnsi" w:eastAsiaTheme="majorEastAsia" w:hAnsiTheme="majorHAnsi" w:cstheme="majorBidi"/>
          <w:lang w:eastAsia="en-US"/>
        </w:rPr>
        <w:lastRenderedPageBreak/>
        <w:t>W kosztach ogólnych należy uwzględnić ewentualne wystąpienie kosztów takich jak:</w:t>
      </w:r>
    </w:p>
    <w:p w14:paraId="202D63CF" w14:textId="3E13EB72" w:rsidR="006460C1"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uregulowanie opłat i kosztów dozoru budowy i odbioru elementów przedmiotu </w:t>
      </w:r>
      <w:r>
        <w:rPr>
          <w:rFonts w:asciiTheme="majorHAnsi" w:eastAsiaTheme="majorEastAsia" w:hAnsiTheme="majorHAnsi" w:cstheme="majorBidi"/>
          <w:lang w:eastAsia="en-US"/>
        </w:rPr>
        <w:tab/>
      </w:r>
      <w:r w:rsidRPr="005D152C">
        <w:rPr>
          <w:rFonts w:asciiTheme="majorHAnsi" w:eastAsiaTheme="majorEastAsia" w:hAnsiTheme="majorHAnsi" w:cstheme="majorBidi"/>
          <w:lang w:eastAsia="en-US"/>
        </w:rPr>
        <w:t>zamówienia</w:t>
      </w:r>
      <w:r>
        <w:rPr>
          <w:rFonts w:asciiTheme="majorHAnsi" w:eastAsiaTheme="majorEastAsia" w:hAnsiTheme="majorHAnsi" w:cstheme="majorBidi"/>
          <w:lang w:eastAsia="en-US"/>
        </w:rPr>
        <w:t>,</w:t>
      </w:r>
    </w:p>
    <w:p w14:paraId="58909794" w14:textId="2ED7B6AC"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1D3C56B9" w14:textId="05BFF1C9"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zabezpieczenia wykonywania robót,</w:t>
      </w:r>
    </w:p>
    <w:p w14:paraId="2487B88E" w14:textId="4E394E0C" w:rsidR="005D152C" w:rsidRPr="005D152C" w:rsidRDefault="005D152C" w:rsidP="005D152C">
      <w:pPr>
        <w:pStyle w:val="Akapitzlist"/>
        <w:numPr>
          <w:ilvl w:val="0"/>
          <w:numId w:val="41"/>
        </w:numPr>
        <w:spacing w:line="252" w:lineRule="auto"/>
        <w:ind w:left="357"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poniesienie kosztów odszkodowań za szkody wyrządzone podczas prowadzenia </w:t>
      </w:r>
      <w:r>
        <w:rPr>
          <w:rFonts w:asciiTheme="majorHAnsi" w:eastAsiaTheme="majorEastAsia" w:hAnsiTheme="majorHAnsi" w:cstheme="majorBidi"/>
          <w:lang w:eastAsia="en-US"/>
        </w:rPr>
        <w:tab/>
        <w:t>robót budowlanych.</w:t>
      </w:r>
    </w:p>
    <w:p w14:paraId="576598EA" w14:textId="12441470"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 Prace</w:t>
      </w:r>
      <w:r>
        <w:rPr>
          <w:rFonts w:asciiTheme="majorHAnsi" w:eastAsiaTheme="majorEastAsia" w:hAnsiTheme="majorHAnsi" w:cstheme="majorBidi"/>
          <w:lang w:eastAsia="en-US"/>
        </w:rPr>
        <w:t xml:space="preserve"> w rejonie kolizji i zbliżeń do sieci należy prowadzić pod nadzorem pracownika- Gestora sieci (jeżeli wystąpi)</w:t>
      </w:r>
    </w:p>
    <w:p w14:paraId="58D0C76E" w14:textId="2D43B1C8"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42EA3017" w14:textId="6506BB54"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Teren wykonywania robót musi być odpowiednio oznakowany i zabezpieczony przed dostępem osób trzecich.</w:t>
      </w:r>
    </w:p>
    <w:p w14:paraId="19080DD1" w14:textId="653CE302" w:rsidR="005D152C" w:rsidRP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50114194" w14:textId="5B40673F" w:rsidR="0086693A" w:rsidRPr="002958B7" w:rsidRDefault="002958B7" w:rsidP="005D152C">
      <w:pPr>
        <w:numPr>
          <w:ilvl w:val="0"/>
          <w:numId w:val="10"/>
        </w:numPr>
        <w:spacing w:line="252" w:lineRule="auto"/>
        <w:ind w:left="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w:t>
      </w:r>
      <w:r w:rsidR="005D152C">
        <w:rPr>
          <w:rFonts w:asciiTheme="majorHAnsi" w:eastAsiaTheme="majorEastAsia" w:hAnsiTheme="majorHAnsi" w:cstheme="majorBidi"/>
          <w:lang w:eastAsia="en-US"/>
        </w:rPr>
        <w:t xml:space="preserve">dowy) </w:t>
      </w:r>
      <w:r>
        <w:rPr>
          <w:rFonts w:asciiTheme="majorHAnsi" w:eastAsiaTheme="majorEastAsia" w:hAnsiTheme="majorHAnsi" w:cstheme="majorBidi"/>
          <w:lang w:eastAsia="en-US"/>
        </w:rPr>
        <w:t>należą do Wykonawcy i stanowią jego koszt.</w:t>
      </w:r>
    </w:p>
    <w:p w14:paraId="75F65D58" w14:textId="4AC5D8CA"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3D588C">
        <w:rPr>
          <w:rFonts w:asciiTheme="majorHAnsi" w:eastAsiaTheme="majorEastAsia" w:hAnsiTheme="majorHAnsi" w:cstheme="majorBidi"/>
          <w:lang w:eastAsia="en-US"/>
        </w:rPr>
        <w:t>zaleca</w:t>
      </w:r>
      <w:r w:rsidR="003D588C">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C12E7A"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E0802CC" w14:textId="13957471"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Pr="00E9372E">
        <w:rPr>
          <w:rFonts w:asciiTheme="majorHAnsi" w:eastAsiaTheme="majorEastAsia" w:hAnsiTheme="majorHAnsi" w:cstheme="majorBidi"/>
          <w:b/>
          <w:lang w:eastAsia="en-US"/>
        </w:rPr>
        <w:t>wymaga przed podpisaniem umowy</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złożenia </w:t>
      </w:r>
      <w:r w:rsidRPr="00E9372E">
        <w:rPr>
          <w:rFonts w:asciiTheme="majorHAnsi" w:eastAsiaTheme="majorEastAsia" w:hAnsiTheme="majorHAnsi" w:cstheme="majorBidi"/>
          <w:lang w:eastAsia="en-US"/>
        </w:rPr>
        <w:t>(w celach informacyjnych) kosztorysu obrazującego sposób obliczania ceny. Kosztorys ma być</w:t>
      </w:r>
      <w:r>
        <w:rPr>
          <w:rFonts w:asciiTheme="majorHAnsi" w:eastAsiaTheme="majorEastAsia" w:hAnsiTheme="majorHAnsi" w:cstheme="majorBidi"/>
          <w:lang w:eastAsia="en-US"/>
        </w:rPr>
        <w:t xml:space="preserve"> sporządzony metodą szczegółową </w:t>
      </w:r>
      <w:r w:rsidRPr="00E9372E">
        <w:rPr>
          <w:rFonts w:asciiTheme="majorHAnsi" w:eastAsiaTheme="majorEastAsia" w:hAnsiTheme="majorHAnsi" w:cstheme="majorBidi"/>
          <w:lang w:eastAsia="en-US"/>
        </w:rPr>
        <w:t>(zgodnie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33D8E356" w14:textId="41CADA6F" w:rsid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Zamawiający udostępnia przedmiary robót tylko jako materiał pomocniczy, wyjściowy.</w:t>
      </w:r>
    </w:p>
    <w:p w14:paraId="59AE7E28" w14:textId="4514136B"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Gwarancja i rękojmia</w:t>
      </w:r>
      <w:r w:rsidR="007B184A">
        <w:rPr>
          <w:rFonts w:asciiTheme="majorHAnsi" w:eastAsiaTheme="majorEastAsia" w:hAnsiTheme="majorHAnsi" w:cstheme="majorBidi"/>
          <w:b/>
          <w:lang w:eastAsia="en-US"/>
        </w:rPr>
        <w:t>-</w:t>
      </w:r>
      <w:r w:rsidR="00D12964">
        <w:rPr>
          <w:rFonts w:asciiTheme="majorHAnsi" w:eastAsiaTheme="majorEastAsia" w:hAnsiTheme="majorHAnsi" w:cstheme="majorBidi"/>
          <w:b/>
          <w:lang w:eastAsia="en-US"/>
        </w:rPr>
        <w:t xml:space="preserve"> </w:t>
      </w:r>
      <w:r w:rsidR="00D12964">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00D12964">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r w:rsidR="00D12964">
        <w:rPr>
          <w:rFonts w:asciiTheme="majorHAnsi" w:eastAsiaTheme="majorEastAsia" w:hAnsiTheme="majorHAnsi" w:cstheme="majorBidi"/>
          <w:lang w:eastAsia="en-US"/>
        </w:rPr>
        <w:t xml:space="preserve"> (licząc od podpisania protokołu końcowego odbioru robót). Szczegółowe zasady wykonywania warunków gwarancji i rękojmi zawarto we wzorze umowy stanowiącym załącznik nr </w:t>
      </w:r>
      <w:r w:rsidR="00835BAC">
        <w:rPr>
          <w:rFonts w:asciiTheme="majorHAnsi" w:eastAsiaTheme="majorEastAsia" w:hAnsiTheme="majorHAnsi" w:cstheme="majorBidi"/>
          <w:lang w:eastAsia="en-US"/>
        </w:rPr>
        <w:t>8</w:t>
      </w:r>
      <w:r w:rsidR="00D12964">
        <w:rPr>
          <w:rFonts w:asciiTheme="majorHAnsi" w:eastAsiaTheme="majorEastAsia" w:hAnsiTheme="majorHAnsi" w:cstheme="majorBidi"/>
          <w:lang w:eastAsia="en-US"/>
        </w:rPr>
        <w:t xml:space="preserve"> do SWZ.</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B1CFB29" w14:textId="77777777" w:rsidR="00FE6D88" w:rsidRDefault="00FE6D88" w:rsidP="00FE6D88">
      <w:pPr>
        <w:spacing w:after="200" w:line="252" w:lineRule="auto"/>
        <w:ind w:left="360"/>
        <w:contextualSpacing/>
        <w:jc w:val="both"/>
        <w:rPr>
          <w:rFonts w:asciiTheme="majorHAnsi" w:eastAsiaTheme="majorEastAsia" w:hAnsiTheme="majorHAnsi" w:cstheme="majorBidi"/>
          <w:lang w:eastAsia="en-US"/>
        </w:rPr>
      </w:pPr>
    </w:p>
    <w:p w14:paraId="0E223C75" w14:textId="77777777" w:rsidR="00FE6D88" w:rsidRPr="00F128CA" w:rsidRDefault="00FE6D88" w:rsidP="00FE6D88">
      <w:p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użytkowych założonych w dokumentacji technicznej dla danego typu rozwiązań, nie są zobowiązujące i należy je traktować, jako propozycje projektanta. Nie są one wiążące przyszłego Wykonawcę do ich stosowania.</w:t>
      </w:r>
    </w:p>
    <w:p w14:paraId="52760AE7"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zastosować materiały, wyposażenie czy urządzenia równoważne o parametrach techniczno- użytkowych odpowiadających co najmniej parametrom materiałów i urządzeń zaproponowanych w dokumentacji projektowej.</w:t>
      </w:r>
    </w:p>
    <w:p w14:paraId="158D205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sytuacji, gdy Zamawiający opisał przedmiot zamówienia przez wskazanie znaków towarowych, patentów lub pochodzenia, źródła lub szczególnego procesu, który charakteryzuje produktu lub usługi dostarczane przez konkretnego Wykonawcę, to należy rozumieć, i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w:t>
      </w:r>
    </w:p>
    <w:p w14:paraId="621D7DDE"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wymagać parametrów jakościowych Zamawiający rozumie wymagania towarów zawarte w ogólnie dostępnych źródłach, katalogach, stronach internetowych producentów.</w:t>
      </w:r>
    </w:p>
    <w:p w14:paraId="2072A19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ma obowiązek posiadać w stosunku do materiałów równoważnych dokumenty potwierdzające pozwolenie na zastosowanie/ wbudowanie aprobaty techniczne.</w:t>
      </w:r>
    </w:p>
    <w:p w14:paraId="68ACEB13" w14:textId="77777777" w:rsidR="00FE6D88" w:rsidRDefault="00FE6D88" w:rsidP="00FE6D88">
      <w:p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Dopuszcza się równoważne materiały pod warunkiem, że:</w:t>
      </w:r>
    </w:p>
    <w:p w14:paraId="4CC328F8"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zagwarantują one realizację zamówienia zgodnie z założeniami jakościowymi, </w:t>
      </w:r>
      <w:r>
        <w:rPr>
          <w:rFonts w:asciiTheme="majorHAnsi" w:eastAsiaTheme="majorEastAsia" w:hAnsiTheme="majorHAnsi" w:cstheme="majorBidi"/>
          <w:lang w:eastAsia="en-US"/>
        </w:rPr>
        <w:tab/>
        <w:t>technologicznymi i eksploatacyjnymi zawartymi w dokumentacji projektowej,</w:t>
      </w:r>
    </w:p>
    <w:p w14:paraId="76078F9A"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zapewnią uzyskanie parametrów technicznych, technologicznych i jakościowych, </w:t>
      </w:r>
      <w:r>
        <w:rPr>
          <w:rFonts w:asciiTheme="majorHAnsi" w:eastAsiaTheme="majorEastAsia" w:hAnsiTheme="majorHAnsi" w:cstheme="majorBidi"/>
          <w:lang w:eastAsia="en-US"/>
        </w:rPr>
        <w:tab/>
        <w:t>co najmniej równych parametrom założonym w dokumentacji projektowej.</w:t>
      </w:r>
    </w:p>
    <w:p w14:paraId="109B8811" w14:textId="77777777" w:rsidR="00FE6D88" w:rsidRDefault="00FE6D88"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290C4A7D" w14:textId="64E44810" w:rsidR="00BE59E2" w:rsidRPr="00BE59E2" w:rsidRDefault="002B582F" w:rsidP="00BE59E2">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Pr>
          <w:rFonts w:asciiTheme="majorHAnsi" w:hAnsiTheme="majorHAnsi"/>
        </w:rPr>
        <w:t>,</w:t>
      </w:r>
      <w:r w:rsidRPr="00F91DA5">
        <w:rPr>
          <w:rFonts w:asciiTheme="majorHAnsi" w:hAnsiTheme="majorHAnsi"/>
        </w:rPr>
        <w:t xml:space="preserve"> osób wykonujących </w:t>
      </w:r>
      <w:r w:rsidR="00C22D02">
        <w:rPr>
          <w:rFonts w:asciiTheme="majorHAnsi" w:hAnsiTheme="majorHAnsi"/>
        </w:rPr>
        <w:t xml:space="preserve">prace fizyczne związane z robotami budowlanymi </w:t>
      </w:r>
      <w:r w:rsidRPr="00F91DA5">
        <w:rPr>
          <w:rFonts w:asciiTheme="majorHAnsi" w:hAnsiTheme="majorHAnsi"/>
        </w:rPr>
        <w:t>, w szc</w:t>
      </w:r>
      <w:r w:rsidR="00BE59E2">
        <w:rPr>
          <w:rFonts w:asciiTheme="majorHAnsi" w:hAnsiTheme="majorHAnsi"/>
        </w:rPr>
        <w:t>zególności w zakresie real</w:t>
      </w:r>
      <w:r w:rsidR="00093E3C">
        <w:rPr>
          <w:rFonts w:asciiTheme="majorHAnsi" w:hAnsiTheme="majorHAnsi"/>
        </w:rPr>
        <w:t>izacji: robót budowlanych</w:t>
      </w:r>
      <w:r w:rsidR="00BE59E2">
        <w:rPr>
          <w:rFonts w:asciiTheme="majorHAnsi" w:hAnsiTheme="majorHAnsi"/>
        </w:rPr>
        <w:t>, obsługi sprzętu celem wykonania robót.</w:t>
      </w:r>
    </w:p>
    <w:p w14:paraId="0C6A53A7" w14:textId="55116FAA" w:rsidR="002B582F" w:rsidRDefault="00BE59E2" w:rsidP="007B1AB3">
      <w:pPr>
        <w:ind w:left="284"/>
        <w:jc w:val="both"/>
        <w:rPr>
          <w:rFonts w:asciiTheme="majorHAnsi" w:hAnsiTheme="majorHAnsi"/>
        </w:rPr>
      </w:pPr>
      <w:r>
        <w:rPr>
          <w:rFonts w:asciiTheme="majorHAnsi" w:hAnsiTheme="majorHAnsi"/>
        </w:rPr>
        <w:t>W</w:t>
      </w:r>
      <w:r w:rsidR="002B582F" w:rsidRPr="000F41B3">
        <w:rPr>
          <w:rFonts w:asciiTheme="majorHAnsi" w:hAnsiTheme="majorHAnsi"/>
        </w:rPr>
        <w:t xml:space="preserve"> ilości osób niezbędnej do r</w:t>
      </w:r>
      <w:r w:rsidR="007B1AB3">
        <w:rPr>
          <w:rFonts w:asciiTheme="majorHAnsi" w:hAnsiTheme="majorHAnsi"/>
        </w:rPr>
        <w:t xml:space="preserve">ealizacji przedmiotu zamówienia, </w:t>
      </w:r>
      <w:r w:rsidR="007B1AB3" w:rsidRPr="00980423">
        <w:rPr>
          <w:rFonts w:eastAsia="Calibri"/>
          <w:color w:val="000000" w:themeColor="text1"/>
        </w:rPr>
        <w:t>za wyjątkiem prac wykonywanych przez kierow</w:t>
      </w:r>
      <w:r w:rsidR="007B1AB3">
        <w:rPr>
          <w:rFonts w:eastAsia="Calibri"/>
          <w:color w:val="000000" w:themeColor="text1"/>
        </w:rPr>
        <w:t xml:space="preserve">nika budowy, kierownika robót , geodetę i </w:t>
      </w:r>
      <w:r w:rsidR="007B1AB3" w:rsidRPr="00980423">
        <w:rPr>
          <w:rFonts w:eastAsia="Calibri"/>
          <w:color w:val="000000" w:themeColor="text1"/>
        </w:rPr>
        <w:t>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7A94A8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oświadczenia Wykonawcy lub podwykonawcy o zatrudnieniu pracownika na </w:t>
      </w:r>
      <w:r w:rsidR="00C44E9D">
        <w:rPr>
          <w:rFonts w:asciiTheme="majorHAnsi" w:hAnsiTheme="majorHAnsi"/>
        </w:rPr>
        <w:tab/>
      </w:r>
      <w:r>
        <w:rPr>
          <w:rFonts w:asciiTheme="majorHAnsi" w:hAnsiTheme="majorHAnsi"/>
        </w:rPr>
        <w:t>podstawie umowy o pracę</w:t>
      </w:r>
    </w:p>
    <w:p w14:paraId="76C0A8C5" w14:textId="149D6F38"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poświadczonej za zgodność z oryginałem kopii umowy o pracę zatrudnionego </w:t>
      </w:r>
      <w:r w:rsidR="00C44E9D">
        <w:rPr>
          <w:rFonts w:asciiTheme="majorHAnsi" w:hAnsiTheme="majorHAnsi"/>
        </w:rPr>
        <w:tab/>
      </w:r>
      <w:r>
        <w:rPr>
          <w:rFonts w:asciiTheme="majorHAnsi" w:hAnsiTheme="majorHAnsi"/>
        </w:rPr>
        <w:t>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0A75293" w14:textId="6C99B7C7" w:rsidR="00F0606D" w:rsidRDefault="003525C8"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602C41E1" w14:textId="04B07516" w:rsidR="00EE0FC0" w:rsidRDefault="00EE0FC0"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nieprzedłożenie w terminie dokumentów, o których mowa w punkcie 4 Wykonawca zapłaci Zamawiającemu karę umowną w wysokości 1.000,00 zł w każdym stwierdzonym przypadku. </w:t>
      </w:r>
    </w:p>
    <w:p w14:paraId="190A1DF2" w14:textId="77777777" w:rsidR="00287E1E" w:rsidRDefault="00287E1E" w:rsidP="00287E1E">
      <w:pPr>
        <w:pStyle w:val="Akapitzlist"/>
        <w:ind w:left="284"/>
        <w:jc w:val="both"/>
        <w:rPr>
          <w:rFonts w:asciiTheme="majorHAnsi" w:hAnsiTheme="majorHAnsi"/>
        </w:rPr>
      </w:pPr>
    </w:p>
    <w:p w14:paraId="342B9D77" w14:textId="77777777" w:rsidR="00287E1E" w:rsidRPr="00EE0FC0" w:rsidRDefault="00287E1E" w:rsidP="00287E1E">
      <w:pPr>
        <w:pStyle w:val="Akapitzlist"/>
        <w:ind w:left="284"/>
        <w:jc w:val="both"/>
        <w:rPr>
          <w:rFonts w:asciiTheme="majorHAnsi" w:hAnsiTheme="majorHAnsi"/>
        </w:rPr>
      </w:pP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3294A5BE"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A61F8">
        <w:rPr>
          <w:rFonts w:asciiTheme="majorHAnsi" w:eastAsiaTheme="majorEastAsia" w:hAnsiTheme="majorHAnsi" w:cstheme="majorBidi"/>
          <w:b/>
          <w:lang w:eastAsia="en-US"/>
        </w:rPr>
        <w:t xml:space="preserve">5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179D5">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lastRenderedPageBreak/>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11D61DE7"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w:t>
      </w:r>
      <w:r w:rsidR="002141F4">
        <w:rPr>
          <w:rFonts w:asciiTheme="majorHAnsi" w:eastAsiaTheme="majorEastAsia" w:hAnsiTheme="majorHAnsi" w:cstheme="majorBidi"/>
          <w:lang w:eastAsia="en-US"/>
        </w:rPr>
        <w:t>zenie, tj. w okresie ostatnich 5</w:t>
      </w:r>
      <w:r w:rsidRPr="002A0F78">
        <w:rPr>
          <w:rFonts w:asciiTheme="majorHAnsi" w:eastAsiaTheme="majorEastAsia" w:hAnsiTheme="majorHAnsi" w:cstheme="majorBidi"/>
          <w:lang w:eastAsia="en-US"/>
        </w:rPr>
        <w:t xml:space="preserve">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w:t>
      </w:r>
      <w:r w:rsidR="00440021">
        <w:rPr>
          <w:rFonts w:asciiTheme="majorHAnsi" w:eastAsiaTheme="majorEastAsia" w:hAnsiTheme="majorHAnsi" w:cstheme="majorBidi"/>
          <w:lang w:eastAsia="en-US"/>
        </w:rPr>
        <w:t xml:space="preserve"> </w:t>
      </w:r>
      <w:r w:rsidRPr="002A0F78">
        <w:rPr>
          <w:rFonts w:asciiTheme="majorHAnsi" w:eastAsiaTheme="majorEastAsia" w:hAnsiTheme="majorHAnsi" w:cstheme="majorBidi"/>
          <w:lang w:eastAsia="en-US"/>
        </w:rPr>
        <w:t xml:space="preserve">- w tym okresie, wykonał </w:t>
      </w:r>
      <w:r w:rsidRPr="00695332">
        <w:rPr>
          <w:rFonts w:asciiTheme="majorHAnsi" w:eastAsiaTheme="majorEastAsia" w:hAnsiTheme="majorHAnsi" w:cstheme="majorBidi"/>
          <w:b/>
          <w:lang w:eastAsia="en-US"/>
        </w:rPr>
        <w:t xml:space="preserve">co najmniej </w:t>
      </w:r>
      <w:r w:rsidR="004B62DA">
        <w:rPr>
          <w:rFonts w:asciiTheme="majorHAnsi" w:eastAsiaTheme="majorEastAsia" w:hAnsiTheme="majorHAnsi" w:cstheme="majorBidi"/>
          <w:b/>
          <w:lang w:eastAsia="en-US"/>
        </w:rPr>
        <w:t>1</w:t>
      </w:r>
      <w:r w:rsidRPr="00695332">
        <w:rPr>
          <w:rFonts w:asciiTheme="majorHAnsi" w:eastAsiaTheme="majorEastAsia" w:hAnsiTheme="majorHAnsi" w:cstheme="majorBidi"/>
          <w:b/>
          <w:lang w:eastAsia="en-US"/>
        </w:rPr>
        <w:t xml:space="preserve"> zadani</w:t>
      </w:r>
      <w:r w:rsidR="004B62DA">
        <w:rPr>
          <w:rFonts w:asciiTheme="majorHAnsi" w:eastAsiaTheme="majorEastAsia" w:hAnsiTheme="majorHAnsi" w:cstheme="majorBidi"/>
          <w:b/>
          <w:lang w:eastAsia="en-US"/>
        </w:rPr>
        <w:t>e</w:t>
      </w:r>
      <w:r w:rsidRPr="002A0F78">
        <w:rPr>
          <w:rFonts w:asciiTheme="majorHAnsi" w:eastAsiaTheme="majorEastAsia" w:hAnsiTheme="majorHAnsi" w:cstheme="majorBidi"/>
          <w:lang w:eastAsia="en-US"/>
        </w:rPr>
        <w:t xml:space="preserve"> polegające na </w:t>
      </w:r>
      <w:r w:rsidR="00DF5EBA">
        <w:rPr>
          <w:rFonts w:asciiTheme="majorHAnsi" w:eastAsiaTheme="majorEastAsia" w:hAnsiTheme="majorHAnsi" w:cstheme="majorBidi"/>
          <w:b/>
          <w:lang w:eastAsia="en-US"/>
        </w:rPr>
        <w:t>wykonaniu budynku lub budowli w konstrukcji stalowej o rozpiętości min. 10 m.</w:t>
      </w:r>
      <w:r w:rsidR="002141F4">
        <w:rPr>
          <w:rFonts w:asciiTheme="majorHAnsi" w:eastAsiaTheme="majorEastAsia" w:hAnsiTheme="majorHAnsi" w:cstheme="majorBidi"/>
          <w:b/>
          <w:lang w:eastAsia="en-US"/>
        </w:rPr>
        <w:t xml:space="preserve"> </w:t>
      </w:r>
      <w:r w:rsidR="002141F4" w:rsidRPr="002141F4">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002141F4">
        <w:rPr>
          <w:rFonts w:asciiTheme="majorHAnsi" w:eastAsiaTheme="majorEastAsia" w:hAnsiTheme="majorHAnsi" w:cstheme="majorBidi"/>
          <w:b/>
          <w:lang w:eastAsia="en-US"/>
        </w:rPr>
        <w:t xml:space="preserve"> </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14F1DB9D"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 xml:space="preserve">Wzór wykaz </w:t>
      </w:r>
      <w:r w:rsidR="00B65095">
        <w:rPr>
          <w:rFonts w:asciiTheme="majorHAnsi" w:eastAsiaTheme="majorEastAsia" w:hAnsiTheme="majorHAnsi" w:cstheme="majorBidi"/>
          <w:b/>
          <w:lang w:eastAsia="en-US"/>
        </w:rPr>
        <w:t xml:space="preserve">robót budowlanych </w:t>
      </w:r>
      <w:r w:rsidRPr="005025AB">
        <w:rPr>
          <w:rFonts w:asciiTheme="majorHAnsi" w:eastAsiaTheme="majorEastAsia" w:hAnsiTheme="majorHAnsi" w:cstheme="majorBidi"/>
          <w:b/>
          <w:lang w:eastAsia="en-US"/>
        </w:rPr>
        <w:t>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6F52D1E2"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 xml:space="preserve">w specjalności </w:t>
      </w:r>
      <w:r w:rsidR="0061576D">
        <w:rPr>
          <w:rFonts w:asciiTheme="majorHAnsi" w:eastAsiaTheme="majorEastAsia" w:hAnsiTheme="majorHAnsi" w:cstheme="majorBidi"/>
          <w:b/>
          <w:lang w:eastAsia="en-US"/>
        </w:rPr>
        <w:t>konstrukcyjno- budowlanej</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Pr>
          <w:rFonts w:asciiTheme="majorHAnsi" w:eastAsiaTheme="majorEastAsia" w:hAnsiTheme="majorHAnsi" w:cstheme="majorBidi"/>
          <w:lang w:eastAsia="en-US"/>
        </w:rPr>
        <w:t>,</w:t>
      </w:r>
    </w:p>
    <w:p w14:paraId="75DEB2F5" w14:textId="5EA0A9C7"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xml:space="preserve">, o którym mowa w art. 9 ust. 2 ustawy z dnia 15 czerwca 2012 r. o skutkach powierzania wykonywania </w:t>
      </w:r>
      <w:r w:rsidR="009C5220" w:rsidRPr="009C5220">
        <w:rPr>
          <w:rFonts w:asciiTheme="majorHAnsi" w:eastAsiaTheme="majorEastAsia" w:hAnsiTheme="majorHAnsi" w:cstheme="majorBidi"/>
          <w:lang w:eastAsia="en-US"/>
        </w:rPr>
        <w:lastRenderedPageBreak/>
        <w:t>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 xml:space="preserve">7) który, z przyczyn leżących po jego stronie, w znacznym stopniu lub zakresie nie wykonał lub nienależycie wykonał albo długotrwale nienależycie wykonywał istotne </w:t>
      </w:r>
      <w:r w:rsidRPr="000850FA">
        <w:rPr>
          <w:rFonts w:asciiTheme="majorHAnsi" w:eastAsiaTheme="majorEastAsia" w:hAnsiTheme="majorHAnsi" w:cstheme="majorBidi"/>
          <w:lang w:eastAsia="en-US"/>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Default="009C5220" w:rsidP="00B40D1F">
      <w:pPr>
        <w:shd w:val="clear" w:color="auto" w:fill="FFFFFF"/>
        <w:rPr>
          <w:rFonts w:asciiTheme="majorHAnsi" w:eastAsiaTheme="majorEastAsia" w:hAnsiTheme="majorHAnsi" w:cstheme="majorBidi"/>
          <w:b/>
          <w:lang w:eastAsia="en-US"/>
        </w:rPr>
      </w:pPr>
    </w:p>
    <w:p w14:paraId="69DA4B46" w14:textId="77777777" w:rsidR="00A065EC" w:rsidRPr="009C5220" w:rsidRDefault="00A065EC"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w:t>
      </w:r>
      <w:r w:rsidR="00E14DCB" w:rsidRPr="00773D17">
        <w:rPr>
          <w:rFonts w:ascii="Cambria" w:hAnsi="Cambria" w:cs="Arial"/>
        </w:rPr>
        <w:lastRenderedPageBreak/>
        <w:t xml:space="preserve">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lastRenderedPageBreak/>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lastRenderedPageBreak/>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lastRenderedPageBreak/>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Default="005705CA" w:rsidP="00AB7DAF">
      <w:pPr>
        <w:pStyle w:val="Tekstpodstawowy"/>
        <w:spacing w:after="0"/>
        <w:ind w:right="20"/>
        <w:jc w:val="both"/>
        <w:rPr>
          <w:rFonts w:ascii="Cambria" w:hAnsi="Cambria"/>
        </w:rPr>
      </w:pPr>
    </w:p>
    <w:p w14:paraId="1404EB3F" w14:textId="77777777" w:rsidR="003A4DDB" w:rsidRPr="00773D17" w:rsidRDefault="003A4DDB"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6C1C6329"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w:t>
      </w:r>
      <w:r w:rsidR="00621CEF">
        <w:rPr>
          <w:rFonts w:asciiTheme="majorHAnsi" w:hAnsiTheme="majorHAnsi"/>
        </w:rPr>
        <w:t>robót budowlanych wykonanych nie wcześniej niż w okresie ostatnich 5 lat,</w:t>
      </w:r>
      <w:r>
        <w:rPr>
          <w:rFonts w:asciiTheme="majorHAnsi" w:hAnsiTheme="majorHAnsi"/>
        </w:rPr>
        <w:t xml:space="preserve"> a jeżeli okres prowadzenia działalności jest krótszy- w tym okresie, wraz z podaniem ich </w:t>
      </w:r>
      <w:r w:rsidR="00621CEF">
        <w:rPr>
          <w:rFonts w:asciiTheme="majorHAnsi" w:hAnsiTheme="majorHAnsi"/>
        </w:rPr>
        <w:t xml:space="preserve">rodzaju, wartości, </w:t>
      </w:r>
      <w:r>
        <w:rPr>
          <w:rFonts w:asciiTheme="majorHAnsi" w:hAnsiTheme="majorHAnsi"/>
        </w:rPr>
        <w:t>dat</w:t>
      </w:r>
      <w:r w:rsidR="00621CEF">
        <w:rPr>
          <w:rFonts w:asciiTheme="majorHAnsi" w:hAnsiTheme="majorHAnsi"/>
        </w:rPr>
        <w:t xml:space="preserve">y i miejsca wykonania oraz </w:t>
      </w:r>
      <w:r>
        <w:rPr>
          <w:rFonts w:asciiTheme="majorHAnsi" w:hAnsiTheme="majorHAnsi"/>
        </w:rPr>
        <w:t xml:space="preserve">podmiotów, na rzecz </w:t>
      </w:r>
      <w:r w:rsidR="00621CEF">
        <w:rPr>
          <w:rFonts w:asciiTheme="majorHAnsi" w:hAnsiTheme="majorHAnsi"/>
        </w:rPr>
        <w:t xml:space="preserve">roboty te </w:t>
      </w:r>
      <w:r>
        <w:rPr>
          <w:rFonts w:asciiTheme="majorHAnsi" w:hAnsiTheme="majorHAnsi"/>
        </w:rPr>
        <w:t xml:space="preserve">zostały wykonane, oraz załączeniem dowodów określających, czy te </w:t>
      </w:r>
      <w:r w:rsidR="00621CEF">
        <w:rPr>
          <w:rFonts w:asciiTheme="majorHAnsi" w:hAnsiTheme="majorHAnsi"/>
        </w:rPr>
        <w:t xml:space="preserve">roboty budowlane zostały wykonane </w:t>
      </w:r>
      <w:r>
        <w:rPr>
          <w:rFonts w:asciiTheme="majorHAnsi" w:hAnsiTheme="majorHAnsi"/>
        </w:rPr>
        <w:t xml:space="preserve">należycie, przy czym dowodami, o których mowa, są referencje bądź inne dokumenty sporządzone przez podmiot, na rzecz którego </w:t>
      </w:r>
      <w:r w:rsidR="00621CEF">
        <w:rPr>
          <w:rFonts w:asciiTheme="majorHAnsi" w:hAnsiTheme="majorHAnsi"/>
        </w:rPr>
        <w:t>roboty budowlane</w:t>
      </w:r>
      <w:r>
        <w:rPr>
          <w:rFonts w:asciiTheme="majorHAnsi" w:hAnsiTheme="majorHAnsi"/>
        </w:rPr>
        <w:t xml:space="preserve"> </w:t>
      </w:r>
      <w:r w:rsidR="00621CEF">
        <w:rPr>
          <w:rFonts w:asciiTheme="majorHAnsi" w:hAnsiTheme="majorHAnsi"/>
        </w:rPr>
        <w:t xml:space="preserve">zostały wykonane, a jeżeli wykonawca z przyczyn niezależnych od niego nie jest w stanie uzyskać tych dokumentów- inne odpowiednie dokumenty.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lastRenderedPageBreak/>
        <w:tab/>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6D03F885" w14:textId="72EF7E46" w:rsidR="00F54533" w:rsidRPr="00F54533" w:rsidRDefault="00F54533" w:rsidP="00E1023A">
      <w:pPr>
        <w:autoSpaceDE w:val="0"/>
        <w:autoSpaceDN w:val="0"/>
        <w:spacing w:before="120" w:after="120"/>
        <w:jc w:val="both"/>
        <w:rPr>
          <w:rFonts w:ascii="Cambria" w:hAnsi="Cambria" w:cs="Arial"/>
          <w:u w:val="single"/>
        </w:rPr>
      </w:pPr>
      <w:r>
        <w:rPr>
          <w:rFonts w:ascii="Cambria" w:hAnsi="Cambria"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F54533">
        <w:rPr>
          <w:rFonts w:ascii="Cambria" w:hAnsi="Cambria" w:cs="Arial"/>
          <w:u w:val="single"/>
        </w:rPr>
        <w:t>o ile wykonawca wskazał w oświadczeniu, o którym mowa w art. 125 ust. 1 dane umożliwiające dostęp do tych środków.</w:t>
      </w:r>
    </w:p>
    <w:p w14:paraId="4C61EADF" w14:textId="77777777" w:rsidR="00F54533" w:rsidRDefault="00F54533" w:rsidP="00E1023A">
      <w:pPr>
        <w:autoSpaceDE w:val="0"/>
        <w:autoSpaceDN w:val="0"/>
        <w:spacing w:before="120" w:after="120"/>
        <w:jc w:val="both"/>
        <w:rPr>
          <w:rFonts w:ascii="Cambria" w:hAnsi="Cambria" w:cs="Arial"/>
        </w:rPr>
      </w:pP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2914F1E1"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F858E3">
        <w:rPr>
          <w:rFonts w:ascii="Cambria" w:hAnsi="Cambria" w:cs="Arial"/>
          <w:b/>
          <w:bCs/>
        </w:rPr>
        <w:t>kwocie</w:t>
      </w:r>
      <w:r w:rsidR="005D790D">
        <w:rPr>
          <w:rFonts w:ascii="Cambria" w:hAnsi="Cambria" w:cs="Arial"/>
          <w:b/>
          <w:bCs/>
        </w:rPr>
        <w:t xml:space="preserve"> 4.000,00</w:t>
      </w:r>
      <w:r w:rsidR="00F858E3">
        <w:rPr>
          <w:rFonts w:ascii="Cambria" w:hAnsi="Cambria" w:cs="Arial"/>
          <w:b/>
          <w:bCs/>
        </w:rPr>
        <w:t xml:space="preserve"> </w:t>
      </w:r>
      <w:r w:rsidR="00577B99" w:rsidRPr="00577B99">
        <w:rPr>
          <w:rFonts w:ascii="Cambria" w:hAnsi="Cambria" w:cs="Arial"/>
          <w:b/>
          <w:bCs/>
        </w:rPr>
        <w:t xml:space="preserve"> zł.</w:t>
      </w:r>
    </w:p>
    <w:p w14:paraId="00F0CF7A" w14:textId="6CCDDFF0"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5D790D">
        <w:rPr>
          <w:rFonts w:ascii="Cambria" w:hAnsi="Cambria"/>
        </w:rPr>
        <w:t>24.06</w:t>
      </w:r>
      <w:r w:rsidR="00C05DAD">
        <w:rPr>
          <w:rFonts w:ascii="Cambria" w:hAnsi="Cambria"/>
        </w:rPr>
        <w:t>.2021</w:t>
      </w:r>
      <w:r w:rsidR="00417C01">
        <w:rPr>
          <w:rFonts w:ascii="Cambria" w:hAnsi="Cambria"/>
        </w:rPr>
        <w:t xml:space="preserve">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2" w:name="_Toc42045496"/>
      <w:bookmarkEnd w:id="1"/>
      <w:r w:rsidRPr="00773D17">
        <w:rPr>
          <w:rFonts w:ascii="Cambria" w:hAnsi="Cambria"/>
        </w:rPr>
        <w:lastRenderedPageBreak/>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2"/>
    </w:p>
    <w:p w14:paraId="63980D6C" w14:textId="034906EE" w:rsidR="006637D8" w:rsidRPr="003959FE" w:rsidRDefault="00796BA3" w:rsidP="006637D8">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77435887"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3959FE">
        <w:rPr>
          <w:rFonts w:ascii="Cambria" w:hAnsi="Cambria"/>
        </w:rPr>
        <w:t>26.05</w:t>
      </w:r>
      <w:r w:rsidR="00C05DAD">
        <w:rPr>
          <w:rFonts w:ascii="Cambria" w:hAnsi="Cambria"/>
        </w:rPr>
        <w:t>.2021</w:t>
      </w:r>
      <w:r w:rsidR="003C7824">
        <w:rPr>
          <w:rFonts w:ascii="Cambria" w:hAnsi="Cambria"/>
        </w:rPr>
        <w:t xml:space="preserve"> r. </w:t>
      </w:r>
      <w:r>
        <w:rPr>
          <w:rFonts w:ascii="Cambria" w:hAnsi="Cambria"/>
        </w:rPr>
        <w:t>do godziny</w:t>
      </w:r>
      <w:r w:rsidR="003C7824">
        <w:rPr>
          <w:rFonts w:ascii="Cambria" w:hAnsi="Cambria"/>
        </w:rPr>
        <w:t xml:space="preserve"> </w:t>
      </w:r>
      <w:r w:rsidR="00C05DAD">
        <w:rPr>
          <w:rFonts w:ascii="Cambria" w:hAnsi="Cambria"/>
        </w:rPr>
        <w:t>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Pr="003959FE" w:rsidRDefault="00F22244" w:rsidP="00CF0B54">
      <w:pPr>
        <w:numPr>
          <w:ilvl w:val="3"/>
          <w:numId w:val="33"/>
        </w:numPr>
        <w:spacing w:after="200" w:line="252" w:lineRule="auto"/>
        <w:ind w:left="284"/>
        <w:contextualSpacing/>
        <w:jc w:val="both"/>
        <w:rPr>
          <w:rFonts w:asciiTheme="majorHAnsi" w:eastAsiaTheme="majorEastAsia" w:hAnsiTheme="majorHAnsi"/>
          <w:b/>
          <w:lang w:eastAsia="en-US"/>
        </w:rPr>
      </w:pPr>
      <w:r w:rsidRPr="003959FE">
        <w:rPr>
          <w:rFonts w:asciiTheme="majorHAnsi" w:eastAsiaTheme="majorEastAsia" w:hAnsiTheme="majorHAnsi"/>
          <w:b/>
          <w:lang w:eastAsia="en-US"/>
        </w:rPr>
        <w:t xml:space="preserve">Cena ma charakter ryczałtowy. </w:t>
      </w:r>
    </w:p>
    <w:p w14:paraId="542B58B5" w14:textId="03968C86" w:rsidR="00482C9E" w:rsidRDefault="00482C9E"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Oferowana cena za wykonanie przedmiotu zamówienia musi zawierać ewentualne upusty, dodatki i ryzyko wynikające z przyjętej formy wynagrodzenia, a także inne koszty związane z organizacją robót, pracami przygotowawczymi, pomocniczymi etc.</w:t>
      </w:r>
    </w:p>
    <w:p w14:paraId="23F3F9C5" w14:textId="61C1C531" w:rsidR="00D45C88" w:rsidRPr="00482C9E" w:rsidRDefault="00D45C88"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Zamawiający udostępnia przedmiar robót tylko jako materiał pomocniczy, wyjściowy. </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33E3D35F"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 xml:space="preserve">eżeli została złożona oferta, której wybór prowadziłby do powstania u zamawiającego obowiązku podatkowego zgodnie z ustawą z 11 marca 2004 r. o podatku od towarów i usług, dla celów zastosowania kryterium ceny lub </w:t>
      </w:r>
      <w:r w:rsidR="00C54BC6" w:rsidRPr="00773D17">
        <w:rPr>
          <w:rFonts w:asciiTheme="majorHAnsi" w:eastAsiaTheme="majorEastAsia" w:hAnsiTheme="majorHAnsi"/>
          <w:lang w:eastAsia="en-US"/>
        </w:rPr>
        <w:lastRenderedPageBreak/>
        <w:t>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xml:space="preserve">,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w:t>
      </w:r>
      <w:r w:rsidRPr="006B5378">
        <w:rPr>
          <w:rFonts w:asciiTheme="majorHAnsi" w:hAnsiTheme="majorHAnsi"/>
        </w:rPr>
        <w:lastRenderedPageBreak/>
        <w:t>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w tym dokumenty o których mowa w art. 94 ust. 2 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lastRenderedPageBreak/>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 xml:space="preserve">Zadawanie pytań przez Wykonawców odbywa się tylko w zakładce „Pytania do SWZ”.  Odpowiedzi na pytania zamawiający zamieszcza na własnej stronie </w:t>
      </w:r>
      <w:r w:rsidRPr="006B5378">
        <w:rPr>
          <w:rFonts w:asciiTheme="majorHAnsi" w:hAnsiTheme="majorHAnsi" w:cs="Arial"/>
        </w:rPr>
        <w:lastRenderedPageBreak/>
        <w:t>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lastRenderedPageBreak/>
        <w:t>w zakresie dotyczącym przedmiotu zamówienia:</w:t>
      </w:r>
    </w:p>
    <w:p w14:paraId="0159AFAB" w14:textId="1C4432EF" w:rsidR="0011460F" w:rsidRPr="00773D17" w:rsidRDefault="00AA70A8"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7ED910C3" w:rsidR="003247A5" w:rsidRPr="00727C00" w:rsidRDefault="00AA70A8" w:rsidP="003247A5">
      <w:pPr>
        <w:pStyle w:val="Tekstpodstawowy"/>
        <w:tabs>
          <w:tab w:val="left" w:pos="762"/>
        </w:tabs>
        <w:spacing w:before="120" w:after="0" w:line="250" w:lineRule="exact"/>
        <w:ind w:left="786" w:right="20"/>
        <w:jc w:val="both"/>
        <w:rPr>
          <w:rFonts w:ascii="Cambria" w:hAnsi="Cambria"/>
        </w:rPr>
      </w:pPr>
      <w:r>
        <w:rPr>
          <w:rFonts w:ascii="Cambria" w:hAnsi="Cambria"/>
        </w:rPr>
        <w:t>e-mail: arczynska</w:t>
      </w:r>
      <w:r w:rsidR="00AE28F2"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6EE53555" w:rsidR="006929D6" w:rsidRPr="00AE28F2" w:rsidRDefault="00135E48" w:rsidP="00CF0B54">
      <w:pPr>
        <w:numPr>
          <w:ilvl w:val="1"/>
          <w:numId w:val="18"/>
        </w:numPr>
        <w:ind w:left="431" w:right="-108"/>
        <w:jc w:val="both"/>
        <w:rPr>
          <w:rFonts w:ascii="Cambria" w:hAnsi="Cambria"/>
        </w:rPr>
      </w:pPr>
      <w:r w:rsidRPr="00773D17">
        <w:rPr>
          <w:rFonts w:ascii="Cambria" w:hAnsi="Cambria"/>
        </w:rPr>
        <w:t>Ofertę n</w:t>
      </w:r>
      <w:r w:rsidR="009F6B49">
        <w:rPr>
          <w:rFonts w:ascii="Cambria" w:hAnsi="Cambria"/>
        </w:rPr>
        <w:t xml:space="preserve">ależy złożyć w </w:t>
      </w:r>
      <w:r w:rsidR="00551F4F">
        <w:rPr>
          <w:rFonts w:ascii="Cambria" w:hAnsi="Cambria"/>
        </w:rPr>
        <w:t>terminie do dnia 26.05</w:t>
      </w:r>
      <w:r w:rsidR="00DE17BA">
        <w:rPr>
          <w:rFonts w:ascii="Cambria" w:hAnsi="Cambria"/>
        </w:rPr>
        <w:t xml:space="preserve">.2021 r. </w:t>
      </w:r>
      <w:r w:rsidRPr="00773D17">
        <w:rPr>
          <w:rFonts w:ascii="Cambria" w:hAnsi="Cambria"/>
        </w:rPr>
        <w:t xml:space="preserve">do godz. </w:t>
      </w:r>
      <w:r w:rsidR="00DE17BA">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7F5B3948"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551F4F">
        <w:rPr>
          <w:rFonts w:ascii="Cambria" w:hAnsi="Cambria"/>
        </w:rPr>
        <w:t>26.05</w:t>
      </w:r>
      <w:r w:rsidR="00DE17BA">
        <w:rPr>
          <w:rFonts w:ascii="Cambria" w:hAnsi="Cambria"/>
        </w:rPr>
        <w:t>.2021 r.</w:t>
      </w:r>
      <w:r w:rsidRPr="00773D17">
        <w:rPr>
          <w:rFonts w:ascii="Cambria" w:hAnsi="Cambria"/>
        </w:rPr>
        <w:t xml:space="preserve"> o godz. </w:t>
      </w:r>
      <w:r w:rsidR="00DE17BA">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0088E3F2"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551F4F">
        <w:rPr>
          <w:rFonts w:ascii="Cambria" w:hAnsi="Cambria"/>
          <w:b/>
          <w:bCs/>
        </w:rPr>
        <w:t>24.06</w:t>
      </w:r>
      <w:r w:rsidR="00DE17BA">
        <w:rPr>
          <w:rFonts w:ascii="Cambria" w:hAnsi="Cambria"/>
          <w:b/>
          <w:bCs/>
        </w:rPr>
        <w:t>.2021</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lastRenderedPageBreak/>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EE732E" w:rsidRDefault="003C7B82" w:rsidP="003C7B82">
      <w:pPr>
        <w:tabs>
          <w:tab w:val="left" w:pos="284"/>
        </w:tabs>
        <w:jc w:val="both"/>
        <w:rPr>
          <w:rFonts w:asciiTheme="majorHAnsi" w:hAnsiTheme="majorHAnsi"/>
          <w:b/>
        </w:rPr>
      </w:pPr>
      <w:r w:rsidRPr="00EE732E">
        <w:rPr>
          <w:rFonts w:asciiTheme="majorHAnsi" w:hAnsiTheme="majorHAnsi"/>
          <w:b/>
        </w:rPr>
        <w:t>CENA</w:t>
      </w:r>
      <w:r w:rsidR="00263B56" w:rsidRPr="00EE732E">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EE732E" w:rsidRDefault="003C7B82" w:rsidP="003C7B82">
      <w:pPr>
        <w:tabs>
          <w:tab w:val="left" w:pos="284"/>
        </w:tabs>
        <w:jc w:val="both"/>
        <w:rPr>
          <w:rFonts w:asciiTheme="majorHAnsi" w:hAnsiTheme="majorHAnsi"/>
          <w:b/>
          <w:color w:val="FF0000"/>
        </w:rPr>
      </w:pPr>
    </w:p>
    <w:p w14:paraId="6054B2CE" w14:textId="4DF0FDC3" w:rsidR="000521B3" w:rsidRPr="00EE732E" w:rsidRDefault="0090125C" w:rsidP="000521B3">
      <w:pPr>
        <w:tabs>
          <w:tab w:val="left" w:pos="284"/>
        </w:tabs>
        <w:jc w:val="both"/>
        <w:rPr>
          <w:rFonts w:asciiTheme="majorHAnsi" w:hAnsiTheme="majorHAnsi"/>
          <w:b/>
        </w:rPr>
      </w:pPr>
      <w:r w:rsidRPr="00EE732E">
        <w:rPr>
          <w:rFonts w:asciiTheme="majorHAnsi" w:hAnsiTheme="majorHAnsi"/>
          <w:b/>
        </w:rPr>
        <w:t xml:space="preserve">OKRES GWARANCJI I RĘKOJMI ZA WADY- </w:t>
      </w:r>
      <w:r w:rsidR="000521B3" w:rsidRPr="00EE732E">
        <w:rPr>
          <w:rFonts w:asciiTheme="majorHAnsi" w:hAnsiTheme="majorHAnsi"/>
          <w:b/>
        </w:rPr>
        <w:t xml:space="preserve"> 40%</w:t>
      </w:r>
      <w:r w:rsidR="00B2342A" w:rsidRPr="00EE732E">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w:t>
      </w:r>
      <w:r>
        <w:rPr>
          <w:rFonts w:ascii="Cambria" w:hAnsi="Cambria"/>
        </w:rPr>
        <w:lastRenderedPageBreak/>
        <w:t xml:space="preserve">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138E12E6"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58C55049"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51897445" w:rsidR="00660A68" w:rsidRPr="007957EE" w:rsidRDefault="00660A68" w:rsidP="007957EE">
      <w:pPr>
        <w:pStyle w:val="Akapitzlist"/>
        <w:numPr>
          <w:ilvl w:val="0"/>
          <w:numId w:val="21"/>
        </w:numPr>
        <w:jc w:val="both"/>
        <w:rPr>
          <w:rFonts w:ascii="Cambria" w:hAnsi="Cambria"/>
        </w:rPr>
      </w:pPr>
      <w:r w:rsidRPr="007957EE">
        <w:rPr>
          <w:rFonts w:ascii="Cambria" w:hAnsi="Cambria"/>
        </w:rPr>
        <w:t>Zabezpieczenie wnoszone w pieniądzu powinno zostać wpłacone przelewe</w:t>
      </w:r>
      <w:r w:rsidR="00A23B70" w:rsidRPr="007957EE">
        <w:rPr>
          <w:rFonts w:ascii="Cambria" w:hAnsi="Cambria"/>
        </w:rPr>
        <w:t>m na rachunek bankowy z</w:t>
      </w:r>
      <w:r w:rsidRPr="007957EE">
        <w:rPr>
          <w:rFonts w:ascii="Cambria" w:hAnsi="Cambria"/>
        </w:rPr>
        <w:t>amawiającego w</w:t>
      </w:r>
      <w:r w:rsidR="002C37E6" w:rsidRPr="007957EE">
        <w:rPr>
          <w:rFonts w:ascii="Cambria" w:hAnsi="Cambria"/>
        </w:rPr>
        <w:t xml:space="preserve"> b</w:t>
      </w:r>
      <w:r w:rsidRPr="007957EE">
        <w:rPr>
          <w:rFonts w:ascii="Cambria" w:hAnsi="Cambria"/>
        </w:rPr>
        <w:t xml:space="preserve">anku </w:t>
      </w:r>
      <w:r w:rsidR="002E771D" w:rsidRPr="007957EE">
        <w:rPr>
          <w:rFonts w:ascii="Cambria" w:hAnsi="Cambria"/>
        </w:rPr>
        <w:t>Piastowski Bank Spółdzielczy w Janikowie o/ Gniewkowo</w:t>
      </w:r>
      <w:r w:rsidR="002C37E6" w:rsidRPr="007957EE">
        <w:rPr>
          <w:rFonts w:ascii="Cambria" w:hAnsi="Cambria"/>
        </w:rPr>
        <w:t xml:space="preserve"> </w:t>
      </w:r>
      <w:r w:rsidR="00A23B70" w:rsidRPr="007957EE">
        <w:rPr>
          <w:rFonts w:ascii="Cambria" w:hAnsi="Cambria"/>
        </w:rPr>
        <w:t xml:space="preserve">numer rachunku </w:t>
      </w:r>
      <w:r w:rsidR="00641381" w:rsidRPr="007957EE">
        <w:rPr>
          <w:rFonts w:ascii="Cambria" w:hAnsi="Cambria"/>
        </w:rPr>
        <w:t>47 8185 0006 0200 0172 2000 0005</w:t>
      </w:r>
      <w:r w:rsidR="00A23B70" w:rsidRPr="007957EE">
        <w:rPr>
          <w:rFonts w:ascii="Cambria" w:hAnsi="Cambria"/>
        </w:rPr>
        <w:t xml:space="preserve"> </w:t>
      </w:r>
      <w:r w:rsidR="00A23B70" w:rsidRPr="007957EE">
        <w:rPr>
          <w:rFonts w:ascii="Cambria" w:hAnsi="Cambria"/>
        </w:rPr>
        <w:lastRenderedPageBreak/>
        <w:t>tytuł przelewu</w:t>
      </w:r>
      <w:r w:rsidR="002C37E6" w:rsidRPr="007957EE">
        <w:rPr>
          <w:rFonts w:ascii="Cambria" w:hAnsi="Cambria"/>
        </w:rPr>
        <w:t xml:space="preserve"> </w:t>
      </w:r>
      <w:r w:rsidR="002E771D" w:rsidRPr="007957EE">
        <w:rPr>
          <w:rFonts w:ascii="Cambria" w:hAnsi="Cambria"/>
        </w:rPr>
        <w:t>Zabezpieczenie należyteg</w:t>
      </w:r>
      <w:r w:rsidR="007B5FD2" w:rsidRPr="007957EE">
        <w:rPr>
          <w:rFonts w:ascii="Cambria" w:hAnsi="Cambria"/>
        </w:rPr>
        <w:t>o wykonania umowy „</w:t>
      </w:r>
      <w:r w:rsidR="007957EE">
        <w:rPr>
          <w:rFonts w:ascii="Cambria" w:hAnsi="Cambria"/>
        </w:rPr>
        <w:t>R</w:t>
      </w:r>
      <w:r w:rsidR="007957EE" w:rsidRPr="007957EE">
        <w:rPr>
          <w:rFonts w:ascii="Cambria" w:hAnsi="Cambria"/>
        </w:rPr>
        <w:t>ozbudow</w:t>
      </w:r>
      <w:r w:rsidR="007957EE">
        <w:rPr>
          <w:rFonts w:ascii="Cambria" w:hAnsi="Cambria"/>
        </w:rPr>
        <w:t>a</w:t>
      </w:r>
      <w:r w:rsidR="007957EE" w:rsidRPr="007957EE">
        <w:rPr>
          <w:rFonts w:ascii="Cambria" w:hAnsi="Cambria"/>
        </w:rPr>
        <w:t xml:space="preserve"> budynku Ochotniczej Straży Pożarnej w Gniewkowie przy ul. Pi</w:t>
      </w:r>
      <w:r w:rsidR="004832D9">
        <w:rPr>
          <w:rFonts w:ascii="Cambria" w:hAnsi="Cambria"/>
        </w:rPr>
        <w:t>asta na terenie działki nr 901</w:t>
      </w:r>
      <w:r w:rsidR="007B5FD2" w:rsidRPr="007957EE">
        <w:rPr>
          <w:rFonts w:ascii="Cambria" w:hAnsi="Cambria"/>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lastRenderedPageBreak/>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06E1941A"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związanej z przedmiotem zamów</w:t>
      </w:r>
      <w:r w:rsidR="00CC3DA4">
        <w:rPr>
          <w:rFonts w:ascii="Cambria" w:hAnsi="Cambria"/>
        </w:rPr>
        <w:t>ienia,</w:t>
      </w:r>
    </w:p>
    <w:p w14:paraId="71732E3A" w14:textId="00625428" w:rsidR="00254478" w:rsidRDefault="00254478" w:rsidP="008A0851">
      <w:pPr>
        <w:ind w:left="360" w:right="-108"/>
        <w:jc w:val="both"/>
        <w:rPr>
          <w:rFonts w:ascii="Cambria" w:hAnsi="Cambria"/>
        </w:rPr>
      </w:pPr>
      <w:r>
        <w:rPr>
          <w:rFonts w:ascii="Cambria" w:hAnsi="Cambria"/>
        </w:rPr>
        <w:t>- kosztorys</w:t>
      </w:r>
      <w:r w:rsidR="008A2BDA">
        <w:rPr>
          <w:rFonts w:ascii="Cambria" w:hAnsi="Cambria"/>
        </w:rPr>
        <w:t xml:space="preserve"> ofertowy</w:t>
      </w:r>
      <w:r>
        <w:rPr>
          <w:rFonts w:ascii="Cambria" w:hAnsi="Cambria"/>
        </w:rPr>
        <w:t xml:space="preserve">. </w:t>
      </w:r>
      <w:r w:rsidRPr="00254478">
        <w:rPr>
          <w:rFonts w:ascii="Cambria" w:hAnsi="Cambria"/>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B31B45">
        <w:rPr>
          <w:rFonts w:ascii="Cambria" w:hAnsi="Cambria"/>
        </w:rPr>
        <w:t>z.U. z 2004r. Nr 130, poz.1389)</w:t>
      </w:r>
      <w:r w:rsidRPr="00254478">
        <w:rPr>
          <w:rFonts w:ascii="Cambria" w:hAnsi="Cambria"/>
        </w:rPr>
        <w:t xml:space="preserve">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0298C4DF" w14:textId="39C56153" w:rsidR="006E643F" w:rsidRDefault="006E643F" w:rsidP="008A0851">
      <w:pPr>
        <w:ind w:left="360" w:right="-108"/>
        <w:jc w:val="both"/>
        <w:rPr>
          <w:rFonts w:ascii="Cambria" w:hAnsi="Cambria"/>
        </w:rPr>
      </w:pPr>
      <w:r>
        <w:rPr>
          <w:rFonts w:ascii="Cambria" w:hAnsi="Cambria"/>
        </w:rPr>
        <w:t>- harmonogram rzeczowo- finansowy,</w:t>
      </w:r>
    </w:p>
    <w:p w14:paraId="4C78E1D6" w14:textId="6B7E8A99" w:rsidR="00DB1A25"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 z płatnościami, przy czym termin, na jaki została zawarta umowa, nie może być krótszy niż termin realizacji zamówienia</w:t>
      </w:r>
      <w:bookmarkEnd w:id="6"/>
      <w:r w:rsidR="009F0481">
        <w:rPr>
          <w:rFonts w:ascii="Cambria" w:hAnsi="Cambria"/>
        </w:rPr>
        <w:t>,</w:t>
      </w:r>
    </w:p>
    <w:p w14:paraId="7E61080B" w14:textId="36C11AB3" w:rsidR="009F0481" w:rsidRPr="00773D17" w:rsidRDefault="009F0481" w:rsidP="008A0851">
      <w:pPr>
        <w:ind w:left="360" w:right="-108"/>
        <w:jc w:val="both"/>
        <w:rPr>
          <w:rFonts w:ascii="Cambria" w:hAnsi="Cambria"/>
        </w:rPr>
      </w:pPr>
      <w:r>
        <w:rPr>
          <w:rFonts w:ascii="Cambria" w:hAnsi="Cambria"/>
        </w:rPr>
        <w:t xml:space="preserve">- wykonawca korzystający z zasób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37AABE7E" w14:textId="2C5AA6DD" w:rsidR="00AB4E39" w:rsidRDefault="00AB4E39"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lastRenderedPageBreak/>
        <w:t>5. Wykaz robót budowlanych</w:t>
      </w:r>
    </w:p>
    <w:p w14:paraId="2D82A499" w14:textId="66F8CF2D" w:rsidR="008459CA" w:rsidRDefault="00AB4E39"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w:t>
      </w:r>
      <w:r w:rsidR="008459CA">
        <w:rPr>
          <w:rFonts w:asciiTheme="majorHAnsi" w:hAnsiTheme="majorHAnsi" w:cs="Arial"/>
          <w:szCs w:val="24"/>
        </w:rPr>
        <w:t>. Wykaz osób</w:t>
      </w:r>
    </w:p>
    <w:p w14:paraId="1AE878A2" w14:textId="56263424" w:rsidR="00660A68" w:rsidRDefault="00AB4E39"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7</w:t>
      </w:r>
      <w:r w:rsidR="008459CA">
        <w:rPr>
          <w:rFonts w:asciiTheme="majorHAnsi" w:hAnsiTheme="majorHAnsi" w:cs="Arial"/>
          <w:szCs w:val="24"/>
        </w:rPr>
        <w:t xml:space="preserve">. </w:t>
      </w:r>
      <w:r w:rsidR="00537301">
        <w:rPr>
          <w:rFonts w:asciiTheme="majorHAnsi" w:hAnsiTheme="majorHAnsi" w:cs="Arial"/>
          <w:szCs w:val="24"/>
        </w:rPr>
        <w:t xml:space="preserve">Wzór oświadczenia gwarancyjnego </w:t>
      </w:r>
    </w:p>
    <w:p w14:paraId="255D3280" w14:textId="461C2ABE" w:rsidR="008459CA" w:rsidRDefault="00AB4E39"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w:t>
      </w:r>
      <w:r w:rsidR="008459CA">
        <w:rPr>
          <w:rFonts w:asciiTheme="majorHAnsi" w:hAnsiTheme="majorHAnsi" w:cs="Arial"/>
          <w:szCs w:val="24"/>
        </w:rPr>
        <w:t>. Klauzula informacyjna</w:t>
      </w:r>
    </w:p>
    <w:p w14:paraId="03670ED4" w14:textId="4A0E21DA" w:rsidR="008459CA" w:rsidRDefault="00AB4E39"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w:t>
      </w:r>
      <w:r w:rsidR="008459CA">
        <w:rPr>
          <w:rFonts w:asciiTheme="majorHAnsi" w:hAnsiTheme="majorHAnsi" w:cs="Arial"/>
          <w:szCs w:val="24"/>
        </w:rPr>
        <w:t>. Wzór umowy</w:t>
      </w:r>
    </w:p>
    <w:p w14:paraId="51EACF6B" w14:textId="0B97970E" w:rsidR="00FD7208" w:rsidRDefault="00AB4E39" w:rsidP="00AB4E39">
      <w:pPr>
        <w:pStyle w:val="pkt"/>
        <w:spacing w:before="0" w:after="0" w:line="240" w:lineRule="auto"/>
        <w:ind w:left="0" w:firstLine="0"/>
        <w:rPr>
          <w:rFonts w:asciiTheme="majorHAnsi" w:hAnsiTheme="majorHAnsi" w:cs="Arial"/>
          <w:szCs w:val="24"/>
        </w:rPr>
      </w:pPr>
      <w:r>
        <w:rPr>
          <w:rFonts w:asciiTheme="majorHAnsi" w:hAnsiTheme="majorHAnsi" w:cs="Arial"/>
          <w:szCs w:val="24"/>
        </w:rPr>
        <w:t>10- 13. Projekt budowlany</w:t>
      </w:r>
    </w:p>
    <w:p w14:paraId="04A1F6D8" w14:textId="548773FD" w:rsidR="00222671" w:rsidRDefault="00222671" w:rsidP="00AB4E39">
      <w:pPr>
        <w:pStyle w:val="pkt"/>
        <w:spacing w:before="0" w:after="0" w:line="240" w:lineRule="auto"/>
        <w:ind w:left="0" w:firstLine="0"/>
        <w:rPr>
          <w:rFonts w:asciiTheme="majorHAnsi" w:hAnsiTheme="majorHAnsi" w:cs="Arial"/>
          <w:szCs w:val="24"/>
        </w:rPr>
      </w:pPr>
      <w:r>
        <w:rPr>
          <w:rFonts w:asciiTheme="majorHAnsi" w:hAnsiTheme="majorHAnsi" w:cs="Arial"/>
          <w:szCs w:val="24"/>
        </w:rPr>
        <w:t>14. Decyzja- pozwolenie na budowę</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171AA370"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F86C54">
        <w:rPr>
          <w:rFonts w:asciiTheme="majorHAnsi" w:hAnsiTheme="majorHAnsi" w:cs="Arial"/>
          <w:szCs w:val="24"/>
        </w:rPr>
        <w:t xml:space="preserve">, dnia </w:t>
      </w:r>
      <w:r w:rsidR="00B554A1">
        <w:rPr>
          <w:rFonts w:asciiTheme="majorHAnsi" w:hAnsiTheme="majorHAnsi" w:cs="Arial"/>
          <w:szCs w:val="24"/>
        </w:rPr>
        <w:t>11</w:t>
      </w:r>
      <w:r w:rsidR="00AA3088">
        <w:rPr>
          <w:rFonts w:asciiTheme="majorHAnsi" w:hAnsiTheme="majorHAnsi" w:cs="Arial"/>
          <w:szCs w:val="24"/>
        </w:rPr>
        <w:t>.05</w:t>
      </w:r>
      <w:r w:rsidR="0093065D">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5B6DF" w14:textId="77777777" w:rsidR="00B7490E" w:rsidRDefault="00B7490E" w:rsidP="000F1DCF">
      <w:r>
        <w:separator/>
      </w:r>
    </w:p>
  </w:endnote>
  <w:endnote w:type="continuationSeparator" w:id="0">
    <w:p w14:paraId="5DB35414" w14:textId="77777777" w:rsidR="00B7490E" w:rsidRDefault="00B7490E" w:rsidP="000F1DCF">
      <w:r>
        <w:continuationSeparator/>
      </w:r>
    </w:p>
  </w:endnote>
  <w:endnote w:type="continuationNotice" w:id="1">
    <w:p w14:paraId="6D60C066" w14:textId="77777777" w:rsidR="00B7490E" w:rsidRDefault="00B7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54959"/>
      <w:docPartObj>
        <w:docPartGallery w:val="Page Numbers (Bottom of Page)"/>
        <w:docPartUnique/>
      </w:docPartObj>
    </w:sdtPr>
    <w:sdtEndPr/>
    <w:sdtContent>
      <w:sdt>
        <w:sdtPr>
          <w:id w:val="860082579"/>
          <w:docPartObj>
            <w:docPartGallery w:val="Page Numbers (Top of Page)"/>
            <w:docPartUnique/>
          </w:docPartObj>
        </w:sdtPr>
        <w:sdtEndPr/>
        <w:sdtContent>
          <w:p w14:paraId="6FB3259D" w14:textId="740AB1BB" w:rsidR="00E1221C" w:rsidRDefault="00E1221C">
            <w:pPr>
              <w:pStyle w:val="Stopka"/>
              <w:jc w:val="right"/>
            </w:pPr>
            <w:r w:rsidRPr="00226466">
              <w:rPr>
                <w:sz w:val="20"/>
              </w:rPr>
              <w:t xml:space="preserve">Strona </w:t>
            </w:r>
            <w:r w:rsidRPr="00226466">
              <w:rPr>
                <w:b/>
                <w:bCs/>
                <w:sz w:val="20"/>
              </w:rPr>
              <w:fldChar w:fldCharType="begin"/>
            </w:r>
            <w:r w:rsidRPr="00226466">
              <w:rPr>
                <w:b/>
                <w:bCs/>
                <w:sz w:val="20"/>
              </w:rPr>
              <w:instrText>PAGE</w:instrText>
            </w:r>
            <w:r w:rsidRPr="00226466">
              <w:rPr>
                <w:b/>
                <w:bCs/>
                <w:sz w:val="20"/>
              </w:rPr>
              <w:fldChar w:fldCharType="separate"/>
            </w:r>
            <w:r w:rsidR="00604760">
              <w:rPr>
                <w:b/>
                <w:bCs/>
                <w:noProof/>
                <w:sz w:val="20"/>
              </w:rPr>
              <w:t>34</w:t>
            </w:r>
            <w:r w:rsidRPr="00226466">
              <w:rPr>
                <w:b/>
                <w:bCs/>
                <w:sz w:val="20"/>
              </w:rPr>
              <w:fldChar w:fldCharType="end"/>
            </w:r>
            <w:r w:rsidRPr="00226466">
              <w:rPr>
                <w:sz w:val="20"/>
              </w:rPr>
              <w:t xml:space="preserve"> z </w:t>
            </w:r>
            <w:r w:rsidRPr="00226466">
              <w:rPr>
                <w:b/>
                <w:bCs/>
                <w:sz w:val="20"/>
              </w:rPr>
              <w:fldChar w:fldCharType="begin"/>
            </w:r>
            <w:r w:rsidRPr="00226466">
              <w:rPr>
                <w:b/>
                <w:bCs/>
                <w:sz w:val="20"/>
              </w:rPr>
              <w:instrText>NUMPAGES</w:instrText>
            </w:r>
            <w:r w:rsidRPr="00226466">
              <w:rPr>
                <w:b/>
                <w:bCs/>
                <w:sz w:val="20"/>
              </w:rPr>
              <w:fldChar w:fldCharType="separate"/>
            </w:r>
            <w:r w:rsidR="00604760">
              <w:rPr>
                <w:b/>
                <w:bCs/>
                <w:noProof/>
                <w:sz w:val="20"/>
              </w:rPr>
              <w:t>34</w:t>
            </w:r>
            <w:r w:rsidRPr="00226466">
              <w:rPr>
                <w:b/>
                <w:bCs/>
                <w:sz w:val="20"/>
              </w:rPr>
              <w:fldChar w:fldCharType="end"/>
            </w:r>
          </w:p>
        </w:sdtContent>
      </w:sdt>
    </w:sdtContent>
  </w:sdt>
  <w:p w14:paraId="05BD10BB" w14:textId="77777777" w:rsidR="00E1221C" w:rsidRDefault="00E122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E93CD" w14:textId="77777777" w:rsidR="00B7490E" w:rsidRDefault="00B7490E" w:rsidP="000F1DCF">
      <w:r>
        <w:separator/>
      </w:r>
    </w:p>
  </w:footnote>
  <w:footnote w:type="continuationSeparator" w:id="0">
    <w:p w14:paraId="1726AC89" w14:textId="77777777" w:rsidR="00B7490E" w:rsidRDefault="00B7490E" w:rsidP="000F1DCF">
      <w:r>
        <w:continuationSeparator/>
      </w:r>
    </w:p>
  </w:footnote>
  <w:footnote w:type="continuationNotice" w:id="1">
    <w:p w14:paraId="7252486B" w14:textId="77777777" w:rsidR="00B7490E" w:rsidRDefault="00B749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16336718"/>
    <w:multiLevelType w:val="hybridMultilevel"/>
    <w:tmpl w:val="A496BAD8"/>
    <w:lvl w:ilvl="0" w:tplc="8C2C2002">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2753F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B414692"/>
    <w:multiLevelType w:val="hybridMultilevel"/>
    <w:tmpl w:val="439E8192"/>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B35167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28"/>
  </w:num>
  <w:num w:numId="3">
    <w:abstractNumId w:val="39"/>
  </w:num>
  <w:num w:numId="4">
    <w:abstractNumId w:val="41"/>
  </w:num>
  <w:num w:numId="5">
    <w:abstractNumId w:val="21"/>
  </w:num>
  <w:num w:numId="6">
    <w:abstractNumId w:val="40"/>
  </w:num>
  <w:num w:numId="7">
    <w:abstractNumId w:val="2"/>
  </w:num>
  <w:num w:numId="8">
    <w:abstractNumId w:val="13"/>
  </w:num>
  <w:num w:numId="9">
    <w:abstractNumId w:val="24"/>
  </w:num>
  <w:num w:numId="10">
    <w:abstractNumId w:val="26"/>
  </w:num>
  <w:num w:numId="11">
    <w:abstractNumId w:val="11"/>
  </w:num>
  <w:num w:numId="12">
    <w:abstractNumId w:val="32"/>
  </w:num>
  <w:num w:numId="13">
    <w:abstractNumId w:val="0"/>
  </w:num>
  <w:num w:numId="14">
    <w:abstractNumId w:val="22"/>
  </w:num>
  <w:num w:numId="15">
    <w:abstractNumId w:val="16"/>
  </w:num>
  <w:num w:numId="16">
    <w:abstractNumId w:val="38"/>
  </w:num>
  <w:num w:numId="17">
    <w:abstractNumId w:val="30"/>
  </w:num>
  <w:num w:numId="18">
    <w:abstractNumId w:val="33"/>
  </w:num>
  <w:num w:numId="19">
    <w:abstractNumId w:val="15"/>
  </w:num>
  <w:num w:numId="20">
    <w:abstractNumId w:val="25"/>
  </w:num>
  <w:num w:numId="21">
    <w:abstractNumId w:val="27"/>
  </w:num>
  <w:num w:numId="22">
    <w:abstractNumId w:val="9"/>
  </w:num>
  <w:num w:numId="23">
    <w:abstractNumId w:val="37"/>
  </w:num>
  <w:num w:numId="24">
    <w:abstractNumId w:val="35"/>
  </w:num>
  <w:num w:numId="25">
    <w:abstractNumId w:val="8"/>
  </w:num>
  <w:num w:numId="26">
    <w:abstractNumId w:val="14"/>
  </w:num>
  <w:num w:numId="27">
    <w:abstractNumId w:val="6"/>
  </w:num>
  <w:num w:numId="28">
    <w:abstractNumId w:val="7"/>
  </w:num>
  <w:num w:numId="29">
    <w:abstractNumId w:val="19"/>
  </w:num>
  <w:num w:numId="30">
    <w:abstractNumId w:val="34"/>
  </w:num>
  <w:num w:numId="31">
    <w:abstractNumId w:val="10"/>
  </w:num>
  <w:num w:numId="32">
    <w:abstractNumId w:val="18"/>
  </w:num>
  <w:num w:numId="33">
    <w:abstractNumId w:val="3"/>
  </w:num>
  <w:num w:numId="34">
    <w:abstractNumId w:val="17"/>
  </w:num>
  <w:num w:numId="35">
    <w:abstractNumId w:val="4"/>
  </w:num>
  <w:num w:numId="36">
    <w:abstractNumId w:val="31"/>
  </w:num>
  <w:num w:numId="37">
    <w:abstractNumId w:val="29"/>
  </w:num>
  <w:num w:numId="38">
    <w:abstractNumId w:val="1"/>
  </w:num>
  <w:num w:numId="39">
    <w:abstractNumId w:val="5"/>
  </w:num>
  <w:num w:numId="40">
    <w:abstractNumId w:val="36"/>
  </w:num>
  <w:num w:numId="41">
    <w:abstractNumId w:val="23"/>
  </w:num>
  <w:num w:numId="4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47368"/>
    <w:rsid w:val="000521B3"/>
    <w:rsid w:val="000530B3"/>
    <w:rsid w:val="0005502D"/>
    <w:rsid w:val="0005623C"/>
    <w:rsid w:val="0005768C"/>
    <w:rsid w:val="00061705"/>
    <w:rsid w:val="0006185A"/>
    <w:rsid w:val="00061D95"/>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87F8C"/>
    <w:rsid w:val="00090FE6"/>
    <w:rsid w:val="000910CE"/>
    <w:rsid w:val="00093E3C"/>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197"/>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FDB"/>
    <w:rsid w:val="00150742"/>
    <w:rsid w:val="001512BA"/>
    <w:rsid w:val="001515DD"/>
    <w:rsid w:val="0015280C"/>
    <w:rsid w:val="001537D4"/>
    <w:rsid w:val="0015398B"/>
    <w:rsid w:val="00154D7E"/>
    <w:rsid w:val="0015523B"/>
    <w:rsid w:val="00155272"/>
    <w:rsid w:val="00155485"/>
    <w:rsid w:val="001572CD"/>
    <w:rsid w:val="00162512"/>
    <w:rsid w:val="001628D0"/>
    <w:rsid w:val="001637DD"/>
    <w:rsid w:val="0016477E"/>
    <w:rsid w:val="001648A5"/>
    <w:rsid w:val="00164971"/>
    <w:rsid w:val="0017001F"/>
    <w:rsid w:val="00170449"/>
    <w:rsid w:val="0017194A"/>
    <w:rsid w:val="00171970"/>
    <w:rsid w:val="00172D0B"/>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C5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238F"/>
    <w:rsid w:val="001C46B2"/>
    <w:rsid w:val="001C4A2D"/>
    <w:rsid w:val="001C5024"/>
    <w:rsid w:val="001C6784"/>
    <w:rsid w:val="001C6A9E"/>
    <w:rsid w:val="001C7219"/>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2671"/>
    <w:rsid w:val="00223FF0"/>
    <w:rsid w:val="002241E4"/>
    <w:rsid w:val="00224931"/>
    <w:rsid w:val="00226422"/>
    <w:rsid w:val="00226466"/>
    <w:rsid w:val="00226659"/>
    <w:rsid w:val="00226BDF"/>
    <w:rsid w:val="00226C79"/>
    <w:rsid w:val="00230F21"/>
    <w:rsid w:val="00232A4E"/>
    <w:rsid w:val="0023371F"/>
    <w:rsid w:val="00233A98"/>
    <w:rsid w:val="00233ED3"/>
    <w:rsid w:val="0023658A"/>
    <w:rsid w:val="00236611"/>
    <w:rsid w:val="00236739"/>
    <w:rsid w:val="00241AFA"/>
    <w:rsid w:val="00242490"/>
    <w:rsid w:val="002431BA"/>
    <w:rsid w:val="00245825"/>
    <w:rsid w:val="002469EF"/>
    <w:rsid w:val="00246F8D"/>
    <w:rsid w:val="00247911"/>
    <w:rsid w:val="00247D6B"/>
    <w:rsid w:val="00250EE5"/>
    <w:rsid w:val="00251531"/>
    <w:rsid w:val="00253B05"/>
    <w:rsid w:val="00254478"/>
    <w:rsid w:val="00255778"/>
    <w:rsid w:val="00255E85"/>
    <w:rsid w:val="0026342C"/>
    <w:rsid w:val="00263B56"/>
    <w:rsid w:val="00266790"/>
    <w:rsid w:val="00271364"/>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87E1E"/>
    <w:rsid w:val="002902B6"/>
    <w:rsid w:val="0029119B"/>
    <w:rsid w:val="00291403"/>
    <w:rsid w:val="002924ED"/>
    <w:rsid w:val="00292E7E"/>
    <w:rsid w:val="002939E9"/>
    <w:rsid w:val="002958B7"/>
    <w:rsid w:val="002958F8"/>
    <w:rsid w:val="00295E81"/>
    <w:rsid w:val="00296DE6"/>
    <w:rsid w:val="00297AEF"/>
    <w:rsid w:val="00297BFA"/>
    <w:rsid w:val="00297EC7"/>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59FE"/>
    <w:rsid w:val="003979FA"/>
    <w:rsid w:val="00397A9A"/>
    <w:rsid w:val="003A11E7"/>
    <w:rsid w:val="003A193C"/>
    <w:rsid w:val="003A1E63"/>
    <w:rsid w:val="003A24FE"/>
    <w:rsid w:val="003A3475"/>
    <w:rsid w:val="003A4DDB"/>
    <w:rsid w:val="003A4F4E"/>
    <w:rsid w:val="003A5304"/>
    <w:rsid w:val="003A5E19"/>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588C"/>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2806"/>
    <w:rsid w:val="00433C75"/>
    <w:rsid w:val="00433E8F"/>
    <w:rsid w:val="00434F4D"/>
    <w:rsid w:val="00435608"/>
    <w:rsid w:val="00440021"/>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B19"/>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2D9"/>
    <w:rsid w:val="004833D6"/>
    <w:rsid w:val="004835A1"/>
    <w:rsid w:val="0048419E"/>
    <w:rsid w:val="00484636"/>
    <w:rsid w:val="004854C4"/>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817"/>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882"/>
    <w:rsid w:val="00531EFC"/>
    <w:rsid w:val="0053312B"/>
    <w:rsid w:val="00533E87"/>
    <w:rsid w:val="00534763"/>
    <w:rsid w:val="00534BF9"/>
    <w:rsid w:val="00534CF3"/>
    <w:rsid w:val="00534F77"/>
    <w:rsid w:val="00537301"/>
    <w:rsid w:val="005375FA"/>
    <w:rsid w:val="00541BD3"/>
    <w:rsid w:val="00541DD3"/>
    <w:rsid w:val="005436E4"/>
    <w:rsid w:val="00544C94"/>
    <w:rsid w:val="00544FE1"/>
    <w:rsid w:val="00545239"/>
    <w:rsid w:val="0054687E"/>
    <w:rsid w:val="00547C0C"/>
    <w:rsid w:val="0055085B"/>
    <w:rsid w:val="00551622"/>
    <w:rsid w:val="00551C33"/>
    <w:rsid w:val="00551F4F"/>
    <w:rsid w:val="00552834"/>
    <w:rsid w:val="005528DC"/>
    <w:rsid w:val="005530A3"/>
    <w:rsid w:val="00554306"/>
    <w:rsid w:val="00557025"/>
    <w:rsid w:val="0055742C"/>
    <w:rsid w:val="0056489A"/>
    <w:rsid w:val="00565529"/>
    <w:rsid w:val="00565B14"/>
    <w:rsid w:val="005668AF"/>
    <w:rsid w:val="005705CA"/>
    <w:rsid w:val="00570F42"/>
    <w:rsid w:val="00571D0D"/>
    <w:rsid w:val="0057326D"/>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52C"/>
    <w:rsid w:val="005D1739"/>
    <w:rsid w:val="005D1932"/>
    <w:rsid w:val="005D2A8E"/>
    <w:rsid w:val="005D2DE1"/>
    <w:rsid w:val="005D3105"/>
    <w:rsid w:val="005D4CC3"/>
    <w:rsid w:val="005D559C"/>
    <w:rsid w:val="005D5AB7"/>
    <w:rsid w:val="005D5AFD"/>
    <w:rsid w:val="005D5E20"/>
    <w:rsid w:val="005D6371"/>
    <w:rsid w:val="005D790D"/>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4760"/>
    <w:rsid w:val="00605A89"/>
    <w:rsid w:val="00606657"/>
    <w:rsid w:val="0060777F"/>
    <w:rsid w:val="00607D4C"/>
    <w:rsid w:val="0061283E"/>
    <w:rsid w:val="0061324C"/>
    <w:rsid w:val="00614B79"/>
    <w:rsid w:val="0061576D"/>
    <w:rsid w:val="006169DA"/>
    <w:rsid w:val="00617C7C"/>
    <w:rsid w:val="00621336"/>
    <w:rsid w:val="00621CEF"/>
    <w:rsid w:val="00625125"/>
    <w:rsid w:val="00625D61"/>
    <w:rsid w:val="006268D9"/>
    <w:rsid w:val="006320D5"/>
    <w:rsid w:val="00632588"/>
    <w:rsid w:val="006359EA"/>
    <w:rsid w:val="006363BD"/>
    <w:rsid w:val="00636719"/>
    <w:rsid w:val="00636E48"/>
    <w:rsid w:val="006374A7"/>
    <w:rsid w:val="00640D74"/>
    <w:rsid w:val="00641381"/>
    <w:rsid w:val="006430FD"/>
    <w:rsid w:val="0064330E"/>
    <w:rsid w:val="006460C1"/>
    <w:rsid w:val="006469BD"/>
    <w:rsid w:val="006470AB"/>
    <w:rsid w:val="006475FD"/>
    <w:rsid w:val="00647D03"/>
    <w:rsid w:val="006500EA"/>
    <w:rsid w:val="006501D7"/>
    <w:rsid w:val="0065083B"/>
    <w:rsid w:val="00653870"/>
    <w:rsid w:val="00653F27"/>
    <w:rsid w:val="00654B01"/>
    <w:rsid w:val="00655463"/>
    <w:rsid w:val="00660A68"/>
    <w:rsid w:val="00662A29"/>
    <w:rsid w:val="0066344E"/>
    <w:rsid w:val="006637D8"/>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6E34"/>
    <w:rsid w:val="0068788A"/>
    <w:rsid w:val="00690FA6"/>
    <w:rsid w:val="006929D6"/>
    <w:rsid w:val="00692B88"/>
    <w:rsid w:val="00692F70"/>
    <w:rsid w:val="0069373C"/>
    <w:rsid w:val="00694BE5"/>
    <w:rsid w:val="00695332"/>
    <w:rsid w:val="0069556E"/>
    <w:rsid w:val="00695B51"/>
    <w:rsid w:val="006965D1"/>
    <w:rsid w:val="00696ADA"/>
    <w:rsid w:val="006972B8"/>
    <w:rsid w:val="006A0EB1"/>
    <w:rsid w:val="006A1BF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27F"/>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5650C"/>
    <w:rsid w:val="007574DC"/>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7EE"/>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4BD"/>
    <w:rsid w:val="007B3676"/>
    <w:rsid w:val="007B3EF8"/>
    <w:rsid w:val="007B459A"/>
    <w:rsid w:val="007B54BE"/>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E7D"/>
    <w:rsid w:val="007D63B3"/>
    <w:rsid w:val="007D63BA"/>
    <w:rsid w:val="007D67B6"/>
    <w:rsid w:val="007D7898"/>
    <w:rsid w:val="007D7D9D"/>
    <w:rsid w:val="007E049F"/>
    <w:rsid w:val="007E1ABF"/>
    <w:rsid w:val="007E1B2C"/>
    <w:rsid w:val="007E1C3E"/>
    <w:rsid w:val="007E2D3E"/>
    <w:rsid w:val="007E3986"/>
    <w:rsid w:val="007E3F62"/>
    <w:rsid w:val="007E436D"/>
    <w:rsid w:val="007E44B2"/>
    <w:rsid w:val="007E4BE9"/>
    <w:rsid w:val="007F0775"/>
    <w:rsid w:val="007F0DA0"/>
    <w:rsid w:val="007F1448"/>
    <w:rsid w:val="007F1C50"/>
    <w:rsid w:val="007F66D9"/>
    <w:rsid w:val="007F70B8"/>
    <w:rsid w:val="007F7497"/>
    <w:rsid w:val="00800F9D"/>
    <w:rsid w:val="0080158C"/>
    <w:rsid w:val="008034FB"/>
    <w:rsid w:val="0080396F"/>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BAC"/>
    <w:rsid w:val="00835E4A"/>
    <w:rsid w:val="008372B2"/>
    <w:rsid w:val="00840152"/>
    <w:rsid w:val="00840160"/>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3AA"/>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78B"/>
    <w:rsid w:val="008A0851"/>
    <w:rsid w:val="008A0B0D"/>
    <w:rsid w:val="008A20B6"/>
    <w:rsid w:val="008A2895"/>
    <w:rsid w:val="008A2BDA"/>
    <w:rsid w:val="008A5619"/>
    <w:rsid w:val="008A5B98"/>
    <w:rsid w:val="008A61F8"/>
    <w:rsid w:val="008A727D"/>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CA6"/>
    <w:rsid w:val="009270A7"/>
    <w:rsid w:val="009303A8"/>
    <w:rsid w:val="0093065D"/>
    <w:rsid w:val="00931BE6"/>
    <w:rsid w:val="009321C8"/>
    <w:rsid w:val="00932F6D"/>
    <w:rsid w:val="0093304E"/>
    <w:rsid w:val="00934414"/>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B76"/>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5CC4"/>
    <w:rsid w:val="00996F21"/>
    <w:rsid w:val="009A0CEE"/>
    <w:rsid w:val="009A11B8"/>
    <w:rsid w:val="009A1E33"/>
    <w:rsid w:val="009A3625"/>
    <w:rsid w:val="009A3C12"/>
    <w:rsid w:val="009A43F7"/>
    <w:rsid w:val="009A469F"/>
    <w:rsid w:val="009A482A"/>
    <w:rsid w:val="009A51AC"/>
    <w:rsid w:val="009A5313"/>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5554"/>
    <w:rsid w:val="009D626A"/>
    <w:rsid w:val="009D6807"/>
    <w:rsid w:val="009D72F7"/>
    <w:rsid w:val="009E4102"/>
    <w:rsid w:val="009E4350"/>
    <w:rsid w:val="009E435B"/>
    <w:rsid w:val="009E4F7E"/>
    <w:rsid w:val="009E5753"/>
    <w:rsid w:val="009E58FD"/>
    <w:rsid w:val="009E670D"/>
    <w:rsid w:val="009E73B1"/>
    <w:rsid w:val="009E73E2"/>
    <w:rsid w:val="009E7BAE"/>
    <w:rsid w:val="009F01BF"/>
    <w:rsid w:val="009F0481"/>
    <w:rsid w:val="009F0A31"/>
    <w:rsid w:val="009F0C34"/>
    <w:rsid w:val="009F276E"/>
    <w:rsid w:val="009F3A23"/>
    <w:rsid w:val="009F4459"/>
    <w:rsid w:val="009F493C"/>
    <w:rsid w:val="009F6209"/>
    <w:rsid w:val="009F62A5"/>
    <w:rsid w:val="009F66F8"/>
    <w:rsid w:val="009F6B49"/>
    <w:rsid w:val="009F6FFD"/>
    <w:rsid w:val="009F77E2"/>
    <w:rsid w:val="00A02411"/>
    <w:rsid w:val="00A036EB"/>
    <w:rsid w:val="00A03866"/>
    <w:rsid w:val="00A04311"/>
    <w:rsid w:val="00A0455C"/>
    <w:rsid w:val="00A04E44"/>
    <w:rsid w:val="00A060D1"/>
    <w:rsid w:val="00A065EC"/>
    <w:rsid w:val="00A10382"/>
    <w:rsid w:val="00A11B71"/>
    <w:rsid w:val="00A11F33"/>
    <w:rsid w:val="00A12648"/>
    <w:rsid w:val="00A12D92"/>
    <w:rsid w:val="00A2163E"/>
    <w:rsid w:val="00A22BAB"/>
    <w:rsid w:val="00A23086"/>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932"/>
    <w:rsid w:val="00AA2AD2"/>
    <w:rsid w:val="00AA3088"/>
    <w:rsid w:val="00AA3FDD"/>
    <w:rsid w:val="00AA4970"/>
    <w:rsid w:val="00AA4F20"/>
    <w:rsid w:val="00AA4FDB"/>
    <w:rsid w:val="00AA59A0"/>
    <w:rsid w:val="00AA70A8"/>
    <w:rsid w:val="00AB0104"/>
    <w:rsid w:val="00AB0388"/>
    <w:rsid w:val="00AB1419"/>
    <w:rsid w:val="00AB30F8"/>
    <w:rsid w:val="00AB3704"/>
    <w:rsid w:val="00AB37EF"/>
    <w:rsid w:val="00AB3B64"/>
    <w:rsid w:val="00AB491F"/>
    <w:rsid w:val="00AB4E39"/>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A1"/>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90E"/>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364"/>
    <w:rsid w:val="00BA7D34"/>
    <w:rsid w:val="00BB063E"/>
    <w:rsid w:val="00BB13AE"/>
    <w:rsid w:val="00BB1698"/>
    <w:rsid w:val="00BB1B42"/>
    <w:rsid w:val="00BB22D5"/>
    <w:rsid w:val="00BB6588"/>
    <w:rsid w:val="00BB76F8"/>
    <w:rsid w:val="00BC1073"/>
    <w:rsid w:val="00BC13B2"/>
    <w:rsid w:val="00BC1EAD"/>
    <w:rsid w:val="00BC208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9E2"/>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08C"/>
    <w:rsid w:val="00C0153A"/>
    <w:rsid w:val="00C0174D"/>
    <w:rsid w:val="00C024D0"/>
    <w:rsid w:val="00C0464F"/>
    <w:rsid w:val="00C04EEE"/>
    <w:rsid w:val="00C05987"/>
    <w:rsid w:val="00C05ABE"/>
    <w:rsid w:val="00C05DAD"/>
    <w:rsid w:val="00C05DBF"/>
    <w:rsid w:val="00C066BA"/>
    <w:rsid w:val="00C07677"/>
    <w:rsid w:val="00C10AEE"/>
    <w:rsid w:val="00C10EA2"/>
    <w:rsid w:val="00C11069"/>
    <w:rsid w:val="00C11079"/>
    <w:rsid w:val="00C11203"/>
    <w:rsid w:val="00C1121D"/>
    <w:rsid w:val="00C1201C"/>
    <w:rsid w:val="00C12EB2"/>
    <w:rsid w:val="00C13094"/>
    <w:rsid w:val="00C1340B"/>
    <w:rsid w:val="00C15A87"/>
    <w:rsid w:val="00C16473"/>
    <w:rsid w:val="00C16E37"/>
    <w:rsid w:val="00C20446"/>
    <w:rsid w:val="00C22D0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47CB"/>
    <w:rsid w:val="00C44E9D"/>
    <w:rsid w:val="00C4625F"/>
    <w:rsid w:val="00C479DE"/>
    <w:rsid w:val="00C47D0E"/>
    <w:rsid w:val="00C5035C"/>
    <w:rsid w:val="00C50FE2"/>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95"/>
    <w:rsid w:val="00CC1C23"/>
    <w:rsid w:val="00CC3DA4"/>
    <w:rsid w:val="00CC3F88"/>
    <w:rsid w:val="00CC4EBA"/>
    <w:rsid w:val="00CC64FA"/>
    <w:rsid w:val="00CC6E9B"/>
    <w:rsid w:val="00CD0F4F"/>
    <w:rsid w:val="00CD1235"/>
    <w:rsid w:val="00CD174A"/>
    <w:rsid w:val="00CD345D"/>
    <w:rsid w:val="00CD4847"/>
    <w:rsid w:val="00CD5113"/>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6A0"/>
    <w:rsid w:val="00D03518"/>
    <w:rsid w:val="00D03EED"/>
    <w:rsid w:val="00D03FFA"/>
    <w:rsid w:val="00D0442D"/>
    <w:rsid w:val="00D048A0"/>
    <w:rsid w:val="00D04D3F"/>
    <w:rsid w:val="00D04DEB"/>
    <w:rsid w:val="00D06791"/>
    <w:rsid w:val="00D10A57"/>
    <w:rsid w:val="00D11994"/>
    <w:rsid w:val="00D11A21"/>
    <w:rsid w:val="00D12189"/>
    <w:rsid w:val="00D12964"/>
    <w:rsid w:val="00D146D8"/>
    <w:rsid w:val="00D161D5"/>
    <w:rsid w:val="00D16B7D"/>
    <w:rsid w:val="00D170B1"/>
    <w:rsid w:val="00D17309"/>
    <w:rsid w:val="00D20F8C"/>
    <w:rsid w:val="00D227EE"/>
    <w:rsid w:val="00D22E4A"/>
    <w:rsid w:val="00D25B32"/>
    <w:rsid w:val="00D260CF"/>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0FB3"/>
    <w:rsid w:val="00D7389E"/>
    <w:rsid w:val="00D74338"/>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80"/>
    <w:rsid w:val="00DD4D87"/>
    <w:rsid w:val="00DD5F8F"/>
    <w:rsid w:val="00DE17BA"/>
    <w:rsid w:val="00DE2041"/>
    <w:rsid w:val="00DE35DE"/>
    <w:rsid w:val="00DE4567"/>
    <w:rsid w:val="00DE535E"/>
    <w:rsid w:val="00DE6058"/>
    <w:rsid w:val="00DE6BCF"/>
    <w:rsid w:val="00DE7DA9"/>
    <w:rsid w:val="00DF03B4"/>
    <w:rsid w:val="00DF1253"/>
    <w:rsid w:val="00DF1A8D"/>
    <w:rsid w:val="00DF2F56"/>
    <w:rsid w:val="00DF36E8"/>
    <w:rsid w:val="00DF5EBA"/>
    <w:rsid w:val="00E0124C"/>
    <w:rsid w:val="00E01355"/>
    <w:rsid w:val="00E02214"/>
    <w:rsid w:val="00E02416"/>
    <w:rsid w:val="00E02451"/>
    <w:rsid w:val="00E0443A"/>
    <w:rsid w:val="00E04C12"/>
    <w:rsid w:val="00E05915"/>
    <w:rsid w:val="00E06CDA"/>
    <w:rsid w:val="00E06E06"/>
    <w:rsid w:val="00E0732D"/>
    <w:rsid w:val="00E1023A"/>
    <w:rsid w:val="00E11906"/>
    <w:rsid w:val="00E1221C"/>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F6B"/>
    <w:rsid w:val="00E6218F"/>
    <w:rsid w:val="00E708E1"/>
    <w:rsid w:val="00E70C5B"/>
    <w:rsid w:val="00E72CF4"/>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D6D71"/>
    <w:rsid w:val="00EE0FC0"/>
    <w:rsid w:val="00EE2A32"/>
    <w:rsid w:val="00EE3FD0"/>
    <w:rsid w:val="00EE4AAE"/>
    <w:rsid w:val="00EE4E2B"/>
    <w:rsid w:val="00EE646D"/>
    <w:rsid w:val="00EE732E"/>
    <w:rsid w:val="00EE7C15"/>
    <w:rsid w:val="00EF033E"/>
    <w:rsid w:val="00EF0C4E"/>
    <w:rsid w:val="00EF13CE"/>
    <w:rsid w:val="00EF1DF9"/>
    <w:rsid w:val="00EF334A"/>
    <w:rsid w:val="00EF33FE"/>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06D"/>
    <w:rsid w:val="00F0632C"/>
    <w:rsid w:val="00F07EBC"/>
    <w:rsid w:val="00F11018"/>
    <w:rsid w:val="00F11205"/>
    <w:rsid w:val="00F11532"/>
    <w:rsid w:val="00F128C5"/>
    <w:rsid w:val="00F128CA"/>
    <w:rsid w:val="00F13375"/>
    <w:rsid w:val="00F13D0E"/>
    <w:rsid w:val="00F14227"/>
    <w:rsid w:val="00F14465"/>
    <w:rsid w:val="00F146CE"/>
    <w:rsid w:val="00F15A6F"/>
    <w:rsid w:val="00F15DE4"/>
    <w:rsid w:val="00F173A6"/>
    <w:rsid w:val="00F22244"/>
    <w:rsid w:val="00F23E7B"/>
    <w:rsid w:val="00F241B4"/>
    <w:rsid w:val="00F24B9B"/>
    <w:rsid w:val="00F25D2D"/>
    <w:rsid w:val="00F26F4F"/>
    <w:rsid w:val="00F315A0"/>
    <w:rsid w:val="00F31D80"/>
    <w:rsid w:val="00F322FC"/>
    <w:rsid w:val="00F32B0D"/>
    <w:rsid w:val="00F33181"/>
    <w:rsid w:val="00F366D1"/>
    <w:rsid w:val="00F3708F"/>
    <w:rsid w:val="00F379DB"/>
    <w:rsid w:val="00F40E76"/>
    <w:rsid w:val="00F41096"/>
    <w:rsid w:val="00F412FC"/>
    <w:rsid w:val="00F422DF"/>
    <w:rsid w:val="00F43A18"/>
    <w:rsid w:val="00F45817"/>
    <w:rsid w:val="00F46088"/>
    <w:rsid w:val="00F468E4"/>
    <w:rsid w:val="00F4720D"/>
    <w:rsid w:val="00F506F3"/>
    <w:rsid w:val="00F509A5"/>
    <w:rsid w:val="00F5187A"/>
    <w:rsid w:val="00F51E68"/>
    <w:rsid w:val="00F52A41"/>
    <w:rsid w:val="00F52C40"/>
    <w:rsid w:val="00F530EB"/>
    <w:rsid w:val="00F54533"/>
    <w:rsid w:val="00F5474E"/>
    <w:rsid w:val="00F55AC9"/>
    <w:rsid w:val="00F55E79"/>
    <w:rsid w:val="00F564AC"/>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8E3"/>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8BB"/>
    <w:rsid w:val="00FA4CDF"/>
    <w:rsid w:val="00FA5529"/>
    <w:rsid w:val="00FA5614"/>
    <w:rsid w:val="00FA5741"/>
    <w:rsid w:val="00FA6CBA"/>
    <w:rsid w:val="00FA6F35"/>
    <w:rsid w:val="00FA7ECA"/>
    <w:rsid w:val="00FB1DD0"/>
    <w:rsid w:val="00FB20A2"/>
    <w:rsid w:val="00FB2292"/>
    <w:rsid w:val="00FB4488"/>
    <w:rsid w:val="00FB484C"/>
    <w:rsid w:val="00FB5EC5"/>
    <w:rsid w:val="00FB621F"/>
    <w:rsid w:val="00FB6881"/>
    <w:rsid w:val="00FB6CE2"/>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6AD2"/>
    <w:rsid w:val="00FE6D88"/>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063601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FB08-BEE1-455A-A6D8-E7518619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34</Pages>
  <Words>12606</Words>
  <Characters>75641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88071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26</cp:revision>
  <cp:lastPrinted>2021-05-11T10:20:00Z</cp:lastPrinted>
  <dcterms:created xsi:type="dcterms:W3CDTF">2021-03-26T10:02:00Z</dcterms:created>
  <dcterms:modified xsi:type="dcterms:W3CDTF">2021-05-11T10:20:00Z</dcterms:modified>
</cp:coreProperties>
</file>