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3A" w:rsidRPr="006650BE" w:rsidRDefault="00D03E3A" w:rsidP="00D03E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0BE">
        <w:rPr>
          <w:rFonts w:ascii="Times New Roman" w:hAnsi="Times New Roman" w:cs="Times New Roman"/>
          <w:b/>
          <w:sz w:val="24"/>
          <w:szCs w:val="24"/>
        </w:rPr>
        <w:t>§ 6.</w:t>
      </w:r>
    </w:p>
    <w:p w:rsidR="00D03E3A" w:rsidRPr="006650BE" w:rsidRDefault="00D03E3A" w:rsidP="00D03E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0BE">
        <w:rPr>
          <w:rFonts w:ascii="Times New Roman" w:hAnsi="Times New Roman" w:cs="Times New Roman"/>
          <w:sz w:val="24"/>
          <w:szCs w:val="24"/>
        </w:rPr>
        <w:t xml:space="preserve">1. Dotacja udzielona podmiotowi prowadzącemu działalność gospodarczą, w tym działalność w zakresie rolnictwa lub rybołówstwa, stanowi pomoc de </w:t>
      </w:r>
      <w:proofErr w:type="spellStart"/>
      <w:r w:rsidRPr="006650B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6650BE">
        <w:rPr>
          <w:rFonts w:ascii="Times New Roman" w:hAnsi="Times New Roman" w:cs="Times New Roman"/>
          <w:sz w:val="24"/>
          <w:szCs w:val="24"/>
        </w:rPr>
        <w:t xml:space="preserve"> w rozumieniu rozporządzenia Komisji (UE) Nr 1407/2013 z dnia 18 grudnia 2013 r. w sprawie stosowania art. 107 i 108 Traktatu o funkcjonowaniu Unii Europejskiej do pomocy de </w:t>
      </w:r>
      <w:proofErr w:type="spellStart"/>
      <w:r w:rsidRPr="006650B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6650BE">
        <w:rPr>
          <w:rFonts w:ascii="Times New Roman" w:hAnsi="Times New Roman" w:cs="Times New Roman"/>
          <w:sz w:val="24"/>
          <w:szCs w:val="24"/>
        </w:rPr>
        <w:t xml:space="preserve"> </w:t>
      </w:r>
      <w:r w:rsidRPr="006650BE">
        <w:rPr>
          <w:rFonts w:ascii="Times New Roman" w:hAnsi="Times New Roman" w:cs="Times New Roman"/>
          <w:sz w:val="24"/>
          <w:szCs w:val="24"/>
        </w:rPr>
        <w:br/>
        <w:t xml:space="preserve">(Dz. U. UE L 352 z dnia 24 grudnia 2013 r.), w rozumieniu rozporządzenia Komisji (UE) </w:t>
      </w:r>
      <w:r w:rsidRPr="006650BE">
        <w:rPr>
          <w:rFonts w:ascii="Times New Roman" w:hAnsi="Times New Roman" w:cs="Times New Roman"/>
          <w:sz w:val="24"/>
          <w:szCs w:val="24"/>
        </w:rPr>
        <w:br/>
        <w:t xml:space="preserve">nr 1408/2013 z dnia 18 grudnia </w:t>
      </w:r>
      <w:r w:rsidRPr="00965D34">
        <w:rPr>
          <w:rFonts w:ascii="Times New Roman" w:hAnsi="Times New Roman" w:cs="Times New Roman"/>
          <w:color w:val="FF0000"/>
          <w:sz w:val="24"/>
          <w:szCs w:val="24"/>
        </w:rPr>
        <w:t xml:space="preserve">2013 r. z późn. zm. </w:t>
      </w:r>
      <w:r w:rsidRPr="006650BE">
        <w:rPr>
          <w:rFonts w:ascii="Times New Roman" w:hAnsi="Times New Roman" w:cs="Times New Roman"/>
          <w:sz w:val="24"/>
          <w:szCs w:val="24"/>
        </w:rPr>
        <w:t>w sprawie stos</w:t>
      </w:r>
      <w:r>
        <w:rPr>
          <w:rFonts w:ascii="Times New Roman" w:hAnsi="Times New Roman" w:cs="Times New Roman"/>
          <w:sz w:val="24"/>
          <w:szCs w:val="24"/>
        </w:rPr>
        <w:t xml:space="preserve">owania art. 107 i 108 Traktatu </w:t>
      </w:r>
      <w:r w:rsidRPr="006650BE">
        <w:rPr>
          <w:rFonts w:ascii="Times New Roman" w:hAnsi="Times New Roman" w:cs="Times New Roman"/>
          <w:sz w:val="24"/>
          <w:szCs w:val="24"/>
        </w:rPr>
        <w:t xml:space="preserve">o funkcjonowaniu Unii Europejskiej do pomocy de </w:t>
      </w:r>
      <w:proofErr w:type="spellStart"/>
      <w:r w:rsidRPr="006650B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6650BE">
        <w:rPr>
          <w:rFonts w:ascii="Times New Roman" w:hAnsi="Times New Roman" w:cs="Times New Roman"/>
          <w:sz w:val="24"/>
          <w:szCs w:val="24"/>
        </w:rPr>
        <w:t xml:space="preserve"> w sektorze rolnym (Dz. U. UE L 352 z dnia 24 grudnia 2013 r.) i w rozu</w:t>
      </w:r>
      <w:bookmarkStart w:id="0" w:name="_GoBack"/>
      <w:bookmarkEnd w:id="0"/>
      <w:r w:rsidRPr="006650BE">
        <w:rPr>
          <w:rFonts w:ascii="Times New Roman" w:hAnsi="Times New Roman" w:cs="Times New Roman"/>
          <w:sz w:val="24"/>
          <w:szCs w:val="24"/>
        </w:rPr>
        <w:t>mieniu rozporządzenia Komisji (UE) nr 717/2014</w:t>
      </w:r>
      <w:r w:rsidRPr="006650BE">
        <w:rPr>
          <w:rFonts w:ascii="Times New Roman" w:hAnsi="Times New Roman" w:cs="Times New Roman"/>
          <w:sz w:val="24"/>
          <w:szCs w:val="24"/>
        </w:rPr>
        <w:br/>
        <w:t xml:space="preserve">z dnia 27 czerwca 2014 r. w sprawie stosowania art. 107 i 108 Traktatu o funkcjonowaniu Unii Europejskiej do pomocy de </w:t>
      </w:r>
      <w:proofErr w:type="spellStart"/>
      <w:r w:rsidRPr="006650B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6650BE">
        <w:rPr>
          <w:rFonts w:ascii="Times New Roman" w:hAnsi="Times New Roman" w:cs="Times New Roman"/>
          <w:sz w:val="24"/>
          <w:szCs w:val="24"/>
        </w:rPr>
        <w:t xml:space="preserve"> w sektorze rybołówstwa i akwakultury (Dz. U. UE L 190 z dnia 28 czerwca 2014 r.). </w:t>
      </w:r>
    </w:p>
    <w:p w:rsidR="00D03E3A" w:rsidRDefault="00D03E3A" w:rsidP="000671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2CB1" w:rsidRDefault="00432CB1" w:rsidP="00432C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7.</w:t>
      </w:r>
    </w:p>
    <w:p w:rsidR="00432CB1" w:rsidRDefault="00432CB1" w:rsidP="00432C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Podmioty uprawnione do ubiegania się uzyskanie dotacji zobowiązani </w:t>
      </w:r>
      <w:r>
        <w:rPr>
          <w:rFonts w:ascii="Times New Roman" w:hAnsi="Times New Roman" w:cs="Times New Roman"/>
          <w:sz w:val="24"/>
          <w:szCs w:val="24"/>
        </w:rPr>
        <w:br/>
        <w:t xml:space="preserve">są do złożenia pisemnego wniosku o przyznanie dotacji do Burmistrza Gniewkowa, </w:t>
      </w:r>
      <w:r>
        <w:rPr>
          <w:rFonts w:ascii="Times New Roman" w:hAnsi="Times New Roman" w:cs="Times New Roman"/>
          <w:sz w:val="24"/>
          <w:szCs w:val="24"/>
        </w:rPr>
        <w:br/>
        <w:t xml:space="preserve">w nieprzekraczalnym terminie do 15 lutego każdego roku. Wzór wniosku o udzielenie dotacji stanowi załącznik nr 1 do uchwały. </w:t>
      </w:r>
    </w:p>
    <w:p w:rsidR="00432CB1" w:rsidRDefault="00432CB1" w:rsidP="00432C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Wniosek o dotację należy składać w Urzędzie Miejskim w Gniewkowie w terminie do 15 lutego każdego roku, po zatwierdzeniu budżetu – z określoną kwotą na dany rok. </w:t>
      </w:r>
    </w:p>
    <w:p w:rsidR="00432CB1" w:rsidRDefault="00432CB1" w:rsidP="00432C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Rozpatrzenie wniosków odbywać się będzie w terminie 4 tygodnie od daty określonej w ust. 2.</w:t>
      </w:r>
    </w:p>
    <w:p w:rsidR="00366E19" w:rsidRDefault="00432CB1" w:rsidP="00432CB1">
      <w:r>
        <w:rPr>
          <w:rFonts w:ascii="Times New Roman" w:hAnsi="Times New Roman" w:cs="Times New Roman"/>
          <w:sz w:val="24"/>
          <w:szCs w:val="24"/>
        </w:rPr>
        <w:t>4. W przypadku zwiększenia środków finansowych w ramach dotacji, dopuszcza się możliwość przeprowadzenia dodatkowego naboru wniosków o udzielenie dotacji w termin</w:t>
      </w:r>
      <w:r w:rsidR="003C7AC7">
        <w:rPr>
          <w:rFonts w:ascii="Times New Roman" w:hAnsi="Times New Roman" w:cs="Times New Roman"/>
          <w:sz w:val="24"/>
          <w:szCs w:val="24"/>
        </w:rPr>
        <w:t xml:space="preserve">ie do 15 sierpnia każdego roku. </w:t>
      </w:r>
    </w:p>
    <w:sectPr w:rsidR="00366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B1"/>
    <w:rsid w:val="000671A3"/>
    <w:rsid w:val="00366E19"/>
    <w:rsid w:val="003C7AC7"/>
    <w:rsid w:val="00432CB1"/>
    <w:rsid w:val="00965D34"/>
    <w:rsid w:val="00D0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00486-A26C-4CDF-B2B9-7DBF1E73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CB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4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Paradowska</dc:creator>
  <cp:keywords/>
  <dc:description/>
  <cp:lastModifiedBy>Justyna Paradowska</cp:lastModifiedBy>
  <cp:revision>7</cp:revision>
  <dcterms:created xsi:type="dcterms:W3CDTF">2020-06-22T09:18:00Z</dcterms:created>
  <dcterms:modified xsi:type="dcterms:W3CDTF">2020-06-22T09:36:00Z</dcterms:modified>
</cp:coreProperties>
</file>