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B7" w:rsidRDefault="00A702B7" w:rsidP="00041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 z konsultacji społecznych dotyczących aktualizacji „Lokalnego Programu Rewitalizacji Gminy Gniewkowo na lata 2016-2023”.</w:t>
      </w:r>
    </w:p>
    <w:p w:rsidR="00A702B7" w:rsidRDefault="00A702B7" w:rsidP="00A702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2B7" w:rsidRDefault="00A702B7" w:rsidP="00A70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1.Zakres i czas trwania ogłoszonych konsultacji społecznych.</w:t>
      </w:r>
    </w:p>
    <w:p w:rsidR="00A702B7" w:rsidRPr="00A702B7" w:rsidRDefault="00A702B7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84AC8">
        <w:rPr>
          <w:rFonts w:ascii="Times New Roman" w:hAnsi="Times New Roman" w:cs="Times New Roman"/>
          <w:sz w:val="24"/>
          <w:szCs w:val="24"/>
        </w:rPr>
        <w:t>onsultacje społeczne dotyczące aktualizacji „Lokalnego Programu Rewitalizacji Gminy Gniewkowo na lata 2016-2023”</w:t>
      </w:r>
      <w:r>
        <w:rPr>
          <w:rFonts w:ascii="Times New Roman" w:hAnsi="Times New Roman" w:cs="Times New Roman"/>
          <w:sz w:val="24"/>
          <w:szCs w:val="24"/>
        </w:rPr>
        <w:t xml:space="preserve"> zostały przeprowadzone w</w:t>
      </w:r>
      <w:r w:rsidRPr="00284AC8">
        <w:rPr>
          <w:rFonts w:ascii="Times New Roman" w:hAnsi="Times New Roman" w:cs="Times New Roman"/>
          <w:sz w:val="24"/>
          <w:szCs w:val="24"/>
        </w:rPr>
        <w:t xml:space="preserve"> dniach </w:t>
      </w:r>
      <w:r w:rsidRPr="00A702B7">
        <w:rPr>
          <w:rFonts w:ascii="Times New Roman" w:hAnsi="Times New Roman" w:cs="Times New Roman"/>
          <w:sz w:val="24"/>
          <w:szCs w:val="24"/>
        </w:rPr>
        <w:t>29.11.2019 – 05.12.2019</w:t>
      </w:r>
      <w:r>
        <w:rPr>
          <w:rFonts w:ascii="Times New Roman" w:hAnsi="Times New Roman" w:cs="Times New Roman"/>
          <w:sz w:val="24"/>
          <w:szCs w:val="24"/>
        </w:rPr>
        <w:t xml:space="preserve"> zgodnie z Zarządzeniem Nr 166/2019 Burmistrza Gniewkowa z dnia 19 listopada 2019 r.</w:t>
      </w:r>
    </w:p>
    <w:p w:rsidR="00A702B7" w:rsidRPr="00DF3B93" w:rsidRDefault="00A702B7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Przedmiotem konsultacji </w:t>
      </w:r>
      <w:r>
        <w:rPr>
          <w:rFonts w:ascii="Times New Roman" w:hAnsi="Times New Roman" w:cs="Times New Roman"/>
          <w:sz w:val="24"/>
          <w:szCs w:val="24"/>
        </w:rPr>
        <w:t>było</w:t>
      </w:r>
      <w:r w:rsidRPr="00DF3B93">
        <w:rPr>
          <w:rFonts w:ascii="Times New Roman" w:hAnsi="Times New Roman" w:cs="Times New Roman"/>
          <w:sz w:val="24"/>
          <w:szCs w:val="24"/>
        </w:rPr>
        <w:t xml:space="preserve"> ewentualne wprowadzenie </w:t>
      </w:r>
      <w:r>
        <w:rPr>
          <w:rFonts w:ascii="Times New Roman" w:hAnsi="Times New Roman" w:cs="Times New Roman"/>
          <w:sz w:val="24"/>
          <w:szCs w:val="24"/>
        </w:rPr>
        <w:t>zmian w treści dokumentu Lokalnego Programu Rewitalizacji Gminy Gniewkowo na lata 2016-2023</w:t>
      </w:r>
      <w:r w:rsidRPr="00DF3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CF0" w:rsidRDefault="00A702B7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Celem konsultacji </w:t>
      </w:r>
      <w:r>
        <w:rPr>
          <w:rFonts w:ascii="Times New Roman" w:hAnsi="Times New Roman" w:cs="Times New Roman"/>
          <w:sz w:val="24"/>
          <w:szCs w:val="24"/>
        </w:rPr>
        <w:t>było</w:t>
      </w:r>
      <w:r w:rsidRPr="00DF3B93">
        <w:rPr>
          <w:rFonts w:ascii="Times New Roman" w:hAnsi="Times New Roman" w:cs="Times New Roman"/>
          <w:sz w:val="24"/>
          <w:szCs w:val="24"/>
        </w:rPr>
        <w:t xml:space="preserve"> zebranie propozycji i opinii mieszkańców Gminy Gniewkowo na temat </w:t>
      </w:r>
      <w:r>
        <w:rPr>
          <w:rFonts w:ascii="Times New Roman" w:hAnsi="Times New Roman" w:cs="Times New Roman"/>
          <w:sz w:val="24"/>
          <w:szCs w:val="24"/>
        </w:rPr>
        <w:t>wprowadzonych w opracowanej aktualizacji Lokalnego Programu Rewitalizacji Gminy Gniewkowo na lata 2016-2023 zmian</w:t>
      </w:r>
      <w:r w:rsidRPr="00DF3B93">
        <w:rPr>
          <w:rFonts w:ascii="Times New Roman" w:hAnsi="Times New Roman" w:cs="Times New Roman"/>
          <w:sz w:val="24"/>
          <w:szCs w:val="24"/>
        </w:rPr>
        <w:t>.</w:t>
      </w:r>
    </w:p>
    <w:p w:rsidR="00A702B7" w:rsidRDefault="00A702B7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 xml:space="preserve">przeprowadzono w formie pisemnej lub elektronicznej poprzez imienne wyrażenie opinii lub złożenie uwag, propozycji dostarczonych osobiście do Urzędu Miejskiego w Gniewkowie, bądź zeskanowaniu formularza i przesłaniu pocztą elektroniczną na adres </w:t>
      </w:r>
      <w:hyperlink r:id="rId7" w:history="1">
        <w:r w:rsidRPr="00D16DC4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41CF0" w:rsidRDefault="00041CF0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aktualizacji </w:t>
      </w:r>
      <w:r w:rsidRPr="00284AC8">
        <w:rPr>
          <w:rFonts w:ascii="Times New Roman" w:hAnsi="Times New Roman" w:cs="Times New Roman"/>
          <w:sz w:val="24"/>
          <w:szCs w:val="24"/>
        </w:rPr>
        <w:t>„Lokalnego Programu Rewitalizacji Gminy Gniewkowo na lata 2016-2023”</w:t>
      </w:r>
      <w:r>
        <w:rPr>
          <w:rFonts w:ascii="Times New Roman" w:hAnsi="Times New Roman" w:cs="Times New Roman"/>
          <w:sz w:val="24"/>
          <w:szCs w:val="24"/>
        </w:rPr>
        <w:t xml:space="preserve"> został upubliczniony w dniu 29 listopada 2019 r. poprzez:</w:t>
      </w:r>
    </w:p>
    <w:p w:rsidR="00041CF0" w:rsidRDefault="00041CF0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zamieszczenie na stronie BIP Urzędu Miejskiego w Gniewkowie:</w:t>
      </w:r>
    </w:p>
    <w:p w:rsidR="00041CF0" w:rsidRDefault="00041CF0" w:rsidP="00A702B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B6997">
          <w:rPr>
            <w:rStyle w:val="Hipercze"/>
            <w:rFonts w:ascii="Times New Roman" w:hAnsi="Times New Roman" w:cs="Times New Roman"/>
            <w:sz w:val="24"/>
            <w:szCs w:val="24"/>
          </w:rPr>
          <w:t>http://gniewkowo.bipgmina.pl/wiadomosci/1/wiadomosc/497563/burmistrz_gniewkowa_oglasza_przeprowadzenie_konsultacji_spoleczn</w:t>
        </w:r>
      </w:hyperlink>
    </w:p>
    <w:p w:rsidR="00041CF0" w:rsidRDefault="00041CF0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zamieszczenie na stronie </w:t>
      </w:r>
      <w:hyperlink r:id="rId9" w:history="1">
        <w:r w:rsidRPr="00FB6997">
          <w:rPr>
            <w:rStyle w:val="Hipercze"/>
            <w:rFonts w:ascii="Times New Roman" w:hAnsi="Times New Roman" w:cs="Times New Roman"/>
            <w:sz w:val="24"/>
            <w:szCs w:val="24"/>
          </w:rPr>
          <w:t>www.gniewkowo.com.pl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41CF0" w:rsidRDefault="00041CF0" w:rsidP="00A702B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B6997">
          <w:rPr>
            <w:rStyle w:val="Hipercze"/>
            <w:rFonts w:ascii="Times New Roman" w:hAnsi="Times New Roman" w:cs="Times New Roman"/>
            <w:sz w:val="24"/>
            <w:szCs w:val="24"/>
          </w:rPr>
          <w:t>http://www.gniewkowo.com.pl/aktualnosc-5067-konsultacje_spoleczne_dotyczace.html</w:t>
        </w:r>
      </w:hyperlink>
    </w:p>
    <w:p w:rsidR="00041CF0" w:rsidRDefault="00041CF0" w:rsidP="00A70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wywieszenie na tablicy ogłoszeń w siedzibie Urzędu miejskiego w Gniewkowie.</w:t>
      </w:r>
    </w:p>
    <w:p w:rsidR="00A702B7" w:rsidRDefault="00A702B7" w:rsidP="00A70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2.Zestawienie uwag i opinii zgłoszonych przez mieszkańców Gminy Gniewkowo do t</w:t>
      </w:r>
      <w:r w:rsidR="00041CF0">
        <w:rPr>
          <w:rFonts w:ascii="Times New Roman" w:hAnsi="Times New Roman" w:cs="Times New Roman"/>
          <w:b/>
          <w:sz w:val="24"/>
          <w:szCs w:val="24"/>
        </w:rPr>
        <w:t>reści aktualizowanego dokumentu:</w:t>
      </w:r>
    </w:p>
    <w:p w:rsidR="00041CF0" w:rsidRDefault="00041CF0" w:rsidP="00A702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CF0" w:rsidRDefault="00041CF0" w:rsidP="00A702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170" w:type="dxa"/>
        <w:jc w:val="center"/>
        <w:tblLook w:val="04A0"/>
      </w:tblPr>
      <w:tblGrid>
        <w:gridCol w:w="1566"/>
        <w:gridCol w:w="1965"/>
        <w:gridCol w:w="5016"/>
        <w:gridCol w:w="5623"/>
      </w:tblGrid>
      <w:tr w:rsidR="00041CF0" w:rsidRPr="00FE176A" w:rsidTr="00492CA5">
        <w:trPr>
          <w:jc w:val="center"/>
        </w:trPr>
        <w:tc>
          <w:tcPr>
            <w:tcW w:w="14170" w:type="dxa"/>
            <w:gridSpan w:val="4"/>
          </w:tcPr>
          <w:p w:rsidR="00041CF0" w:rsidRPr="00FE176A" w:rsidRDefault="00041CF0" w:rsidP="00492CA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176A">
              <w:rPr>
                <w:rFonts w:ascii="Arial" w:hAnsi="Arial" w:cs="Arial"/>
                <w:b/>
                <w:bCs/>
              </w:rPr>
              <w:lastRenderedPageBreak/>
              <w:t xml:space="preserve">Lista uwag do projektu aktualizacji LPR </w:t>
            </w:r>
            <w:proofErr w:type="spellStart"/>
            <w:r w:rsidRPr="00FE176A">
              <w:rPr>
                <w:rFonts w:ascii="Arial" w:hAnsi="Arial" w:cs="Arial"/>
                <w:b/>
                <w:bCs/>
              </w:rPr>
              <w:t>wg</w:t>
            </w:r>
            <w:proofErr w:type="spellEnd"/>
            <w:r w:rsidRPr="00FE176A">
              <w:rPr>
                <w:rFonts w:ascii="Arial" w:hAnsi="Arial" w:cs="Arial"/>
                <w:b/>
                <w:bCs/>
              </w:rPr>
              <w:t>. kolejności wpływu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</w:tcPr>
          <w:p w:rsidR="00041CF0" w:rsidRPr="007E6A19" w:rsidRDefault="00041CF0" w:rsidP="00492C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Inicjały osoby zgłaszającej</w:t>
            </w:r>
            <w:r w:rsidRPr="007E6A19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965" w:type="dxa"/>
            <w:vAlign w:val="center"/>
          </w:tcPr>
          <w:p w:rsidR="00041CF0" w:rsidRPr="007E6A19" w:rsidRDefault="00041CF0" w:rsidP="00492C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Reprezentowana instytucja</w:t>
            </w:r>
          </w:p>
        </w:tc>
        <w:tc>
          <w:tcPr>
            <w:tcW w:w="5016" w:type="dxa"/>
            <w:vAlign w:val="center"/>
          </w:tcPr>
          <w:p w:rsidR="00041CF0" w:rsidRPr="007E6A19" w:rsidRDefault="00041CF0" w:rsidP="00492C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Treść uwagi</w:t>
            </w:r>
          </w:p>
        </w:tc>
        <w:tc>
          <w:tcPr>
            <w:tcW w:w="5623" w:type="dxa"/>
            <w:vAlign w:val="center"/>
          </w:tcPr>
          <w:p w:rsidR="00041CF0" w:rsidRPr="007E6A19" w:rsidRDefault="00041CF0" w:rsidP="00492C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Wyjaśnienia i rekomendacje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Miejski w Gniewkowie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 70 – tabela, projekt 14, jest: liczba zlokalizowanych obiektów na obszarach rewitalizacji – 3 szt., powinno być 4 szt. (ujednolicenie z zapisami wniosku złożonego w ramach RPO WKP 2014-2020).</w:t>
            </w:r>
          </w:p>
        </w:tc>
        <w:tc>
          <w:tcPr>
            <w:tcW w:w="5623" w:type="dxa"/>
          </w:tcPr>
          <w:p w:rsidR="00041CF0" w:rsidRPr="00EC132A" w:rsidRDefault="00041CF0" w:rsidP="00492CA5">
            <w:pPr>
              <w:jc w:val="both"/>
              <w:rPr>
                <w:rFonts w:ascii="Arial" w:hAnsi="Arial" w:cs="Arial"/>
              </w:rPr>
            </w:pPr>
            <w:r w:rsidRPr="00EC132A">
              <w:rPr>
                <w:rFonts w:ascii="Arial" w:hAnsi="Arial" w:cs="Arial"/>
              </w:rPr>
              <w:t xml:space="preserve">Dnia 02.08.2019 r. Gmina Gniewkowo złożyła wniosek o dofinansowanie w ramach działania 7.1 RPO WKP pt. „Adaptacja przestrzeni zdegradowanej w Markowie na cele rozwoju społecznego – modernizacja budynku świetlicy wiejskiej w Markowie wraz z zagospodarowaniem terenu parku”. </w:t>
            </w:r>
            <w:r w:rsidR="00EC132A" w:rsidRPr="00EC132A">
              <w:rPr>
                <w:rFonts w:ascii="Arial" w:hAnsi="Arial" w:cs="Arial"/>
              </w:rPr>
              <w:t>Na etapie przygotowywania Lokalnego Programu Rewitalizacji Gminy Gniewkowo na lata 2016-2023 liczbę obiektów określono w ilości 3 szt., gdyż plac zabaw i mini siłownię zewnętrzną uznano za 1 obiekt. Na etapie przygotowywania dokumentacji projektowej uznano jednak, że zasadne jest wydzielenie placu zabaw od mini siłowni zewnętrznej, dlatego należy uznać je jako dwa odrębne obiekty.</w:t>
            </w:r>
          </w:p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Należy skorygować wartość wskaźnika „liczba obiektów (…)” na OR 2. Markowo na 4 szt. Na etapie weryfikacji wniosku w UMWKP wymagane będzie ujednolicenie zapisów między </w:t>
            </w:r>
            <w:proofErr w:type="spellStart"/>
            <w:r>
              <w:rPr>
                <w:rFonts w:ascii="Arial" w:hAnsi="Arial" w:cs="Arial"/>
              </w:rPr>
              <w:t>WoD</w:t>
            </w:r>
            <w:proofErr w:type="spellEnd"/>
            <w:r>
              <w:rPr>
                <w:rFonts w:ascii="Arial" w:hAnsi="Arial" w:cs="Arial"/>
              </w:rPr>
              <w:t xml:space="preserve"> a LPR.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s</w:t>
            </w:r>
            <w:r w:rsidRPr="007E6A19">
              <w:rPr>
                <w:rFonts w:ascii="Arial" w:hAnsi="Arial" w:cs="Arial"/>
              </w:rPr>
              <w:t>zczegółowy opis przestrzeni zdegradowanej w Markowie</w:t>
            </w:r>
            <w:r>
              <w:rPr>
                <w:rFonts w:ascii="Arial" w:hAnsi="Arial" w:cs="Arial"/>
              </w:rPr>
              <w:t xml:space="preserve"> (w rozdziale 3.), z</w:t>
            </w:r>
            <w:r w:rsidRPr="00CE047C">
              <w:rPr>
                <w:rFonts w:ascii="Arial" w:hAnsi="Arial" w:cs="Arial"/>
              </w:rPr>
              <w:t>akładane efekty działań na obszarach rewitalizacji 2. Markowo i 3. Szadłowice</w:t>
            </w:r>
            <w:r>
              <w:rPr>
                <w:rFonts w:ascii="Arial" w:hAnsi="Arial" w:cs="Arial"/>
              </w:rPr>
              <w:t xml:space="preserve"> (w rozdziale 6.), tabela 12, tabela 13.</w:t>
            </w:r>
          </w:p>
        </w:tc>
      </w:tr>
      <w:tr w:rsidR="00041CF0" w:rsidTr="00EC132A">
        <w:trPr>
          <w:trHeight w:val="1700"/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PN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Miejski w Gniewkowie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dokumencie na str. 18 jest wpisana nazwa „</w:t>
            </w:r>
            <w:proofErr w:type="spellStart"/>
            <w:r>
              <w:rPr>
                <w:rFonts w:ascii="Arial" w:hAnsi="Arial" w:cs="Arial"/>
              </w:rPr>
              <w:t>Wierzchosławiczanie</w:t>
            </w:r>
            <w:proofErr w:type="spellEnd"/>
            <w:r>
              <w:rPr>
                <w:rFonts w:ascii="Arial" w:hAnsi="Arial" w:cs="Arial"/>
              </w:rPr>
              <w:t>”, ma być „</w:t>
            </w:r>
            <w:proofErr w:type="spellStart"/>
            <w:r>
              <w:rPr>
                <w:rFonts w:ascii="Arial" w:hAnsi="Arial" w:cs="Arial"/>
              </w:rPr>
              <w:t>Wierzchosławiczanki</w:t>
            </w:r>
            <w:proofErr w:type="spellEnd"/>
            <w:r>
              <w:rPr>
                <w:rFonts w:ascii="Arial" w:hAnsi="Arial" w:cs="Arial"/>
              </w:rPr>
              <w:t>”.</w:t>
            </w:r>
          </w:p>
        </w:tc>
        <w:tc>
          <w:tcPr>
            <w:tcW w:w="5623" w:type="dxa"/>
          </w:tcPr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skorygować omyłkę pisarską.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s</w:t>
            </w:r>
            <w:r w:rsidRPr="00AD5478">
              <w:rPr>
                <w:rFonts w:ascii="Arial" w:hAnsi="Arial" w:cs="Arial"/>
              </w:rPr>
              <w:t>zczegółowy opis przestrzeni zdegradowanej w Parku Wolności w Gniewkowie</w:t>
            </w:r>
            <w:r>
              <w:rPr>
                <w:rFonts w:ascii="Arial" w:hAnsi="Arial" w:cs="Arial"/>
              </w:rPr>
              <w:t xml:space="preserve"> (w rozdziale 3.).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Pr="0049083A" w:rsidRDefault="00041CF0" w:rsidP="00492CA5">
            <w:pPr>
              <w:jc w:val="both"/>
              <w:rPr>
                <w:rFonts w:ascii="Arial" w:hAnsi="Arial" w:cs="Arial"/>
              </w:rPr>
            </w:pPr>
            <w:r w:rsidRPr="0049083A">
              <w:rPr>
                <w:rFonts w:ascii="Arial" w:hAnsi="Arial" w:cs="Arial"/>
              </w:rPr>
              <w:t>Z aktualnego “Lokalnego Planu Rewitalizacji Gminy Gniewkowo na lata 2016-2023 wynika, że w</w:t>
            </w:r>
            <w:r>
              <w:rPr>
                <w:rFonts w:ascii="Arial" w:hAnsi="Arial" w:cs="Arial"/>
              </w:rPr>
              <w:t xml:space="preserve"> </w:t>
            </w:r>
            <w:r w:rsidRPr="0049083A">
              <w:rPr>
                <w:rFonts w:ascii="Arial" w:hAnsi="Arial" w:cs="Arial"/>
              </w:rPr>
              <w:t>Parku Wolności mają powstać:</w:t>
            </w:r>
          </w:p>
          <w:p w:rsidR="00041CF0" w:rsidRPr="0049083A" w:rsidRDefault="00041CF0" w:rsidP="00492CA5">
            <w:pPr>
              <w:jc w:val="both"/>
              <w:rPr>
                <w:rFonts w:ascii="Arial" w:hAnsi="Arial" w:cs="Arial"/>
              </w:rPr>
            </w:pPr>
            <w:r w:rsidRPr="0049083A">
              <w:rPr>
                <w:rFonts w:ascii="Arial" w:hAnsi="Arial" w:cs="Arial"/>
              </w:rPr>
              <w:t>- Centrum Integracji Międzypokoleniowej,</w:t>
            </w:r>
          </w:p>
          <w:p w:rsidR="00041CF0" w:rsidRPr="0049083A" w:rsidRDefault="00041CF0" w:rsidP="00492CA5">
            <w:pPr>
              <w:jc w:val="both"/>
              <w:rPr>
                <w:rFonts w:ascii="Arial" w:hAnsi="Arial" w:cs="Arial"/>
              </w:rPr>
            </w:pPr>
            <w:r w:rsidRPr="0049083A">
              <w:rPr>
                <w:rFonts w:ascii="Arial" w:hAnsi="Arial" w:cs="Arial"/>
              </w:rPr>
              <w:t xml:space="preserve">- strefa rekreacji (obejmująca teren zadrzewiony, ścieżki do </w:t>
            </w:r>
            <w:proofErr w:type="spellStart"/>
            <w:r w:rsidRPr="0049083A">
              <w:rPr>
                <w:rFonts w:ascii="Arial" w:hAnsi="Arial" w:cs="Arial"/>
              </w:rPr>
              <w:t>nordic</w:t>
            </w:r>
            <w:proofErr w:type="spellEnd"/>
            <w:r w:rsidRPr="0049083A">
              <w:rPr>
                <w:rFonts w:ascii="Arial" w:hAnsi="Arial" w:cs="Arial"/>
              </w:rPr>
              <w:t xml:space="preserve"> </w:t>
            </w:r>
            <w:proofErr w:type="spellStart"/>
            <w:r w:rsidRPr="0049083A">
              <w:rPr>
                <w:rFonts w:ascii="Arial" w:hAnsi="Arial" w:cs="Arial"/>
              </w:rPr>
              <w:t>walking</w:t>
            </w:r>
            <w:proofErr w:type="spellEnd"/>
            <w:r w:rsidRPr="0049083A">
              <w:rPr>
                <w:rFonts w:ascii="Arial" w:hAnsi="Arial" w:cs="Arial"/>
              </w:rPr>
              <w:t>, boisko wielofunkcyjne</w:t>
            </w:r>
            <w:r>
              <w:rPr>
                <w:rFonts w:ascii="Arial" w:hAnsi="Arial" w:cs="Arial"/>
              </w:rPr>
              <w:t xml:space="preserve"> </w:t>
            </w:r>
            <w:r w:rsidRPr="0049083A">
              <w:rPr>
                <w:rFonts w:ascii="Arial" w:hAnsi="Arial" w:cs="Arial"/>
              </w:rPr>
              <w:t>i plenerową strefę ruchu),</w:t>
            </w:r>
          </w:p>
          <w:p w:rsidR="00041CF0" w:rsidRPr="0049083A" w:rsidRDefault="00041CF0" w:rsidP="00492CA5">
            <w:pPr>
              <w:jc w:val="both"/>
              <w:rPr>
                <w:rFonts w:ascii="Arial" w:hAnsi="Arial" w:cs="Arial"/>
              </w:rPr>
            </w:pPr>
            <w:r w:rsidRPr="0049083A">
              <w:rPr>
                <w:rFonts w:ascii="Arial" w:hAnsi="Arial" w:cs="Arial"/>
              </w:rPr>
              <w:t>- strefa kultury (scena plenerowa z widownią).</w:t>
            </w:r>
          </w:p>
          <w:p w:rsidR="00041CF0" w:rsidRPr="0049083A" w:rsidRDefault="00041CF0" w:rsidP="00492CA5">
            <w:pPr>
              <w:jc w:val="both"/>
              <w:rPr>
                <w:rFonts w:ascii="Arial" w:hAnsi="Arial" w:cs="Arial"/>
              </w:rPr>
            </w:pPr>
            <w:r w:rsidRPr="0049083A">
              <w:rPr>
                <w:rFonts w:ascii="Arial" w:hAnsi="Arial" w:cs="Arial"/>
              </w:rPr>
              <w:t>Z opisu Centrum Integracji Międzypokoleniowej wynika, że ma ono służyć seniorom. Moje</w:t>
            </w:r>
            <w:r>
              <w:rPr>
                <w:rFonts w:ascii="Arial" w:hAnsi="Arial" w:cs="Arial"/>
              </w:rPr>
              <w:t xml:space="preserve"> </w:t>
            </w:r>
            <w:r w:rsidRPr="0049083A">
              <w:rPr>
                <w:rFonts w:ascii="Arial" w:hAnsi="Arial" w:cs="Arial"/>
              </w:rPr>
              <w:t xml:space="preserve">pytanie: dlaczego to Centrum ma powstać skoro właśnie powstaje Klub Seniora przy ul. 700-lecia? Z opisów Klubu Seniora jakie znalazłam w </w:t>
            </w:r>
            <w:proofErr w:type="spellStart"/>
            <w:r w:rsidRPr="0049083A">
              <w:rPr>
                <w:rFonts w:ascii="Arial" w:hAnsi="Arial" w:cs="Arial"/>
              </w:rPr>
              <w:t>internecie</w:t>
            </w:r>
            <w:proofErr w:type="spellEnd"/>
            <w:r w:rsidRPr="0049083A">
              <w:rPr>
                <w:rFonts w:ascii="Arial" w:hAnsi="Arial" w:cs="Arial"/>
              </w:rPr>
              <w:t xml:space="preserve"> m.in. tutaj:</w:t>
            </w:r>
          </w:p>
          <w:p w:rsidR="00041CF0" w:rsidRPr="0049083A" w:rsidRDefault="00041CF0" w:rsidP="00492CA5">
            <w:pPr>
              <w:jc w:val="both"/>
              <w:rPr>
                <w:rFonts w:ascii="Arial" w:hAnsi="Arial" w:cs="Arial"/>
              </w:rPr>
            </w:pPr>
            <w:r w:rsidRPr="0049083A">
              <w:rPr>
                <w:rFonts w:ascii="Arial" w:hAnsi="Arial" w:cs="Arial"/>
              </w:rPr>
              <w:t>https://bydgoszcz.tvp.pl/42643664/seniorzy-moga-sie-tam-spotkac-pospiewac-potanczycpowstana-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49083A">
              <w:rPr>
                <w:rFonts w:ascii="Arial" w:hAnsi="Arial" w:cs="Arial"/>
              </w:rPr>
              <w:t>kolejne-kluby</w:t>
            </w:r>
            <w:r>
              <w:rPr>
                <w:rFonts w:ascii="Arial" w:hAnsi="Arial" w:cs="Arial"/>
              </w:rPr>
              <w:t xml:space="preserve"> </w:t>
            </w:r>
            <w:r w:rsidRPr="0049083A">
              <w:rPr>
                <w:rFonts w:ascii="Arial" w:hAnsi="Arial" w:cs="Arial"/>
              </w:rPr>
              <w:t>wynika, że zakres działalności Klubu Seniora w Gniewkowie będzie pokrywał się z działalnością</w:t>
            </w:r>
            <w:r>
              <w:rPr>
                <w:rFonts w:ascii="Arial" w:hAnsi="Arial" w:cs="Arial"/>
              </w:rPr>
              <w:t xml:space="preserve"> </w:t>
            </w:r>
            <w:r w:rsidRPr="0049083A">
              <w:rPr>
                <w:rFonts w:ascii="Arial" w:hAnsi="Arial" w:cs="Arial"/>
              </w:rPr>
              <w:t>Centrum Integracji Międzypokoleniowej w Parku Wolności. Po co więc powielać tego typu</w:t>
            </w:r>
            <w:r>
              <w:rPr>
                <w:rFonts w:ascii="Arial" w:hAnsi="Arial" w:cs="Arial"/>
              </w:rPr>
              <w:t xml:space="preserve"> </w:t>
            </w:r>
            <w:r w:rsidRPr="0049083A">
              <w:rPr>
                <w:rFonts w:ascii="Arial" w:hAnsi="Arial" w:cs="Arial"/>
              </w:rPr>
              <w:t xml:space="preserve">instytucję w tak </w:t>
            </w:r>
            <w:r w:rsidRPr="0049083A">
              <w:rPr>
                <w:rFonts w:ascii="Arial" w:hAnsi="Arial" w:cs="Arial"/>
              </w:rPr>
              <w:lastRenderedPageBreak/>
              <w:t>niewielkim mieście jak nasze?</w:t>
            </w:r>
          </w:p>
        </w:tc>
        <w:tc>
          <w:tcPr>
            <w:tcW w:w="5623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Centrum Integracji Międzypokoleniowej to nazwa budynku, który powstanie w wyniku rozbudowy i modernizacji istniejącego pustostanu. Nie planuje się powoływać nowej instytucji czy organizacji o takiej nazwie. W budynku przewidziano miejsce do działalności istniejących już organizacji seniorskich, potrzeba taka zgłaszana była przez mieszkańców Gniewkowa od 2015 roku. Podkreślić należy, że na terenie miasta Gniewkowo mieszka aż 1.595 osób w wieku poprodukcyjnym (najnowsze dane GUS z końca 2018 r.), od momentu rozpoczęcia prac nad LPR w 2015 r. przybyło aż 100 osób w podeszłym wieku. Jedna placówka w mieście nie będzie w stanie zapewnić opieki nad wszystkimi potrzebującymi.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Dodatkowo, obszar rewitalizacji w Gniewkowie stanowi jedynie centralna część miasta (wyznaczona i opisana szczegółowo w rozdziale 3.1 i 3.3 LPR), która nie obejmuje ul. 700-lecia i funkcjonujących tam instytucji i placówek.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</w:p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zmian w dokumencie.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brak.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IZ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5F71C4">
              <w:rPr>
                <w:rFonts w:ascii="Arial" w:hAnsi="Arial" w:cs="Arial"/>
              </w:rPr>
              <w:t>Jeśli chodzi o planowaną strefę rekreacji to zawiera ona nieaktualne już informacje. Mam na myśli</w:t>
            </w:r>
            <w:r>
              <w:rPr>
                <w:rFonts w:ascii="Arial" w:hAnsi="Arial" w:cs="Arial"/>
              </w:rPr>
              <w:t xml:space="preserve"> </w:t>
            </w:r>
            <w:r w:rsidRPr="005F71C4">
              <w:rPr>
                <w:rFonts w:ascii="Arial" w:hAnsi="Arial" w:cs="Arial"/>
              </w:rPr>
              <w:t>zdanie: “Jedynymi innymi publicznymi obiektami aktywizacji społecznej, które znajdują się w</w:t>
            </w:r>
            <w:r>
              <w:rPr>
                <w:rFonts w:ascii="Arial" w:hAnsi="Arial" w:cs="Arial"/>
              </w:rPr>
              <w:t xml:space="preserve"> </w:t>
            </w:r>
            <w:r w:rsidRPr="005F71C4">
              <w:rPr>
                <w:rFonts w:ascii="Arial" w:hAnsi="Arial" w:cs="Arial"/>
              </w:rPr>
              <w:t>odległości 1 km od granic przestrzeni zdegradowanej są stadion sportowy (zajmujący działkę</w:t>
            </w:r>
            <w:r>
              <w:rPr>
                <w:rFonts w:ascii="Arial" w:hAnsi="Arial" w:cs="Arial"/>
              </w:rPr>
              <w:t xml:space="preserve"> </w:t>
            </w:r>
            <w:r w:rsidRPr="005F71C4">
              <w:rPr>
                <w:rFonts w:ascii="Arial" w:hAnsi="Arial" w:cs="Arial"/>
              </w:rPr>
              <w:t>obok Parku Wolności) oraz siłownia plenerowa, zlokalizowana przy budynku Szkoły Branżowej I</w:t>
            </w:r>
            <w:r>
              <w:rPr>
                <w:rFonts w:ascii="Arial" w:hAnsi="Arial" w:cs="Arial"/>
              </w:rPr>
              <w:t xml:space="preserve"> </w:t>
            </w:r>
            <w:r w:rsidRPr="005F71C4">
              <w:rPr>
                <w:rFonts w:ascii="Arial" w:hAnsi="Arial" w:cs="Arial"/>
              </w:rPr>
              <w:t>stopnia.” Od czasu powstania Planu Rewitalizacji przy Szkole Branżowej powstały 2 boiska -</w:t>
            </w:r>
            <w:r>
              <w:rPr>
                <w:rFonts w:ascii="Arial" w:hAnsi="Arial" w:cs="Arial"/>
              </w:rPr>
              <w:t xml:space="preserve"> </w:t>
            </w:r>
            <w:r w:rsidRPr="005F71C4">
              <w:rPr>
                <w:rFonts w:ascii="Arial" w:hAnsi="Arial" w:cs="Arial"/>
              </w:rPr>
              <w:t>jedno wielofunkcyjne i jedno do siatkówki plażowej.</w:t>
            </w:r>
          </w:p>
        </w:tc>
        <w:tc>
          <w:tcPr>
            <w:tcW w:w="5623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lipcu 2018 r. przy Szkole Branżowej I stopnia powstało boisko wielofunkcyjne. Pomysł stworzenia w pobliżu boiska do siatkówki plażowej zdobył najwięcej głosów w miejskiej części budżetu obywatelskiego w 2018 r., </w:t>
            </w:r>
            <w:r w:rsidRPr="00DD4B4D">
              <w:rPr>
                <w:rFonts w:ascii="Arial" w:hAnsi="Arial" w:cs="Arial"/>
              </w:rPr>
              <w:t>ale inwestycja nie została do tej pory zakończona.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</w:p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dodać informacje o powstaniu boiska wielofunkcyjnego przy Szkole Branż</w:t>
            </w:r>
            <w:bookmarkStart w:id="0" w:name="_GoBack"/>
            <w:bookmarkEnd w:id="0"/>
            <w:r>
              <w:rPr>
                <w:rFonts w:ascii="Arial" w:hAnsi="Arial" w:cs="Arial"/>
              </w:rPr>
              <w:t>owej I stopnia.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s</w:t>
            </w:r>
            <w:r w:rsidRPr="00AD5478">
              <w:rPr>
                <w:rFonts w:ascii="Arial" w:hAnsi="Arial" w:cs="Arial"/>
              </w:rPr>
              <w:t>zczegółowy opis przestrzeni zdegradowanej w Parku Wolności w Gniewkowie</w:t>
            </w:r>
            <w:r>
              <w:rPr>
                <w:rFonts w:ascii="Arial" w:hAnsi="Arial" w:cs="Arial"/>
              </w:rPr>
              <w:t xml:space="preserve"> (w rozdziale 3.).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032329">
              <w:rPr>
                <w:rFonts w:ascii="Arial" w:hAnsi="Arial" w:cs="Arial"/>
              </w:rPr>
              <w:t>Moje pytanie: czy w związku z tym powinno</w:t>
            </w:r>
            <w:r>
              <w:rPr>
                <w:rFonts w:ascii="Arial" w:hAnsi="Arial" w:cs="Arial"/>
              </w:rPr>
              <w:t xml:space="preserve"> </w:t>
            </w:r>
            <w:r w:rsidRPr="00032329">
              <w:rPr>
                <w:rFonts w:ascii="Arial" w:hAnsi="Arial" w:cs="Arial"/>
              </w:rPr>
              <w:t>powstać w Parku Wolności kolejne boisko?</w:t>
            </w:r>
          </w:p>
        </w:tc>
        <w:tc>
          <w:tcPr>
            <w:tcW w:w="5623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Istniejące boisko wielofunkcyjne jest wykorzystywane przede wszystkim na potrzeby szkoły, co potwierdzają zapisy w regulaminie obiektu. Łączne zapotrzebowanie okolicznych mieszkańców, uczniów szkoły i pobliskiego Środowiskowego Domu Samopomocy przekracza możliwości tego jednego, niewielkiego obiektu. Nowe boisko w Parku Wolności wykonane będzie w innych technologiach i będzie pełniło inne funkcje, rozszerzając te dostępne w obiekcie szkolnym o możliwość organizacji zawodów drużynowych (trzy niezależne płyty do rozgrywek), imprez, festynów (na kilkaset osób) itp.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</w:p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Brak zmian w dokumencie.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brak.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IZ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871B3B">
              <w:rPr>
                <w:rFonts w:ascii="Arial" w:hAnsi="Arial" w:cs="Arial"/>
              </w:rPr>
              <w:t>Dodatkowo to boisko wg Planu Rewitalizacji ma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powstać na terenie obecnego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kortu tenisowego, który - jak dowiedziałam się z różnych źródeł -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powstał na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terenie zniszczonego cmentarza żydowskiego. Moim zdaniem jest to wstyd dla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naszego miasta. Niestety - co się stało, to się nie “odstanie”, ale czy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rzeczywiście uważacie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Państwo, że to miejsce powinno być w jakikolwiek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sposób użytkowane. Możemy oczywiście, tak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jak cały czas ma to miejsce,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udawać, że tego cmentarza nigdy tam nie było, ale czy tak powinno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być?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Zresztą to udawanie bardzo dobrze nam idzie, bo ja o istnieniu cmentarza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dowiedziałam się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dopiero niedawno z komentarzy na jednym z lokalnych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portali informacyjnych, a następnie z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 xml:space="preserve">niedawnego artykułu w </w:t>
            </w:r>
            <w:proofErr w:type="spellStart"/>
            <w:r w:rsidRPr="00871B3B">
              <w:rPr>
                <w:rFonts w:ascii="Arial" w:hAnsi="Arial" w:cs="Arial"/>
              </w:rPr>
              <w:t>Gniewkoramie</w:t>
            </w:r>
            <w:proofErr w:type="spellEnd"/>
            <w:r w:rsidRPr="00871B3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Moje pytanie: czy nie można tego kortu zamienić na np.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fragment zieleni i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 xml:space="preserve">upamiętnić cmentarz choćby niewielką tablicą? Szukałam w </w:t>
            </w:r>
            <w:proofErr w:type="spellStart"/>
            <w:r w:rsidRPr="00871B3B">
              <w:rPr>
                <w:rFonts w:ascii="Arial" w:hAnsi="Arial" w:cs="Arial"/>
              </w:rPr>
              <w:t>internecie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informacji jak inne miejsca w Polsce uporały się z taką historią i z przykrością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stwierdzam, że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powinniśmy się wstydzić. Jest strona, która upamiętnia miejsca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ważne dla społeczności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żydowskiej i kiedy kliknie się na ikonkę cmentarza na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mapie Gniewkowa, która się tam wyświetla,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oto co widzimy:</w:t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Pr="00046ADD">
                <w:rPr>
                  <w:rStyle w:val="Hipercze"/>
                  <w:rFonts w:ascii="Arial" w:hAnsi="Arial" w:cs="Arial"/>
                </w:rPr>
                <w:t>https://sztetl.org.pl/pl/file/28037?ref=gallery&amp;town</w:t>
              </w:r>
            </w:hyperlink>
          </w:p>
          <w:p w:rsidR="00041CF0" w:rsidRPr="00871B3B" w:rsidRDefault="00041CF0" w:rsidP="00492CA5">
            <w:pPr>
              <w:jc w:val="both"/>
              <w:rPr>
                <w:rFonts w:ascii="Arial" w:hAnsi="Arial" w:cs="Arial"/>
              </w:rPr>
            </w:pPr>
            <w:r w:rsidRPr="00871B3B">
              <w:rPr>
                <w:rFonts w:ascii="Arial" w:hAnsi="Arial" w:cs="Arial"/>
              </w:rPr>
              <w:t>=Gniewkowo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&amp;townID=289&amp;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871B3B">
              <w:rPr>
                <w:rFonts w:ascii="Arial" w:hAnsi="Arial" w:cs="Arial"/>
              </w:rPr>
              <w:t xml:space="preserve">Pozostawię ten widok bez komentarza. Napiszę </w:t>
            </w:r>
            <w:r w:rsidRPr="00871B3B">
              <w:rPr>
                <w:rFonts w:ascii="Arial" w:hAnsi="Arial" w:cs="Arial"/>
              </w:rPr>
              <w:lastRenderedPageBreak/>
              <w:t>tylko jeszcze, że w kontekście pamięci tego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miejsca zdanie z Planu Rewitalizacji: “Na terenie po korcie</w:t>
            </w:r>
            <w:r>
              <w:t xml:space="preserve"> </w:t>
            </w:r>
            <w:r w:rsidRPr="00871B3B">
              <w:rPr>
                <w:rFonts w:ascii="Arial" w:hAnsi="Arial" w:cs="Arial"/>
              </w:rPr>
              <w:t>tenisowym zostaną przywrócone</w:t>
            </w:r>
            <w:r>
              <w:rPr>
                <w:rFonts w:ascii="Arial" w:hAnsi="Arial" w:cs="Arial"/>
              </w:rPr>
              <w:t xml:space="preserve"> </w:t>
            </w:r>
            <w:r w:rsidRPr="00871B3B">
              <w:rPr>
                <w:rFonts w:ascii="Arial" w:hAnsi="Arial" w:cs="Arial"/>
              </w:rPr>
              <w:t>funkcje rekreacyjne.” brzmi po prostu makabrycznie.</w:t>
            </w:r>
          </w:p>
        </w:tc>
        <w:tc>
          <w:tcPr>
            <w:tcW w:w="5623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Zgodnie z danymi w Gminnej Ewidencji Zabytków (dostępnej po kliknięciu „Zabytki” na stronie Urzędu Miejskiego </w:t>
            </w:r>
            <w:hyperlink r:id="rId12" w:history="1">
              <w:r w:rsidRPr="00046ADD">
                <w:rPr>
                  <w:rStyle w:val="Hipercze"/>
                  <w:rFonts w:ascii="Arial" w:hAnsi="Arial" w:cs="Arial"/>
                </w:rPr>
                <w:t>http://gniewkowo.com.pl/</w:t>
              </w:r>
            </w:hyperlink>
            <w:r>
              <w:rPr>
                <w:rFonts w:ascii="Arial" w:hAnsi="Arial" w:cs="Arial"/>
              </w:rPr>
              <w:t xml:space="preserve">), cmentarz żydowski z XIX wieku zlokalizowany jest w południowej części działki nr 21 (pomiędzy istniejącą ścieżką i dawnym placem tanecznym, obok dawnej sceny plenerowej, około 30 metrów na południe od granicy kortu). W ramach rewitalizacji nie będą prowadzone żadne prace na tym fragmencie terenu, a dotychczasowa infrastruktura kulturalna (scena i widownia zastępująca plac) zostanie przeniesiona w stronę stadionu, tak żeby nie zakłócać spokoju zmarłych i zachować szacunek dla tego miejsca. 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ramach działania 6.2 RPO WKP koszt instalacji tablicy upamiętniającej cmentarz żydowski nie będzie kosztem </w:t>
            </w:r>
            <w:proofErr w:type="spellStart"/>
            <w:r>
              <w:rPr>
                <w:rFonts w:ascii="Arial" w:hAnsi="Arial" w:cs="Arial"/>
              </w:rPr>
              <w:t>kwalifikowalnym</w:t>
            </w:r>
            <w:proofErr w:type="spellEnd"/>
            <w:r>
              <w:rPr>
                <w:rFonts w:ascii="Arial" w:hAnsi="Arial" w:cs="Arial"/>
              </w:rPr>
              <w:t>. Taki gest może być sfinansowany ze środków Gminy Gniewkowo (poza LPR).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</w:p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zmian w dokumencie.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brak.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IZ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Pr="007E79DC" w:rsidRDefault="00041CF0" w:rsidP="00492CA5">
            <w:pPr>
              <w:jc w:val="both"/>
              <w:rPr>
                <w:rFonts w:ascii="Arial" w:hAnsi="Arial" w:cs="Arial"/>
              </w:rPr>
            </w:pPr>
            <w:r w:rsidRPr="007E79DC">
              <w:rPr>
                <w:rFonts w:ascii="Arial" w:hAnsi="Arial" w:cs="Arial"/>
              </w:rPr>
              <w:t>Jeśli chodzi o bardzo szumnie zwaną strefę kultury czyli scenę z widownią. To czy rzeczywiście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jest ona nam potrzebna? Jej powstanie zostało umotywowane w następujący sposób: “W strefie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kultury możliwe będzie profesjonalne prezentowanie dorobku kulturowego mieszkańców (np.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Zespół Ludowy „Gniewkowianie”, „</w:t>
            </w:r>
            <w:proofErr w:type="spellStart"/>
            <w:r w:rsidRPr="007E79DC">
              <w:rPr>
                <w:rFonts w:ascii="Arial" w:hAnsi="Arial" w:cs="Arial"/>
              </w:rPr>
              <w:t>Wierzchosławiczanie</w:t>
            </w:r>
            <w:proofErr w:type="spellEnd"/>
            <w:r w:rsidRPr="007E79DC">
              <w:rPr>
                <w:rFonts w:ascii="Arial" w:hAnsi="Arial" w:cs="Arial"/>
              </w:rPr>
              <w:t>”, chór szkolny Allegretto, Zakładowy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Chór Pracowniczy Przyjaźń). Brak odpowiedniego zaplecza ogranicza możliwości naszego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ośrodka kultury, który odnotowuje duże zainteresowanie zajęciami o charakterze teatralnym,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komediowym i muzycznym zarówno ze strony najmłodszych, jak i najstarszych mieszkańców.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Brakuje jednak miejsc prób i występów dla tego typu grup.” Zastanawia mnie skąd autorka Planu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Rewitalizacji wzięła te informacje, bo wszyscy doskonale wiemy, że dotychczas w Gniewkowie</w:t>
            </w:r>
          </w:p>
          <w:p w:rsidR="00041CF0" w:rsidRPr="007E79DC" w:rsidRDefault="00041CF0" w:rsidP="00492CA5">
            <w:pPr>
              <w:jc w:val="both"/>
              <w:rPr>
                <w:rFonts w:ascii="Arial" w:hAnsi="Arial" w:cs="Arial"/>
              </w:rPr>
            </w:pPr>
            <w:r w:rsidRPr="007E79DC">
              <w:rPr>
                <w:rFonts w:ascii="Arial" w:hAnsi="Arial" w:cs="Arial"/>
              </w:rPr>
              <w:t>odbywał się jeden duży koncert rocznie (z okazji Dni Gniewkowa), który wymagał dużego terenu i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7E79DC">
              <w:rPr>
                <w:rFonts w:ascii="Arial" w:hAnsi="Arial" w:cs="Arial"/>
              </w:rPr>
              <w:t>wtedy odbywał się on na stadionie. Zespoły lokalne występują przy okazji jarmarków na Rynku.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Bezsensem byłoby przenoszenie ich do parku. Koncerty innych zespołów oraz jak ujęła to autorka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 xml:space="preserve">“zajęcia o charakterze teatralnym, </w:t>
            </w:r>
            <w:r w:rsidRPr="007E79DC">
              <w:rPr>
                <w:rFonts w:ascii="Arial" w:hAnsi="Arial" w:cs="Arial"/>
              </w:rPr>
              <w:lastRenderedPageBreak/>
              <w:t>komediowym i muzycznym” nie gromadzą w Gniewkowie dużej</w:t>
            </w:r>
            <w:r>
              <w:rPr>
                <w:rFonts w:ascii="Arial" w:hAnsi="Arial" w:cs="Arial"/>
              </w:rPr>
              <w:t xml:space="preserve"> </w:t>
            </w:r>
            <w:r w:rsidRPr="007E79DC">
              <w:rPr>
                <w:rFonts w:ascii="Arial" w:hAnsi="Arial" w:cs="Arial"/>
              </w:rPr>
              <w:t>widowni i w zupełności wystarcza im sala w ośrodku kultury, stary amfiteatr czy synagoga. Chcę</w:t>
            </w:r>
            <w:r>
              <w:rPr>
                <w:rFonts w:ascii="Arial" w:hAnsi="Arial" w:cs="Arial"/>
              </w:rPr>
              <w:t xml:space="preserve"> </w:t>
            </w:r>
            <w:r w:rsidRPr="00170CF3">
              <w:rPr>
                <w:rFonts w:ascii="Arial" w:hAnsi="Arial" w:cs="Arial"/>
              </w:rPr>
              <w:t>też dodać, że żyjemy w klimacie zmiennym przejściowym i od października do kwietnia ta scena</w:t>
            </w:r>
            <w:r>
              <w:rPr>
                <w:rFonts w:ascii="Arial" w:hAnsi="Arial" w:cs="Arial"/>
              </w:rPr>
              <w:t xml:space="preserve"> </w:t>
            </w:r>
            <w:r w:rsidRPr="00170CF3">
              <w:rPr>
                <w:rFonts w:ascii="Arial" w:hAnsi="Arial" w:cs="Arial"/>
              </w:rPr>
              <w:t>będzie stała pusta i będzie niszczała.</w:t>
            </w:r>
          </w:p>
        </w:tc>
        <w:tc>
          <w:tcPr>
            <w:tcW w:w="5623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 trakcie wszystkich spotkań konsultacyjnych w toku prac nad LPR (ostatnie 5 lat) podkreślano konieczność odtworzenia rozsypującej się sceny plenerowej i placu tanecznego, szpecących Park Wolności i stwarzających zagrożenie dla bezpieczeństwa mieszkańców. Informacje na temat działalności artystycznej pochodzą od </w:t>
            </w:r>
            <w:proofErr w:type="spellStart"/>
            <w:r>
              <w:rPr>
                <w:rFonts w:ascii="Arial" w:hAnsi="Arial" w:cs="Arial"/>
              </w:rPr>
              <w:t>MGOKSiR</w:t>
            </w:r>
            <w:proofErr w:type="spellEnd"/>
            <w:r>
              <w:rPr>
                <w:rFonts w:ascii="Arial" w:hAnsi="Arial" w:cs="Arial"/>
              </w:rPr>
              <w:t xml:space="preserve"> i samych grup artystycznych, a założeniem rewitalizacji jest odtwarzanie i rozwijanie kluczowych funkcji, a nie ich likwidacja. Zmiany klimatyczne obserwowane w ostatnich 20 latach pozwalają zakładać, że ś</w:t>
            </w:r>
            <w:r>
              <w:t xml:space="preserve">redni </w:t>
            </w:r>
            <w:r>
              <w:rPr>
                <w:rFonts w:ascii="Arial" w:hAnsi="Arial" w:cs="Arial"/>
              </w:rPr>
              <w:t>czas użytkowania obiektów plenerowych w kolejnych latach ulegnie wydłużeniu.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</w:p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zmian w dokumencie.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brak.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IZ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Pr="00170CF3" w:rsidRDefault="00041CF0" w:rsidP="00492CA5">
            <w:pPr>
              <w:jc w:val="both"/>
              <w:rPr>
                <w:rFonts w:ascii="Arial" w:hAnsi="Arial" w:cs="Arial"/>
              </w:rPr>
            </w:pPr>
            <w:r w:rsidRPr="00170CF3">
              <w:rPr>
                <w:rFonts w:ascii="Arial" w:hAnsi="Arial" w:cs="Arial"/>
              </w:rPr>
              <w:t>Osobną kwestią pozostaje dla mnie jak autorka Planu Rewitalizacji planuje pomieścić na terenie</w:t>
            </w:r>
          </w:p>
          <w:p w:rsidR="00041CF0" w:rsidRPr="00170CF3" w:rsidRDefault="00041CF0" w:rsidP="00492CA5">
            <w:pPr>
              <w:jc w:val="both"/>
              <w:rPr>
                <w:rFonts w:ascii="Arial" w:hAnsi="Arial" w:cs="Arial"/>
              </w:rPr>
            </w:pPr>
            <w:r w:rsidRPr="00170CF3">
              <w:rPr>
                <w:rFonts w:ascii="Arial" w:hAnsi="Arial" w:cs="Arial"/>
              </w:rPr>
              <w:t>naszego parku wszystkie te atrakcje, tak aby park zachował swoją główną funkcję, czyli pozostał</w:t>
            </w:r>
          </w:p>
          <w:p w:rsidR="00041CF0" w:rsidRPr="00170CF3" w:rsidRDefault="00041CF0" w:rsidP="00492CA5">
            <w:pPr>
              <w:jc w:val="both"/>
              <w:rPr>
                <w:rFonts w:ascii="Arial" w:hAnsi="Arial" w:cs="Arial"/>
              </w:rPr>
            </w:pPr>
            <w:r w:rsidRPr="00170CF3">
              <w:rPr>
                <w:rFonts w:ascii="Arial" w:hAnsi="Arial" w:cs="Arial"/>
              </w:rPr>
              <w:t>parkiem - oprócz Centrum Integracji, sceny z widownią, boiska wielofunkcyjnego, siłowni</w:t>
            </w:r>
          </w:p>
          <w:p w:rsidR="00041CF0" w:rsidRPr="00170CF3" w:rsidRDefault="00041CF0" w:rsidP="00492CA5">
            <w:pPr>
              <w:jc w:val="both"/>
              <w:rPr>
                <w:rFonts w:ascii="Arial" w:hAnsi="Arial" w:cs="Arial"/>
              </w:rPr>
            </w:pPr>
            <w:r w:rsidRPr="00170CF3">
              <w:rPr>
                <w:rFonts w:ascii="Arial" w:hAnsi="Arial" w:cs="Arial"/>
              </w:rPr>
              <w:t>zewnętrznej, stolików piknikowych, stolików do gry w szachy oraz placu zabaw planuje bowiem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170CF3">
              <w:rPr>
                <w:rFonts w:ascii="Arial" w:hAnsi="Arial" w:cs="Arial"/>
              </w:rPr>
              <w:t>jeszcze umieścić 50 miejsc parkingowych(!)?</w:t>
            </w:r>
          </w:p>
        </w:tc>
        <w:tc>
          <w:tcPr>
            <w:tcW w:w="5623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Powierzchnia Parku Wolności wynosi ponad 5 hektarów, w ramach rewitalizacji nie zakłada się wycinania żadnych drzew (ewentualnie </w:t>
            </w:r>
            <w:proofErr w:type="spellStart"/>
            <w:r>
              <w:rPr>
                <w:rFonts w:ascii="Arial" w:hAnsi="Arial" w:cs="Arial"/>
              </w:rPr>
              <w:t>wg</w:t>
            </w:r>
            <w:proofErr w:type="spellEnd"/>
            <w:r>
              <w:rPr>
                <w:rFonts w:ascii="Arial" w:hAnsi="Arial" w:cs="Arial"/>
              </w:rPr>
              <w:t xml:space="preserve">. wskazań </w:t>
            </w:r>
            <w:proofErr w:type="spellStart"/>
            <w:r>
              <w:rPr>
                <w:rFonts w:ascii="Arial" w:hAnsi="Arial" w:cs="Arial"/>
              </w:rPr>
              <w:t>arborystów</w:t>
            </w:r>
            <w:proofErr w:type="spellEnd"/>
            <w:r>
              <w:rPr>
                <w:rFonts w:ascii="Arial" w:hAnsi="Arial" w:cs="Arial"/>
              </w:rPr>
              <w:t xml:space="preserve">, ze względów bezpieczeństwa), miejsca parkingowe powstaną wzdłuż zachodniej trybuny stadionu, na działce po basenie. W Urzędzie Miejskim do wglądu można uzyskać wstępną koncepcję zagospodarowania Parku Wolności, </w:t>
            </w:r>
            <w:r w:rsidRPr="006E4A21">
              <w:rPr>
                <w:rFonts w:ascii="Arial" w:hAnsi="Arial" w:cs="Arial"/>
              </w:rPr>
              <w:t xml:space="preserve">pokazującą rozmieszczenie wszystkich elementów. Pracownicy Urzędu Miejskiego przeprowadzili też </w:t>
            </w:r>
            <w:r>
              <w:rPr>
                <w:rFonts w:ascii="Arial" w:hAnsi="Arial" w:cs="Arial"/>
              </w:rPr>
              <w:t xml:space="preserve">we 09.2019 r. </w:t>
            </w:r>
            <w:r w:rsidRPr="006E4A21">
              <w:rPr>
                <w:rFonts w:ascii="Arial" w:hAnsi="Arial" w:cs="Arial"/>
              </w:rPr>
              <w:t>wizję lokalną w Parku, potwierdzającą wykonalność techniczną założeń LPR.</w:t>
            </w:r>
            <w:r>
              <w:t xml:space="preserve"> </w:t>
            </w:r>
            <w:r>
              <w:rPr>
                <w:rFonts w:ascii="Arial" w:hAnsi="Arial" w:cs="Arial"/>
              </w:rPr>
              <w:t>W zachodniej, zadrzewionej części Parku Wolności planowane jest albo odtworzenie istniejących tu kiedyś elementów (często z nowymi funkcjami) albo wkomponowanie nowych obiektów w istniejący drzewostan (stoły, ławki, urządzenia siłowni plenerowej itp.). Budynek CIM, scena plenerowa, widownia, plac zabaw, wodny plac zabaw i miejsca parkingowe powstaną na działce po basenie, bliżej stadionu.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</w:p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zmian w dokumencie.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lastRenderedPageBreak/>
              <w:t>Konieczne zmiany:</w:t>
            </w:r>
            <w:r>
              <w:rPr>
                <w:rFonts w:ascii="Arial" w:hAnsi="Arial" w:cs="Arial"/>
              </w:rPr>
              <w:t xml:space="preserve"> brak.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IZ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713D2C">
              <w:rPr>
                <w:rFonts w:ascii="Arial" w:hAnsi="Arial" w:cs="Arial"/>
              </w:rPr>
              <w:t>Podsumowując uważam, że propozycja zagospodarowania Parku Wolności wg aktualnego Planu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Rewitalizacji zawiera nieścisłości oraz jest kompletnie oderwana od rzeczywistości. Moje pytanie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jest: czy nasz park mógłby pozostać po prostu parkiem z alejkami spacerowymi, klombami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kwiatów i np. placem zabaw dla dzieci? Zamiast inicjować kolejną dużą inwestycję może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należałoby dokończyć inwestycje dotychczasowe np. zbudować zadaszenie nad stadionową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trybuną. Zresztą po co inicjować kolejne inwestycje - nawet jeżeli będzie na nie wysokie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dofinansowanie - skoro jest problem z utrzymaniem w porządku dotychczasowych inwestycji.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Mam tu na myśli fakt, że naprawa ogrodzeń boisk sportowych będzie sfinansowana z budżetu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obywatelskiego i ten fakt świadczy dobitnie o tym, że jesteśmy biedną gminą i nowe inwestycje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powinny być gruntownie przemyślane. Trzeba pamiętać, że wymienione w LPR inwestycje będą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generować koszty, które nie są w nich ujęte (np. ewentualne ogrodzenie, monitoring +</w:t>
            </w:r>
            <w:r>
              <w:rPr>
                <w:rFonts w:ascii="Arial" w:hAnsi="Arial" w:cs="Arial"/>
              </w:rPr>
              <w:t xml:space="preserve"> </w:t>
            </w:r>
            <w:r w:rsidRPr="00713D2C">
              <w:rPr>
                <w:rFonts w:ascii="Arial" w:hAnsi="Arial" w:cs="Arial"/>
              </w:rPr>
              <w:t>utrzymanie), a samorządy będą miały w zbliżających się latach mniej pieniędzy niż dotychczas.</w:t>
            </w:r>
          </w:p>
        </w:tc>
        <w:tc>
          <w:tcPr>
            <w:tcW w:w="5623" w:type="dxa"/>
          </w:tcPr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Brak. Do wyłącznej decyzji Rady Gminy.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brak/w razie przyjęcia: wszystkie opisy dla OR 1. Centrum Gniewkowa, redukcja kosztów i zakresu projektu nr 11 </w:t>
            </w:r>
            <w:r w:rsidRPr="00D30A67">
              <w:rPr>
                <w:rFonts w:ascii="Arial" w:hAnsi="Arial" w:cs="Arial"/>
              </w:rPr>
              <w:t>Zagospodarowanie Parku Wolności w Gniewkowie na cele rozwoju społecznego</w:t>
            </w:r>
            <w:r>
              <w:rPr>
                <w:rFonts w:ascii="Arial" w:hAnsi="Arial" w:cs="Arial"/>
              </w:rPr>
              <w:t>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35 Edukacja: jest napisane, że na terenie znajduje się szkoła podstawowa w Gniewkowie (1 z 2 budynków), obecnie stan jest inny. Są dwie szkoły.</w:t>
            </w:r>
          </w:p>
        </w:tc>
        <w:tc>
          <w:tcPr>
            <w:tcW w:w="5623" w:type="dxa"/>
          </w:tcPr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zaktualizować zapis.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tabela </w:t>
            </w:r>
            <w:r w:rsidRPr="00437AD9">
              <w:rPr>
                <w:rFonts w:ascii="Arial" w:hAnsi="Arial" w:cs="Arial"/>
              </w:rPr>
              <w:t>Dostępność usług na terenie OR 1. Centrum Gniewkowa</w:t>
            </w:r>
            <w:r>
              <w:rPr>
                <w:rFonts w:ascii="Arial" w:hAnsi="Arial" w:cs="Arial"/>
              </w:rPr>
              <w:t xml:space="preserve"> (w rozdziale 5.).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RP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38 Edukacja: najbliższa szkoła w Gniewkowie – czy to jest prawda, czy szkoła w Kijewie jest dalej?</w:t>
            </w:r>
          </w:p>
        </w:tc>
        <w:tc>
          <w:tcPr>
            <w:tcW w:w="5623" w:type="dxa"/>
          </w:tcPr>
          <w:p w:rsidR="00041CF0" w:rsidRPr="007E6A19" w:rsidRDefault="00041CF0" w:rsidP="00492CA5">
            <w:pPr>
              <w:jc w:val="both"/>
              <w:rPr>
                <w:rFonts w:ascii="Arial" w:hAnsi="Arial" w:cs="Arial"/>
                <w:b/>
                <w:bCs/>
              </w:rPr>
            </w:pPr>
            <w:r w:rsidRPr="007E6A19">
              <w:rPr>
                <w:rFonts w:ascii="Arial" w:hAnsi="Arial" w:cs="Arial"/>
                <w:b/>
                <w:bCs/>
              </w:rPr>
              <w:t>Rekomendacja: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zaktualizować zapis.</w:t>
            </w:r>
          </w:p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 w:rsidRPr="00D67AFD">
              <w:rPr>
                <w:rFonts w:ascii="Arial" w:hAnsi="Arial" w:cs="Arial"/>
                <w:b/>
                <w:bCs/>
              </w:rPr>
              <w:t>Konieczne zmiany:</w:t>
            </w:r>
            <w:r>
              <w:rPr>
                <w:rFonts w:ascii="Arial" w:hAnsi="Arial" w:cs="Arial"/>
              </w:rPr>
              <w:t xml:space="preserve"> tabela </w:t>
            </w:r>
            <w:r w:rsidRPr="00437AD9">
              <w:rPr>
                <w:rFonts w:ascii="Arial" w:hAnsi="Arial" w:cs="Arial"/>
              </w:rPr>
              <w:t xml:space="preserve">Dostępność usług na terenie OR </w:t>
            </w:r>
            <w:r>
              <w:rPr>
                <w:rFonts w:ascii="Arial" w:hAnsi="Arial" w:cs="Arial"/>
              </w:rPr>
              <w:t>2. Markowo (w rozdziale 5.).</w:t>
            </w:r>
          </w:p>
        </w:tc>
      </w:tr>
      <w:tr w:rsidR="00041CF0" w:rsidTr="00492CA5">
        <w:trPr>
          <w:jc w:val="center"/>
        </w:trPr>
        <w:tc>
          <w:tcPr>
            <w:tcW w:w="1566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</w:t>
            </w:r>
          </w:p>
        </w:tc>
        <w:tc>
          <w:tcPr>
            <w:tcW w:w="1965" w:type="dxa"/>
            <w:vAlign w:val="center"/>
          </w:tcPr>
          <w:p w:rsidR="00041CF0" w:rsidRDefault="00041CF0" w:rsidP="00492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016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druku konsultacji jest (jak widać) niepraktyczna.</w:t>
            </w:r>
          </w:p>
        </w:tc>
        <w:tc>
          <w:tcPr>
            <w:tcW w:w="5623" w:type="dxa"/>
          </w:tcPr>
          <w:p w:rsidR="00041CF0" w:rsidRDefault="00041CF0" w:rsidP="00492C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toku ewentualnych kolejnych konsultacji społecznych LPR zastosujemy inny formularz, łatwiejszy do wypełnienia. </w:t>
            </w:r>
          </w:p>
        </w:tc>
      </w:tr>
    </w:tbl>
    <w:p w:rsidR="00041CF0" w:rsidRPr="00DA0A3A" w:rsidRDefault="00041CF0" w:rsidP="00041CF0">
      <w:pPr>
        <w:jc w:val="both"/>
        <w:rPr>
          <w:rFonts w:ascii="Arial" w:hAnsi="Arial" w:cs="Arial"/>
        </w:rPr>
      </w:pPr>
    </w:p>
    <w:p w:rsidR="00041CF0" w:rsidRDefault="00041CF0" w:rsidP="00A702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2B7" w:rsidRDefault="00A702B7" w:rsidP="00A70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3.Uzwględnienie zgłoszonych uwag i opinii w aktualizowanym dokumencie</w:t>
      </w:r>
      <w:r w:rsidR="004308A1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4791" w:rsidRPr="00041CF0" w:rsidRDefault="00041CF0">
      <w:r w:rsidRPr="00041CF0">
        <w:rPr>
          <w:rFonts w:ascii="Times New Roman" w:hAnsi="Times New Roman" w:cs="Times New Roman"/>
          <w:sz w:val="24"/>
          <w:szCs w:val="24"/>
        </w:rPr>
        <w:t>Tabela pkt. 2.</w:t>
      </w:r>
    </w:p>
    <w:sectPr w:rsidR="00664791" w:rsidRPr="00041CF0" w:rsidSect="00041C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F5" w:rsidRDefault="005F7EF5" w:rsidP="00041CF0">
      <w:pPr>
        <w:spacing w:after="0" w:line="240" w:lineRule="auto"/>
      </w:pPr>
      <w:r>
        <w:separator/>
      </w:r>
    </w:p>
  </w:endnote>
  <w:endnote w:type="continuationSeparator" w:id="0">
    <w:p w:rsidR="005F7EF5" w:rsidRDefault="005F7EF5" w:rsidP="0004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F5" w:rsidRDefault="005F7EF5" w:rsidP="00041CF0">
      <w:pPr>
        <w:spacing w:after="0" w:line="240" w:lineRule="auto"/>
      </w:pPr>
      <w:r>
        <w:separator/>
      </w:r>
    </w:p>
  </w:footnote>
  <w:footnote w:type="continuationSeparator" w:id="0">
    <w:p w:rsidR="005F7EF5" w:rsidRDefault="005F7EF5" w:rsidP="00041CF0">
      <w:pPr>
        <w:spacing w:after="0" w:line="240" w:lineRule="auto"/>
      </w:pPr>
      <w:r>
        <w:continuationSeparator/>
      </w:r>
    </w:p>
  </w:footnote>
  <w:footnote w:id="1">
    <w:p w:rsidR="00041CF0" w:rsidRDefault="00041CF0" w:rsidP="00041C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DB8">
        <w:rPr>
          <w:rFonts w:ascii="Arial" w:hAnsi="Arial" w:cs="Arial"/>
        </w:rPr>
        <w:t>Danymi osobowymi uczestników konsultacji społecznych administruje Urząd Mi</w:t>
      </w:r>
      <w:r w:rsidR="00EC132A">
        <w:rPr>
          <w:rFonts w:ascii="Arial" w:hAnsi="Arial" w:cs="Arial"/>
        </w:rPr>
        <w:t>ejski</w:t>
      </w:r>
      <w:r w:rsidRPr="00C42DB8">
        <w:rPr>
          <w:rFonts w:ascii="Arial" w:hAnsi="Arial" w:cs="Arial"/>
        </w:rPr>
        <w:t xml:space="preserve"> </w:t>
      </w:r>
      <w:proofErr w:type="spellStart"/>
      <w:r w:rsidRPr="00C42DB8">
        <w:rPr>
          <w:rFonts w:ascii="Arial" w:hAnsi="Arial" w:cs="Arial"/>
        </w:rPr>
        <w:t>w</w:t>
      </w:r>
      <w:proofErr w:type="spellEnd"/>
      <w:r w:rsidRPr="00C42DB8">
        <w:rPr>
          <w:rFonts w:ascii="Arial" w:hAnsi="Arial" w:cs="Arial"/>
        </w:rPr>
        <w:t xml:space="preserve"> Gniewkowie.</w:t>
      </w:r>
    </w:p>
  </w:footnote>
  <w:footnote w:id="2">
    <w:p w:rsidR="004308A1" w:rsidRDefault="004308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20B3">
        <w:rPr>
          <w:rFonts w:ascii="Arial" w:hAnsi="Arial" w:cs="Arial"/>
        </w:rPr>
        <w:t>Uwagi p. IZ nie zostały co prawda przesłane za pośrednictwem formularza uwag, zaś pismo p. RP wpłynęło po godz. 10.00, ale zostały uwzględnione w</w:t>
      </w:r>
      <w:r>
        <w:rPr>
          <w:rFonts w:ascii="Arial" w:hAnsi="Arial" w:cs="Arial"/>
        </w:rPr>
        <w:t> </w:t>
      </w:r>
      <w:r w:rsidRPr="00A220B3">
        <w:rPr>
          <w:rFonts w:ascii="Arial" w:hAnsi="Arial" w:cs="Arial"/>
        </w:rPr>
        <w:t>zestawieniu tabelarycznym i możliwe było przedstawienie rekomendacji odnośnie wprowadzenia ich w treść LPR.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2B7"/>
    <w:rsid w:val="00041CF0"/>
    <w:rsid w:val="00091735"/>
    <w:rsid w:val="004308A1"/>
    <w:rsid w:val="005F7EF5"/>
    <w:rsid w:val="006C45F7"/>
    <w:rsid w:val="006D5B7B"/>
    <w:rsid w:val="007E7649"/>
    <w:rsid w:val="00A702B7"/>
    <w:rsid w:val="00BA772E"/>
    <w:rsid w:val="00EC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2B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2B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F0"/>
    <w:rPr>
      <w:vertAlign w:val="superscript"/>
    </w:rPr>
  </w:style>
  <w:style w:type="table" w:styleId="Tabela-Siatka">
    <w:name w:val="Table Grid"/>
    <w:basedOn w:val="Standardowy"/>
    <w:uiPriority w:val="39"/>
    <w:rsid w:val="0004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iewkowo.bipgmina.pl/wiadomosci/1/wiadomosc/497563/burmistrz_gniewkowa_oglasza_przeprowadzenie_konsultacji_spolecz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gniewkowo.com.pl" TargetMode="External"/><Relationship Id="rId12" Type="http://schemas.openxmlformats.org/officeDocument/2006/relationships/hyperlink" Target="http://gniewkowo.com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ztetl.org.pl/pl/file/28037?ref=gallery&amp;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iewkowo.com.pl/aktualnosc-5067-konsultacje_spoleczne_dotycza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iewkowo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276B-260D-4F63-B037-DB64D078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2218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Sadowska</dc:creator>
  <cp:lastModifiedBy>Monika Sadowska</cp:lastModifiedBy>
  <cp:revision>3</cp:revision>
  <cp:lastPrinted>2019-12-06T07:15:00Z</cp:lastPrinted>
  <dcterms:created xsi:type="dcterms:W3CDTF">2019-12-06T07:15:00Z</dcterms:created>
  <dcterms:modified xsi:type="dcterms:W3CDTF">2019-12-06T07:31:00Z</dcterms:modified>
</cp:coreProperties>
</file>