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85249" w14:textId="389B44AD" w:rsidR="00706FC2" w:rsidRPr="00F37D3B" w:rsidRDefault="00F37D3B" w:rsidP="00F37D3B">
      <w:pPr>
        <w:spacing w:after="0" w:line="240" w:lineRule="auto"/>
        <w:ind w:left="3540" w:firstLine="708"/>
        <w:jc w:val="both"/>
        <w:rPr>
          <w:rFonts w:ascii="Times New Roman" w:eastAsia="Times New Roman" w:hAnsi="Times New Roman"/>
          <w:kern w:val="0"/>
          <w:lang w:eastAsia="pl-PL"/>
        </w:rPr>
      </w:pPr>
      <w:r w:rsidRPr="00F37D3B">
        <w:rPr>
          <w:rFonts w:ascii="Times New Roman" w:eastAsia="Times New Roman" w:hAnsi="Times New Roman"/>
          <w:kern w:val="0"/>
          <w:lang w:eastAsia="pl-PL"/>
        </w:rPr>
        <w:t xml:space="preserve">Załącznik nr 2 </w:t>
      </w:r>
    </w:p>
    <w:p w14:paraId="05F4A3B0" w14:textId="201B9BAA" w:rsidR="00F37D3B" w:rsidRPr="00F37D3B" w:rsidRDefault="00F37D3B" w:rsidP="00F37D3B">
      <w:pPr>
        <w:spacing w:after="0" w:line="240" w:lineRule="auto"/>
        <w:ind w:left="3540" w:firstLine="708"/>
        <w:jc w:val="both"/>
        <w:rPr>
          <w:rFonts w:ascii="Times New Roman" w:eastAsia="Times New Roman" w:hAnsi="Times New Roman"/>
          <w:kern w:val="0"/>
          <w:lang w:eastAsia="pl-PL"/>
        </w:rPr>
      </w:pPr>
      <w:r w:rsidRPr="00F37D3B">
        <w:rPr>
          <w:rFonts w:ascii="Times New Roman" w:eastAsia="Times New Roman" w:hAnsi="Times New Roman"/>
          <w:kern w:val="0"/>
          <w:lang w:eastAsia="pl-PL"/>
        </w:rPr>
        <w:t>Do uchwały nr…………</w:t>
      </w:r>
    </w:p>
    <w:p w14:paraId="6280DBA5" w14:textId="2A03E9F6" w:rsidR="00F37D3B" w:rsidRPr="00F37D3B" w:rsidRDefault="00F37D3B" w:rsidP="00F37D3B">
      <w:pPr>
        <w:spacing w:after="0" w:line="240" w:lineRule="auto"/>
        <w:ind w:left="3540" w:firstLine="708"/>
        <w:jc w:val="both"/>
        <w:rPr>
          <w:rFonts w:ascii="Times New Roman" w:eastAsia="Times New Roman" w:hAnsi="Times New Roman"/>
          <w:kern w:val="0"/>
          <w:lang w:eastAsia="pl-PL"/>
        </w:rPr>
      </w:pPr>
      <w:r w:rsidRPr="00F37D3B">
        <w:rPr>
          <w:rFonts w:ascii="Times New Roman" w:eastAsia="Times New Roman" w:hAnsi="Times New Roman"/>
          <w:kern w:val="0"/>
          <w:lang w:eastAsia="pl-PL"/>
        </w:rPr>
        <w:t xml:space="preserve">Rady Miejskiej Gminy Dobrzyca </w:t>
      </w:r>
    </w:p>
    <w:p w14:paraId="106E7C95" w14:textId="44197946" w:rsidR="00F37D3B" w:rsidRPr="00F37D3B" w:rsidRDefault="00F37D3B" w:rsidP="00F37D3B">
      <w:pPr>
        <w:spacing w:after="0" w:line="240" w:lineRule="auto"/>
        <w:ind w:left="3540" w:firstLine="708"/>
        <w:jc w:val="both"/>
        <w:rPr>
          <w:rFonts w:ascii="Times New Roman" w:eastAsia="Times New Roman" w:hAnsi="Times New Roman"/>
          <w:i/>
          <w:kern w:val="0"/>
          <w:lang w:eastAsia="pl-PL"/>
        </w:rPr>
      </w:pPr>
      <w:r w:rsidRPr="00F37D3B">
        <w:rPr>
          <w:rFonts w:ascii="Times New Roman" w:eastAsia="Times New Roman" w:hAnsi="Times New Roman"/>
          <w:kern w:val="0"/>
          <w:lang w:eastAsia="pl-PL"/>
        </w:rPr>
        <w:t>Z dnia …………..</w:t>
      </w:r>
    </w:p>
    <w:p w14:paraId="0F997557" w14:textId="77777777" w:rsidR="00706FC2" w:rsidRDefault="00706FC2">
      <w:pPr>
        <w:spacing w:after="0" w:line="240" w:lineRule="auto"/>
        <w:jc w:val="both"/>
        <w:rPr>
          <w:rFonts w:ascii="Times New Roman" w:eastAsia="Times New Roman" w:hAnsi="Times New Roman"/>
          <w:kern w:val="0"/>
          <w:lang w:eastAsia="pl-PL"/>
        </w:rPr>
      </w:pPr>
    </w:p>
    <w:p w14:paraId="0D3754A3" w14:textId="77777777" w:rsidR="00706FC2" w:rsidRPr="0093455D" w:rsidRDefault="00000000" w:rsidP="00F37D3B">
      <w:pPr>
        <w:spacing w:after="0" w:line="240" w:lineRule="auto"/>
        <w:jc w:val="center"/>
        <w:rPr>
          <w:rFonts w:ascii="Times New Roman" w:eastAsia="Times New Roman" w:hAnsi="Times New Roman"/>
          <w:b/>
          <w:kern w:val="0"/>
          <w:lang w:eastAsia="pl-PL"/>
        </w:rPr>
      </w:pPr>
      <w:r w:rsidRPr="0093455D">
        <w:rPr>
          <w:rFonts w:ascii="Times New Roman" w:eastAsia="Times New Roman" w:hAnsi="Times New Roman"/>
          <w:b/>
          <w:kern w:val="0"/>
          <w:lang w:eastAsia="pl-PL"/>
        </w:rPr>
        <w:t>WOJEWÓDZKI SĄD ADMINISTRACYJNY</w:t>
      </w:r>
    </w:p>
    <w:p w14:paraId="1EB6B660" w14:textId="110C1112" w:rsidR="00706FC2" w:rsidRPr="0093455D" w:rsidRDefault="00F37D3B" w:rsidP="00F37D3B">
      <w:pPr>
        <w:spacing w:after="0" w:line="240" w:lineRule="auto"/>
        <w:jc w:val="center"/>
        <w:rPr>
          <w:rFonts w:ascii="Times New Roman" w:eastAsia="Times New Roman" w:hAnsi="Times New Roman"/>
          <w:bCs/>
          <w:kern w:val="0"/>
          <w:lang w:eastAsia="pl-PL"/>
        </w:rPr>
      </w:pPr>
      <w:r>
        <w:rPr>
          <w:rFonts w:ascii="Times New Roman" w:eastAsia="Times New Roman" w:hAnsi="Times New Roman"/>
          <w:bCs/>
          <w:kern w:val="0"/>
          <w:lang w:eastAsia="pl-PL"/>
        </w:rPr>
        <w:t>u</w:t>
      </w:r>
      <w:r w:rsidRPr="0093455D">
        <w:rPr>
          <w:rFonts w:ascii="Times New Roman" w:eastAsia="Times New Roman" w:hAnsi="Times New Roman"/>
          <w:bCs/>
          <w:kern w:val="0"/>
          <w:lang w:eastAsia="pl-PL"/>
        </w:rPr>
        <w:t>l. Ratajczaka 10/12</w:t>
      </w:r>
    </w:p>
    <w:p w14:paraId="627F4D73" w14:textId="77777777" w:rsidR="00706FC2" w:rsidRPr="0093455D" w:rsidRDefault="00000000" w:rsidP="00F37D3B">
      <w:pPr>
        <w:spacing w:after="0" w:line="240" w:lineRule="auto"/>
        <w:jc w:val="center"/>
        <w:rPr>
          <w:rFonts w:ascii="Times New Roman" w:eastAsia="Times New Roman" w:hAnsi="Times New Roman"/>
          <w:bCs/>
          <w:kern w:val="0"/>
          <w:lang w:eastAsia="pl-PL"/>
        </w:rPr>
      </w:pPr>
      <w:r w:rsidRPr="0093455D">
        <w:rPr>
          <w:rFonts w:ascii="Times New Roman" w:eastAsia="Times New Roman" w:hAnsi="Times New Roman"/>
          <w:bCs/>
          <w:kern w:val="0"/>
          <w:lang w:eastAsia="pl-PL"/>
        </w:rPr>
        <w:t>61-815 Poznań</w:t>
      </w:r>
    </w:p>
    <w:p w14:paraId="48CB270B" w14:textId="77777777" w:rsidR="00706FC2" w:rsidRPr="0093455D" w:rsidRDefault="00706FC2">
      <w:pPr>
        <w:spacing w:after="0" w:line="240" w:lineRule="auto"/>
        <w:jc w:val="right"/>
        <w:rPr>
          <w:rFonts w:ascii="Times New Roman" w:eastAsia="Times New Roman" w:hAnsi="Times New Roman"/>
          <w:bCs/>
          <w:kern w:val="0"/>
          <w:lang w:eastAsia="pl-PL"/>
        </w:rPr>
      </w:pPr>
    </w:p>
    <w:p w14:paraId="34A5AAE9" w14:textId="77777777" w:rsidR="00706FC2" w:rsidRPr="0093455D" w:rsidRDefault="00000000" w:rsidP="00F37D3B">
      <w:pPr>
        <w:spacing w:after="0" w:line="240" w:lineRule="auto"/>
        <w:jc w:val="center"/>
      </w:pPr>
      <w:r w:rsidRPr="0093455D">
        <w:rPr>
          <w:rFonts w:ascii="Times New Roman" w:eastAsia="Times New Roman" w:hAnsi="Times New Roman"/>
          <w:b/>
          <w:kern w:val="0"/>
          <w:lang w:eastAsia="pl-PL"/>
        </w:rPr>
        <w:t xml:space="preserve">Skarżący: </w:t>
      </w:r>
      <w:r w:rsidRPr="0093455D">
        <w:rPr>
          <w:rFonts w:ascii="Times New Roman" w:eastAsia="Times New Roman" w:hAnsi="Times New Roman"/>
          <w:bCs/>
          <w:kern w:val="0"/>
          <w:lang w:eastAsia="pl-PL"/>
        </w:rPr>
        <w:t>Wojewoda Wielkopolski</w:t>
      </w:r>
    </w:p>
    <w:p w14:paraId="529A8549" w14:textId="07AFDEE9" w:rsidR="00706FC2" w:rsidRPr="0093455D" w:rsidRDefault="00F37D3B" w:rsidP="00F37D3B">
      <w:pPr>
        <w:spacing w:after="0" w:line="240" w:lineRule="auto"/>
        <w:jc w:val="center"/>
        <w:rPr>
          <w:rFonts w:ascii="Times New Roman" w:eastAsia="Times New Roman" w:hAnsi="Times New Roman"/>
          <w:bCs/>
          <w:kern w:val="0"/>
          <w:lang w:eastAsia="pl-PL"/>
        </w:rPr>
      </w:pPr>
      <w:r>
        <w:rPr>
          <w:rFonts w:ascii="Times New Roman" w:eastAsia="Times New Roman" w:hAnsi="Times New Roman"/>
          <w:bCs/>
          <w:kern w:val="0"/>
          <w:lang w:eastAsia="pl-PL"/>
        </w:rPr>
        <w:t>a</w:t>
      </w:r>
      <w:r w:rsidRPr="0093455D">
        <w:rPr>
          <w:rFonts w:ascii="Times New Roman" w:eastAsia="Times New Roman" w:hAnsi="Times New Roman"/>
          <w:bCs/>
          <w:kern w:val="0"/>
          <w:lang w:eastAsia="pl-PL"/>
        </w:rPr>
        <w:t>l. Niepodległości 16/18</w:t>
      </w:r>
    </w:p>
    <w:p w14:paraId="0CF816CB" w14:textId="77777777" w:rsidR="00706FC2" w:rsidRDefault="00000000" w:rsidP="00F37D3B">
      <w:pPr>
        <w:spacing w:after="0" w:line="240" w:lineRule="auto"/>
        <w:jc w:val="center"/>
        <w:rPr>
          <w:rFonts w:ascii="Times New Roman" w:eastAsia="Times New Roman" w:hAnsi="Times New Roman"/>
          <w:bCs/>
          <w:kern w:val="0"/>
          <w:lang w:eastAsia="pl-PL"/>
        </w:rPr>
      </w:pPr>
      <w:r w:rsidRPr="0093455D">
        <w:rPr>
          <w:rFonts w:ascii="Times New Roman" w:eastAsia="Times New Roman" w:hAnsi="Times New Roman"/>
          <w:bCs/>
          <w:kern w:val="0"/>
          <w:lang w:eastAsia="pl-PL"/>
        </w:rPr>
        <w:t>61-713 Poznań</w:t>
      </w:r>
    </w:p>
    <w:p w14:paraId="548111F9" w14:textId="77777777" w:rsidR="00F37D3B" w:rsidRDefault="00F37D3B" w:rsidP="00F37D3B">
      <w:pPr>
        <w:spacing w:after="0" w:line="240" w:lineRule="auto"/>
        <w:jc w:val="center"/>
        <w:rPr>
          <w:rFonts w:ascii="Times New Roman" w:eastAsia="Times New Roman" w:hAnsi="Times New Roman"/>
          <w:bCs/>
          <w:kern w:val="0"/>
          <w:lang w:eastAsia="pl-PL"/>
        </w:rPr>
      </w:pPr>
    </w:p>
    <w:p w14:paraId="0E6CE2F5" w14:textId="34E0BB94" w:rsidR="00F37D3B" w:rsidRDefault="00F37D3B" w:rsidP="00F37D3B">
      <w:pPr>
        <w:spacing w:after="0" w:line="240" w:lineRule="auto"/>
        <w:jc w:val="center"/>
        <w:rPr>
          <w:rFonts w:ascii="Times New Roman" w:eastAsia="Times New Roman" w:hAnsi="Times New Roman"/>
          <w:bCs/>
          <w:kern w:val="0"/>
          <w:lang w:eastAsia="pl-PL"/>
        </w:rPr>
      </w:pPr>
      <w:r w:rsidRPr="00F37D3B">
        <w:rPr>
          <w:rFonts w:ascii="Times New Roman" w:eastAsia="Times New Roman" w:hAnsi="Times New Roman"/>
          <w:b/>
          <w:kern w:val="0"/>
          <w:lang w:eastAsia="pl-PL"/>
        </w:rPr>
        <w:t>Strona przeciwna:</w:t>
      </w:r>
      <w:r>
        <w:rPr>
          <w:rFonts w:ascii="Times New Roman" w:eastAsia="Times New Roman" w:hAnsi="Times New Roman"/>
          <w:bCs/>
          <w:kern w:val="0"/>
          <w:lang w:eastAsia="pl-PL"/>
        </w:rPr>
        <w:t xml:space="preserve"> Rada Miejska Gminy Dobrzyca </w:t>
      </w:r>
    </w:p>
    <w:p w14:paraId="1AFF65CA" w14:textId="79D60DF9" w:rsidR="00F37D3B" w:rsidRDefault="00F37D3B" w:rsidP="00F37D3B">
      <w:pPr>
        <w:spacing w:after="0" w:line="240" w:lineRule="auto"/>
        <w:jc w:val="center"/>
        <w:rPr>
          <w:rFonts w:ascii="Times New Roman" w:eastAsia="Times New Roman" w:hAnsi="Times New Roman"/>
          <w:bCs/>
          <w:kern w:val="0"/>
          <w:lang w:eastAsia="pl-PL"/>
        </w:rPr>
      </w:pPr>
      <w:r>
        <w:rPr>
          <w:rFonts w:ascii="Times New Roman" w:eastAsia="Times New Roman" w:hAnsi="Times New Roman"/>
          <w:bCs/>
          <w:kern w:val="0"/>
          <w:lang w:eastAsia="pl-PL"/>
        </w:rPr>
        <w:t>ul. Rynek 14</w:t>
      </w:r>
    </w:p>
    <w:p w14:paraId="56C809FE" w14:textId="26DE71A0" w:rsidR="00F37D3B" w:rsidRPr="0093455D" w:rsidRDefault="00F37D3B" w:rsidP="00F37D3B">
      <w:pPr>
        <w:spacing w:after="0" w:line="240" w:lineRule="auto"/>
        <w:jc w:val="center"/>
        <w:rPr>
          <w:rFonts w:ascii="Times New Roman" w:eastAsia="Times New Roman" w:hAnsi="Times New Roman"/>
          <w:bCs/>
          <w:kern w:val="0"/>
          <w:lang w:eastAsia="pl-PL"/>
        </w:rPr>
      </w:pPr>
      <w:r>
        <w:rPr>
          <w:rFonts w:ascii="Times New Roman" w:eastAsia="Times New Roman" w:hAnsi="Times New Roman"/>
          <w:bCs/>
          <w:kern w:val="0"/>
          <w:lang w:eastAsia="pl-PL"/>
        </w:rPr>
        <w:t xml:space="preserve">63-330 Dobrzyca </w:t>
      </w:r>
    </w:p>
    <w:p w14:paraId="248F11FC" w14:textId="77777777" w:rsidR="00706FC2" w:rsidRPr="0093455D" w:rsidRDefault="00706FC2">
      <w:pPr>
        <w:spacing w:after="0" w:line="240" w:lineRule="auto"/>
        <w:jc w:val="both"/>
        <w:rPr>
          <w:rFonts w:ascii="Times New Roman" w:eastAsia="Times New Roman" w:hAnsi="Times New Roman"/>
          <w:kern w:val="0"/>
          <w:lang w:eastAsia="pl-PL"/>
        </w:rPr>
      </w:pPr>
    </w:p>
    <w:p w14:paraId="1FB1B8C8" w14:textId="77777777" w:rsidR="00706FC2" w:rsidRPr="0093455D" w:rsidRDefault="00706FC2">
      <w:pPr>
        <w:spacing w:after="0" w:line="240" w:lineRule="auto"/>
        <w:jc w:val="both"/>
        <w:rPr>
          <w:rFonts w:ascii="Times New Roman" w:eastAsia="Times New Roman" w:hAnsi="Times New Roman"/>
          <w:kern w:val="0"/>
          <w:lang w:eastAsia="pl-PL"/>
        </w:rPr>
      </w:pPr>
    </w:p>
    <w:p w14:paraId="000A8808" w14:textId="77777777" w:rsidR="00706FC2" w:rsidRPr="0093455D" w:rsidRDefault="00706FC2">
      <w:pPr>
        <w:spacing w:after="0" w:line="240" w:lineRule="auto"/>
        <w:jc w:val="both"/>
        <w:rPr>
          <w:rFonts w:ascii="Times New Roman" w:eastAsia="Times New Roman" w:hAnsi="Times New Roman"/>
          <w:kern w:val="0"/>
          <w:lang w:eastAsia="pl-PL"/>
        </w:rPr>
      </w:pPr>
    </w:p>
    <w:p w14:paraId="2F11574D" w14:textId="77777777" w:rsidR="00706FC2" w:rsidRPr="0093455D" w:rsidRDefault="00000000">
      <w:pPr>
        <w:spacing w:line="240" w:lineRule="auto"/>
        <w:jc w:val="center"/>
        <w:rPr>
          <w:rFonts w:ascii="Times New Roman" w:eastAsia="Times New Roman" w:hAnsi="Times New Roman"/>
          <w:b/>
          <w:bCs/>
          <w:kern w:val="0"/>
          <w:lang w:eastAsia="pl-PL"/>
        </w:rPr>
      </w:pPr>
      <w:r w:rsidRPr="0093455D">
        <w:rPr>
          <w:rFonts w:ascii="Times New Roman" w:eastAsia="Times New Roman" w:hAnsi="Times New Roman"/>
          <w:b/>
          <w:bCs/>
          <w:kern w:val="0"/>
          <w:lang w:eastAsia="pl-PL"/>
        </w:rPr>
        <w:t>ODPOWIEDŹ NA SKARGĘ</w:t>
      </w:r>
    </w:p>
    <w:p w14:paraId="3922B872" w14:textId="2A54B4C0" w:rsidR="00706FC2" w:rsidRPr="0093455D" w:rsidRDefault="00F83830" w:rsidP="00F83830">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 xml:space="preserve">na uchwałę Nr </w:t>
      </w:r>
      <w:bookmarkStart w:id="0" w:name="_Hlk198626081"/>
      <w:r w:rsidRPr="0093455D">
        <w:rPr>
          <w:rFonts w:ascii="Times New Roman" w:eastAsia="Times New Roman" w:hAnsi="Times New Roman"/>
          <w:kern w:val="0"/>
          <w:lang w:eastAsia="pl-PL"/>
        </w:rPr>
        <w:t>LVI/507/2024 Rady Miejskiej Gminy Dobrzyca z dnia 19 marca 2024 r. w sprawie uchwalenia zmiany miejscowego planu zagospodarowania przestrzennego gminy Dobrzyca na terenach części obrębów ewidencyjnych: miasto Dobrzyca, Fabianów, Galew, Gustawów, Izbiczno, Polskie Olędry, Sośnica i Trzebin</w:t>
      </w:r>
      <w:r w:rsidR="00B91613" w:rsidRPr="0093455D">
        <w:rPr>
          <w:rFonts w:ascii="Times New Roman" w:eastAsia="Times New Roman" w:hAnsi="Times New Roman"/>
          <w:kern w:val="0"/>
          <w:lang w:eastAsia="pl-PL"/>
        </w:rPr>
        <w:t>.</w:t>
      </w:r>
    </w:p>
    <w:bookmarkEnd w:id="0"/>
    <w:p w14:paraId="0EE9F2D6" w14:textId="77777777" w:rsidR="00B91613" w:rsidRPr="0093455D" w:rsidRDefault="00B91613" w:rsidP="00B91613">
      <w:pPr>
        <w:spacing w:after="0" w:line="240" w:lineRule="auto"/>
        <w:jc w:val="both"/>
        <w:rPr>
          <w:rFonts w:ascii="Times New Roman" w:eastAsia="Times New Roman" w:hAnsi="Times New Roman"/>
          <w:b/>
          <w:bCs/>
          <w:i/>
          <w:iCs/>
          <w:kern w:val="0"/>
          <w:lang w:eastAsia="pl-PL"/>
        </w:rPr>
      </w:pPr>
    </w:p>
    <w:p w14:paraId="7D37AF0E" w14:textId="357628B6" w:rsidR="00F83830" w:rsidRPr="0093455D" w:rsidRDefault="00F83830" w:rsidP="00F83830">
      <w:pPr>
        <w:spacing w:after="0" w:line="240" w:lineRule="auto"/>
        <w:jc w:val="both"/>
        <w:rPr>
          <w:rFonts w:ascii="Times New Roman" w:eastAsia="Times New Roman" w:hAnsi="Times New Roman"/>
          <w:b/>
          <w:bCs/>
          <w:kern w:val="0"/>
          <w:lang w:eastAsia="pl-PL"/>
        </w:rPr>
      </w:pPr>
      <w:r w:rsidRPr="0093455D">
        <w:rPr>
          <w:rFonts w:ascii="Times New Roman" w:eastAsia="Times New Roman" w:hAnsi="Times New Roman"/>
          <w:kern w:val="0"/>
          <w:lang w:eastAsia="pl-PL"/>
        </w:rPr>
        <w:t>W odpowiedzi na pismo znak IR-XI.0552.27.2025.2 Wojewody Wielkopolskiego z dnia 8 maja 2025 r., skierowane do Wojewódzkiego Sądu Administracyjnego w Poznaniu, Rada Miejska Gminy Dobrzyca, reprezentowana przez Burmistrza Gminy Dobrzyca</w:t>
      </w:r>
      <w:r w:rsidR="00D13306" w:rsidRPr="0093455D">
        <w:t xml:space="preserve"> </w:t>
      </w:r>
      <w:r w:rsidR="00D13306" w:rsidRPr="0093455D">
        <w:rPr>
          <w:rFonts w:ascii="Times New Roman" w:eastAsia="Times New Roman" w:hAnsi="Times New Roman"/>
          <w:b/>
          <w:bCs/>
          <w:kern w:val="0"/>
          <w:lang w:eastAsia="pl-PL"/>
        </w:rPr>
        <w:t>nie sprzeciwia się stwierdzeniu nieważności § 10 uchwały w drodze orzeczenia Wojewódzkiego Sądu Administracyjnego.</w:t>
      </w:r>
    </w:p>
    <w:p w14:paraId="5C439CDA" w14:textId="77777777" w:rsidR="00F83830" w:rsidRPr="0093455D" w:rsidRDefault="00F83830" w:rsidP="00F83830">
      <w:pPr>
        <w:spacing w:after="0" w:line="240" w:lineRule="auto"/>
        <w:jc w:val="both"/>
        <w:rPr>
          <w:rFonts w:ascii="Times New Roman" w:eastAsia="Times New Roman" w:hAnsi="Times New Roman"/>
          <w:kern w:val="0"/>
          <w:lang w:eastAsia="pl-PL"/>
        </w:rPr>
      </w:pPr>
    </w:p>
    <w:p w14:paraId="1102F347" w14:textId="015A12D8" w:rsidR="00D34186" w:rsidRPr="0093455D" w:rsidRDefault="00F83830" w:rsidP="00F83830">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Jednocześnie, działając w duchu współdziałania i przejrzystości instytucjonalnej, Gmina pragnie w niniejszym piśmie wskazać motywy wprowadzenia zakwestionowanych zapisów</w:t>
      </w:r>
      <w:r w:rsidR="00D34186" w:rsidRPr="0093455D">
        <w:rPr>
          <w:rFonts w:ascii="Times New Roman" w:eastAsia="Times New Roman" w:hAnsi="Times New Roman"/>
          <w:kern w:val="0"/>
          <w:lang w:eastAsia="pl-PL"/>
        </w:rPr>
        <w:t xml:space="preserve">. </w:t>
      </w:r>
    </w:p>
    <w:p w14:paraId="20EF1944" w14:textId="77777777" w:rsidR="00D34186" w:rsidRPr="0093455D" w:rsidRDefault="00D34186" w:rsidP="00D34186">
      <w:pPr>
        <w:spacing w:after="0" w:line="240" w:lineRule="auto"/>
        <w:jc w:val="center"/>
        <w:rPr>
          <w:rFonts w:ascii="Times New Roman" w:eastAsia="Times New Roman" w:hAnsi="Times New Roman"/>
          <w:b/>
          <w:bCs/>
          <w:kern w:val="0"/>
          <w:lang w:eastAsia="pl-PL"/>
        </w:rPr>
      </w:pPr>
    </w:p>
    <w:p w14:paraId="4ABDA20A" w14:textId="67FE46CD" w:rsidR="00D34186" w:rsidRPr="0093455D" w:rsidRDefault="00D34186" w:rsidP="00D34186">
      <w:pPr>
        <w:spacing w:after="0" w:line="240" w:lineRule="auto"/>
        <w:jc w:val="center"/>
        <w:rPr>
          <w:rFonts w:ascii="Times New Roman" w:eastAsia="Times New Roman" w:hAnsi="Times New Roman"/>
          <w:b/>
          <w:bCs/>
          <w:kern w:val="0"/>
          <w:lang w:eastAsia="pl-PL"/>
        </w:rPr>
      </w:pPr>
      <w:r w:rsidRPr="0093455D">
        <w:rPr>
          <w:rFonts w:ascii="Times New Roman" w:eastAsia="Times New Roman" w:hAnsi="Times New Roman"/>
          <w:b/>
          <w:bCs/>
          <w:kern w:val="0"/>
          <w:lang w:eastAsia="pl-PL"/>
        </w:rPr>
        <w:t>Uzasadnienie</w:t>
      </w:r>
    </w:p>
    <w:p w14:paraId="3DAF8033" w14:textId="77777777" w:rsidR="00D34186" w:rsidRPr="0093455D" w:rsidRDefault="00D34186" w:rsidP="00D34186">
      <w:pPr>
        <w:spacing w:after="0" w:line="240" w:lineRule="auto"/>
        <w:jc w:val="both"/>
        <w:rPr>
          <w:rFonts w:ascii="Times New Roman" w:eastAsia="Times New Roman" w:hAnsi="Times New Roman"/>
          <w:kern w:val="0"/>
          <w:lang w:eastAsia="pl-PL"/>
        </w:rPr>
      </w:pPr>
    </w:p>
    <w:p w14:paraId="7239AE47" w14:textId="5A3CC797" w:rsidR="00D34186" w:rsidRPr="0093455D" w:rsidRDefault="00D34186" w:rsidP="00D34186">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 xml:space="preserve">Uchwała </w:t>
      </w:r>
      <w:r w:rsidR="00F83830" w:rsidRPr="0093455D">
        <w:rPr>
          <w:rFonts w:ascii="Times New Roman" w:eastAsia="Times New Roman" w:hAnsi="Times New Roman"/>
          <w:kern w:val="0"/>
          <w:lang w:eastAsia="pl-PL"/>
        </w:rPr>
        <w:t xml:space="preserve">nr LVI/507/2024 Rady Miejskiej Gminy Dobrzyca z dnia 19 marca 2024 r. w sprawie uchwalenia zmiany miejscowego planu zagospodarowania przestrzennego gminy Dobrzyca na terenach części obrębów ewidencyjnych: miasto Dobrzyca, Fabianów, Galew, Gustawów, Izbiczno, Polskie Olędry, Sośnica i Trzebin, </w:t>
      </w:r>
      <w:r w:rsidRPr="0093455D">
        <w:rPr>
          <w:rFonts w:ascii="Times New Roman" w:eastAsia="Times New Roman" w:hAnsi="Times New Roman"/>
          <w:kern w:val="0"/>
          <w:lang w:eastAsia="pl-PL"/>
        </w:rPr>
        <w:t>została podjęta zgodnie z przepisami ustawy z dnia 27 marca 2003 r. o planowaniu i zagospodarowaniu przestrzennym (</w:t>
      </w:r>
      <w:proofErr w:type="spellStart"/>
      <w:r w:rsidRPr="0093455D">
        <w:rPr>
          <w:rFonts w:ascii="Times New Roman" w:eastAsia="Times New Roman" w:hAnsi="Times New Roman"/>
          <w:kern w:val="0"/>
          <w:lang w:eastAsia="pl-PL"/>
        </w:rPr>
        <w:t>t.j</w:t>
      </w:r>
      <w:proofErr w:type="spellEnd"/>
      <w:r w:rsidRPr="0093455D">
        <w:rPr>
          <w:rFonts w:ascii="Times New Roman" w:eastAsia="Times New Roman" w:hAnsi="Times New Roman"/>
          <w:kern w:val="0"/>
          <w:lang w:eastAsia="pl-PL"/>
        </w:rPr>
        <w:t xml:space="preserve">. Dz. U. z 2024 r. poz. 1130 z </w:t>
      </w:r>
      <w:proofErr w:type="spellStart"/>
      <w:r w:rsidRPr="0093455D">
        <w:rPr>
          <w:rFonts w:ascii="Times New Roman" w:eastAsia="Times New Roman" w:hAnsi="Times New Roman"/>
          <w:kern w:val="0"/>
          <w:lang w:eastAsia="pl-PL"/>
        </w:rPr>
        <w:t>późn</w:t>
      </w:r>
      <w:proofErr w:type="spellEnd"/>
      <w:r w:rsidRPr="0093455D">
        <w:rPr>
          <w:rFonts w:ascii="Times New Roman" w:eastAsia="Times New Roman" w:hAnsi="Times New Roman"/>
          <w:kern w:val="0"/>
          <w:lang w:eastAsia="pl-PL"/>
        </w:rPr>
        <w:t>. zm.) oraz z zachowaniem procedury określonej w przepisach wykonawczych.</w:t>
      </w:r>
    </w:p>
    <w:p w14:paraId="799DEF92" w14:textId="77777777" w:rsidR="00D34186" w:rsidRPr="0093455D" w:rsidRDefault="00D34186" w:rsidP="00D34186">
      <w:pPr>
        <w:spacing w:after="0" w:line="240" w:lineRule="auto"/>
        <w:jc w:val="both"/>
        <w:rPr>
          <w:rFonts w:ascii="Times New Roman" w:eastAsia="Times New Roman" w:hAnsi="Times New Roman"/>
          <w:kern w:val="0"/>
          <w:lang w:eastAsia="pl-PL"/>
        </w:rPr>
      </w:pPr>
    </w:p>
    <w:p w14:paraId="319C39DD" w14:textId="5438D54E" w:rsidR="001C7189" w:rsidRPr="0093455D" w:rsidRDefault="00D34186" w:rsidP="001C7189">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 xml:space="preserve">Uchwała została ogłoszona w Dzienniku Urzędowym Województwa Wielkopolskiego </w:t>
      </w:r>
      <w:r w:rsidR="001C7189" w:rsidRPr="0093455D">
        <w:rPr>
          <w:rFonts w:ascii="Times New Roman" w:eastAsia="Times New Roman" w:hAnsi="Times New Roman"/>
          <w:kern w:val="0"/>
          <w:lang w:eastAsia="pl-PL"/>
        </w:rPr>
        <w:t xml:space="preserve">dnia </w:t>
      </w:r>
      <w:r w:rsidR="00F83830" w:rsidRPr="0093455D">
        <w:rPr>
          <w:rFonts w:ascii="Times New Roman" w:eastAsia="Times New Roman" w:hAnsi="Times New Roman"/>
          <w:kern w:val="0"/>
          <w:lang w:eastAsia="pl-PL"/>
        </w:rPr>
        <w:t>16</w:t>
      </w:r>
      <w:r w:rsidR="001C7189" w:rsidRPr="0093455D">
        <w:rPr>
          <w:rFonts w:ascii="Times New Roman" w:eastAsia="Times New Roman" w:hAnsi="Times New Roman"/>
          <w:kern w:val="0"/>
          <w:lang w:eastAsia="pl-PL"/>
        </w:rPr>
        <w:t xml:space="preserve"> </w:t>
      </w:r>
      <w:r w:rsidR="00F83830" w:rsidRPr="0093455D">
        <w:rPr>
          <w:rFonts w:ascii="Times New Roman" w:eastAsia="Times New Roman" w:hAnsi="Times New Roman"/>
          <w:kern w:val="0"/>
          <w:lang w:eastAsia="pl-PL"/>
        </w:rPr>
        <w:t>kwietnia</w:t>
      </w:r>
      <w:r w:rsidR="001C7189" w:rsidRPr="0093455D">
        <w:rPr>
          <w:rFonts w:ascii="Times New Roman" w:eastAsia="Times New Roman" w:hAnsi="Times New Roman"/>
          <w:kern w:val="0"/>
          <w:lang w:eastAsia="pl-PL"/>
        </w:rPr>
        <w:t xml:space="preserve"> 2024 r.</w:t>
      </w:r>
      <w:r w:rsidRPr="0093455D">
        <w:rPr>
          <w:rFonts w:ascii="Times New Roman" w:eastAsia="Times New Roman" w:hAnsi="Times New Roman"/>
          <w:kern w:val="0"/>
          <w:lang w:eastAsia="pl-PL"/>
        </w:rPr>
        <w:t xml:space="preserve">, poz. </w:t>
      </w:r>
      <w:r w:rsidR="00F83830" w:rsidRPr="0093455D">
        <w:rPr>
          <w:rFonts w:ascii="Times New Roman" w:eastAsia="Times New Roman" w:hAnsi="Times New Roman"/>
          <w:kern w:val="0"/>
          <w:lang w:eastAsia="pl-PL"/>
        </w:rPr>
        <w:t>3905</w:t>
      </w:r>
      <w:r w:rsidRPr="0093455D">
        <w:rPr>
          <w:rFonts w:ascii="Times New Roman" w:eastAsia="Times New Roman" w:hAnsi="Times New Roman"/>
          <w:kern w:val="0"/>
          <w:lang w:eastAsia="pl-PL"/>
        </w:rPr>
        <w:t xml:space="preserve"> i weszła w życie po upływie 14 dni od dnia ogłoszenia, tj. </w:t>
      </w:r>
      <w:r w:rsidR="00F83830" w:rsidRPr="0093455D">
        <w:rPr>
          <w:rFonts w:ascii="Times New Roman" w:eastAsia="Times New Roman" w:hAnsi="Times New Roman"/>
          <w:kern w:val="0"/>
          <w:lang w:eastAsia="pl-PL"/>
        </w:rPr>
        <w:t>30</w:t>
      </w:r>
      <w:r w:rsidRPr="0093455D">
        <w:rPr>
          <w:rFonts w:ascii="Times New Roman" w:eastAsia="Times New Roman" w:hAnsi="Times New Roman"/>
          <w:kern w:val="0"/>
          <w:lang w:eastAsia="pl-PL"/>
        </w:rPr>
        <w:t xml:space="preserve"> </w:t>
      </w:r>
      <w:r w:rsidR="00F83830" w:rsidRPr="0093455D">
        <w:rPr>
          <w:rFonts w:ascii="Times New Roman" w:eastAsia="Times New Roman" w:hAnsi="Times New Roman"/>
          <w:kern w:val="0"/>
          <w:lang w:eastAsia="pl-PL"/>
        </w:rPr>
        <w:t xml:space="preserve">kwietnia </w:t>
      </w:r>
      <w:r w:rsidRPr="0093455D">
        <w:rPr>
          <w:rFonts w:ascii="Times New Roman" w:eastAsia="Times New Roman" w:hAnsi="Times New Roman"/>
          <w:kern w:val="0"/>
          <w:lang w:eastAsia="pl-PL"/>
        </w:rPr>
        <w:t>202</w:t>
      </w:r>
      <w:r w:rsidR="001C7189" w:rsidRPr="0093455D">
        <w:rPr>
          <w:rFonts w:ascii="Times New Roman" w:eastAsia="Times New Roman" w:hAnsi="Times New Roman"/>
          <w:kern w:val="0"/>
          <w:lang w:eastAsia="pl-PL"/>
        </w:rPr>
        <w:t>4</w:t>
      </w:r>
      <w:r w:rsidRPr="0093455D">
        <w:rPr>
          <w:rFonts w:ascii="Times New Roman" w:eastAsia="Times New Roman" w:hAnsi="Times New Roman"/>
          <w:kern w:val="0"/>
          <w:lang w:eastAsia="pl-PL"/>
        </w:rPr>
        <w:t xml:space="preserve"> r.</w:t>
      </w:r>
      <w:r w:rsidR="001C7189" w:rsidRPr="0093455D">
        <w:t xml:space="preserve"> </w:t>
      </w:r>
    </w:p>
    <w:p w14:paraId="49862EFB" w14:textId="77777777" w:rsidR="00F83830" w:rsidRPr="0093455D" w:rsidRDefault="00F83830" w:rsidP="001C7189">
      <w:pPr>
        <w:spacing w:after="0" w:line="240" w:lineRule="auto"/>
        <w:jc w:val="both"/>
        <w:rPr>
          <w:rFonts w:ascii="Times New Roman" w:hAnsi="Times New Roman"/>
        </w:rPr>
      </w:pPr>
    </w:p>
    <w:p w14:paraId="0FE7FE63" w14:textId="1A3F259B" w:rsidR="001C7189" w:rsidRPr="0093455D" w:rsidRDefault="00F83830" w:rsidP="001C7189">
      <w:pPr>
        <w:spacing w:after="0" w:line="240" w:lineRule="auto"/>
        <w:jc w:val="both"/>
        <w:rPr>
          <w:rFonts w:ascii="Times New Roman" w:hAnsi="Times New Roman"/>
        </w:rPr>
      </w:pPr>
      <w:r w:rsidRPr="0093455D">
        <w:rPr>
          <w:rFonts w:ascii="Times New Roman" w:hAnsi="Times New Roman"/>
        </w:rPr>
        <w:t xml:space="preserve">W toku postępowania nadzorczego prowadzonego przez Wojewodę Wielkopolskiego, Gmina Dobrzyca </w:t>
      </w:r>
      <w:r w:rsidRPr="00F37D3B">
        <w:rPr>
          <w:rFonts w:ascii="Times New Roman" w:hAnsi="Times New Roman"/>
        </w:rPr>
        <w:t>w piśmie z dni</w:t>
      </w:r>
      <w:r w:rsidR="00F37D3B" w:rsidRPr="00F37D3B">
        <w:rPr>
          <w:rFonts w:ascii="Times New Roman" w:hAnsi="Times New Roman"/>
        </w:rPr>
        <w:t>a 6 marca 2025 r.</w:t>
      </w:r>
      <w:r w:rsidRPr="00F37D3B">
        <w:rPr>
          <w:rFonts w:ascii="Times New Roman" w:hAnsi="Times New Roman"/>
        </w:rPr>
        <w:t xml:space="preserve"> (znak</w:t>
      </w:r>
      <w:r w:rsidR="00F37D3B" w:rsidRPr="00F37D3B">
        <w:rPr>
          <w:rFonts w:ascii="Times New Roman" w:hAnsi="Times New Roman"/>
        </w:rPr>
        <w:t>: RLiPP.6722.5.2022</w:t>
      </w:r>
      <w:r w:rsidRPr="00F37D3B">
        <w:rPr>
          <w:rFonts w:ascii="Times New Roman" w:hAnsi="Times New Roman"/>
        </w:rPr>
        <w:t>)</w:t>
      </w:r>
      <w:r w:rsidRPr="0093455D">
        <w:rPr>
          <w:rFonts w:ascii="Times New Roman" w:hAnsi="Times New Roman"/>
        </w:rPr>
        <w:t xml:space="preserve"> przedstawiła szczegółowe wyjaśnienia, odnosząc się do zakwestionowanych zapisów § 10. Pomimo </w:t>
      </w:r>
      <w:r w:rsidRPr="0093455D">
        <w:rPr>
          <w:rFonts w:ascii="Times New Roman" w:hAnsi="Times New Roman"/>
        </w:rPr>
        <w:lastRenderedPageBreak/>
        <w:t>złożonych wyjaśnień, skarga została skierowana do WSA bez odniesienia się do przedstawionej argumentacji, co Gmina przyjmuje ze zrozumieniem.</w:t>
      </w:r>
    </w:p>
    <w:p w14:paraId="7FEC59F1" w14:textId="77777777" w:rsidR="00F83830" w:rsidRPr="0093455D" w:rsidRDefault="00F83830" w:rsidP="00FA11B6">
      <w:pPr>
        <w:spacing w:after="0" w:line="240" w:lineRule="auto"/>
        <w:rPr>
          <w:rFonts w:ascii="Times New Roman" w:hAnsi="Times New Roman"/>
        </w:rPr>
      </w:pPr>
    </w:p>
    <w:p w14:paraId="4365589D" w14:textId="77777777" w:rsidR="00FA11B6" w:rsidRPr="0093455D" w:rsidRDefault="00FA11B6" w:rsidP="00FA11B6">
      <w:pPr>
        <w:spacing w:after="0" w:line="240" w:lineRule="auto"/>
        <w:rPr>
          <w:rFonts w:ascii="Times New Roman" w:hAnsi="Times New Roman"/>
        </w:rPr>
      </w:pPr>
    </w:p>
    <w:p w14:paraId="404990E7" w14:textId="77777777" w:rsidR="00FA11B6" w:rsidRPr="0093455D" w:rsidRDefault="00FA11B6" w:rsidP="00FA11B6">
      <w:pPr>
        <w:spacing w:after="0" w:line="240" w:lineRule="auto"/>
        <w:rPr>
          <w:rFonts w:ascii="Times New Roman" w:eastAsia="Times New Roman" w:hAnsi="Times New Roman"/>
          <w:b/>
          <w:bCs/>
          <w:kern w:val="0"/>
          <w:lang w:eastAsia="pl-PL"/>
        </w:rPr>
      </w:pPr>
    </w:p>
    <w:p w14:paraId="64EAACFF" w14:textId="761E3536" w:rsidR="00CC7B1F" w:rsidRPr="0093455D" w:rsidRDefault="00CC7B1F" w:rsidP="00F83830">
      <w:pPr>
        <w:spacing w:after="0" w:line="240" w:lineRule="auto"/>
        <w:jc w:val="center"/>
        <w:rPr>
          <w:rFonts w:ascii="Times New Roman" w:eastAsia="Times New Roman" w:hAnsi="Times New Roman"/>
          <w:b/>
          <w:bCs/>
          <w:kern w:val="0"/>
          <w:lang w:eastAsia="pl-PL"/>
        </w:rPr>
      </w:pPr>
      <w:r w:rsidRPr="0093455D">
        <w:rPr>
          <w:rFonts w:ascii="Times New Roman" w:eastAsia="Times New Roman" w:hAnsi="Times New Roman"/>
          <w:b/>
          <w:bCs/>
          <w:kern w:val="0"/>
          <w:lang w:eastAsia="pl-PL"/>
        </w:rPr>
        <w:t>Odniesienie do zarzutu skargi</w:t>
      </w:r>
    </w:p>
    <w:p w14:paraId="37155D96" w14:textId="77777777" w:rsidR="00CC7B1F" w:rsidRPr="0093455D" w:rsidRDefault="00CC7B1F" w:rsidP="00CC7B1F">
      <w:pPr>
        <w:spacing w:after="0" w:line="240" w:lineRule="auto"/>
        <w:jc w:val="both"/>
        <w:rPr>
          <w:rFonts w:ascii="Times New Roman" w:eastAsia="Times New Roman" w:hAnsi="Times New Roman"/>
          <w:b/>
          <w:bCs/>
          <w:kern w:val="0"/>
          <w:lang w:eastAsia="pl-PL"/>
        </w:rPr>
      </w:pPr>
    </w:p>
    <w:p w14:paraId="19FB8F2D" w14:textId="363369D3" w:rsidR="00CC7B1F" w:rsidRPr="0093455D" w:rsidRDefault="00E6164A" w:rsidP="00CC7B1F">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 xml:space="preserve">W skardze Wojewody Wielkopolskiego zarzucono, że </w:t>
      </w:r>
      <w:bookmarkStart w:id="1" w:name="_Hlk198219908"/>
      <w:r w:rsidRPr="0093455D">
        <w:rPr>
          <w:rFonts w:ascii="Times New Roman" w:eastAsia="Times New Roman" w:hAnsi="Times New Roman"/>
          <w:kern w:val="0"/>
          <w:lang w:eastAsia="pl-PL"/>
        </w:rPr>
        <w:t xml:space="preserve">§ 10 pkt 1 lit. a i b oraz § 10 pkt 2 lit. a </w:t>
      </w:r>
      <w:bookmarkEnd w:id="1"/>
      <w:r w:rsidRPr="0093455D">
        <w:rPr>
          <w:rFonts w:ascii="Times New Roman" w:eastAsia="Times New Roman" w:hAnsi="Times New Roman"/>
          <w:kern w:val="0"/>
          <w:lang w:eastAsia="pl-PL"/>
        </w:rPr>
        <w:t>uchwały Nr LVI/507/2024 Rady Miejskiej Gminy Dobrzyca, w zakresie określenia szczegółowych parametrów działek na terenach roln</w:t>
      </w:r>
      <w:r w:rsidR="00E45858" w:rsidRPr="0093455D">
        <w:rPr>
          <w:rFonts w:ascii="Times New Roman" w:eastAsia="Times New Roman" w:hAnsi="Times New Roman"/>
          <w:kern w:val="0"/>
          <w:lang w:eastAsia="pl-PL"/>
        </w:rPr>
        <w:t>iczy</w:t>
      </w:r>
      <w:r w:rsidRPr="0093455D">
        <w:rPr>
          <w:rFonts w:ascii="Times New Roman" w:eastAsia="Times New Roman" w:hAnsi="Times New Roman"/>
          <w:kern w:val="0"/>
          <w:lang w:eastAsia="pl-PL"/>
        </w:rPr>
        <w:t>ch i zagrodowych, stanowi istotne naruszenie przepisów prawa – w szczególności art. 101 ust. 2 ustawy o gospodarce nieruchomościami – i tym samym narusza zasady sporządzania planu miejscowego określone w art. 15 ust. 2 pkt 8 ustawy o planowaniu i zagospodarowaniu przestrzennym.</w:t>
      </w:r>
    </w:p>
    <w:p w14:paraId="62B07156" w14:textId="77777777" w:rsidR="00CC7B1F" w:rsidRPr="0093455D" w:rsidRDefault="00CC7B1F" w:rsidP="00CC7B1F">
      <w:pPr>
        <w:spacing w:after="0" w:line="240" w:lineRule="auto"/>
        <w:jc w:val="both"/>
        <w:rPr>
          <w:rFonts w:ascii="Times New Roman" w:eastAsia="Times New Roman" w:hAnsi="Times New Roman"/>
          <w:kern w:val="0"/>
          <w:lang w:eastAsia="pl-PL"/>
        </w:rPr>
      </w:pPr>
    </w:p>
    <w:p w14:paraId="62A2D0DB" w14:textId="3FE98B8E" w:rsidR="00CC7B1F" w:rsidRPr="0093455D" w:rsidRDefault="00D13306" w:rsidP="00CC7B1F">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Zakwestionowany przepis § 10 uchwały wprowadzony został z myślą o zachowaniu racjonalnej struktury przestrzennej oraz zapobieganiu wtórnym podziałom gruntów prowadzącym do nadmiernego rozdrobnienia działek, niedostosowanego do uwarunkowań przestrzennych i funkcjonalnych analizowanego obszaru. Doświadczenia Gminy, zdobyte w toku obsługi planistycznej i administracyjnej, wskazują, że w praktyce planistycznej nierzadko dochodzi do niekontrolowanego podziału działek, skutkującego powstawaniem nieruchomości o nieregularnych kształtach i niewystarczających parametrach użytkowych, niepozwalających na ich racjonalne zagospodarowanie zgodnie z funkcją terenów rolniczych i zagrodowych.</w:t>
      </w:r>
    </w:p>
    <w:p w14:paraId="720B3190" w14:textId="77777777" w:rsidR="00D13306" w:rsidRPr="0093455D" w:rsidRDefault="00D13306" w:rsidP="00CC7B1F">
      <w:pPr>
        <w:spacing w:after="0" w:line="240" w:lineRule="auto"/>
        <w:jc w:val="both"/>
        <w:rPr>
          <w:rFonts w:ascii="Times New Roman" w:eastAsia="Times New Roman" w:hAnsi="Times New Roman"/>
          <w:kern w:val="0"/>
          <w:lang w:eastAsia="pl-PL"/>
        </w:rPr>
      </w:pPr>
    </w:p>
    <w:p w14:paraId="5A6D537C" w14:textId="67C9E1D1" w:rsidR="00E45858" w:rsidRPr="0093455D" w:rsidRDefault="00CC7B1F" w:rsidP="00D13306">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 xml:space="preserve">Plan </w:t>
      </w:r>
      <w:r w:rsidR="00A5079D" w:rsidRPr="0093455D">
        <w:rPr>
          <w:rFonts w:ascii="Times New Roman" w:eastAsia="Times New Roman" w:hAnsi="Times New Roman"/>
          <w:kern w:val="0"/>
          <w:lang w:eastAsia="pl-PL"/>
        </w:rPr>
        <w:t xml:space="preserve">miejscowy </w:t>
      </w:r>
      <w:r w:rsidRPr="0093455D">
        <w:rPr>
          <w:rFonts w:ascii="Times New Roman" w:eastAsia="Times New Roman" w:hAnsi="Times New Roman"/>
          <w:kern w:val="0"/>
          <w:lang w:eastAsia="pl-PL"/>
        </w:rPr>
        <w:t xml:space="preserve">obejmuje </w:t>
      </w:r>
      <w:r w:rsidR="00A5079D" w:rsidRPr="0093455D">
        <w:rPr>
          <w:rFonts w:ascii="Times New Roman" w:eastAsia="Times New Roman" w:hAnsi="Times New Roman"/>
          <w:kern w:val="0"/>
          <w:lang w:eastAsia="pl-PL"/>
        </w:rPr>
        <w:t xml:space="preserve">7 terenów zabudowy zagrodowej (RZM) oraz 4 tereny produkcji w gospodarstwach rolnych, hodowlanych, ogrodniczych (RZP), zlokalizowane w różnych obrębach ewidencyjnych na terenie gminy. </w:t>
      </w:r>
      <w:r w:rsidR="00D13306" w:rsidRPr="0093455D">
        <w:rPr>
          <w:rFonts w:ascii="Times New Roman" w:eastAsia="Times New Roman" w:hAnsi="Times New Roman"/>
          <w:b/>
          <w:bCs/>
          <w:kern w:val="0"/>
          <w:lang w:eastAsia="pl-PL"/>
        </w:rPr>
        <w:t>Wprowadzenie parametrów</w:t>
      </w:r>
      <w:r w:rsidR="00BA10AE" w:rsidRPr="0093455D">
        <w:rPr>
          <w:rFonts w:ascii="Times New Roman" w:eastAsia="Times New Roman" w:hAnsi="Times New Roman"/>
          <w:b/>
          <w:bCs/>
          <w:kern w:val="0"/>
          <w:lang w:eastAsia="pl-PL"/>
        </w:rPr>
        <w:t xml:space="preserve"> </w:t>
      </w:r>
      <w:r w:rsidR="00D13306" w:rsidRPr="0093455D">
        <w:rPr>
          <w:rFonts w:ascii="Times New Roman" w:eastAsia="Times New Roman" w:hAnsi="Times New Roman"/>
          <w:b/>
          <w:bCs/>
          <w:kern w:val="0"/>
          <w:lang w:eastAsia="pl-PL"/>
        </w:rPr>
        <w:t>jakkolwiek nie znajduje wprost umocowania w przepisach art. 15 ust. 2 ustawy o planowaniu przestrzennym – miało, w intencji Gminy, charakter pomocniczy i orientacyjny.</w:t>
      </w:r>
      <w:r w:rsidR="00D13306" w:rsidRPr="0093455D">
        <w:rPr>
          <w:rFonts w:ascii="Times New Roman" w:eastAsia="Times New Roman" w:hAnsi="Times New Roman"/>
          <w:kern w:val="0"/>
          <w:lang w:eastAsia="pl-PL"/>
        </w:rPr>
        <w:t xml:space="preserve"> Nie było celem organu tworzenie nowych norm prawa materialnego ani wkraczanie w sferę regulowaną przepisami o gospodarce nieruchomościami. </w:t>
      </w:r>
      <w:r w:rsidR="00D13306" w:rsidRPr="0093455D">
        <w:rPr>
          <w:rFonts w:ascii="Times New Roman" w:eastAsia="Times New Roman" w:hAnsi="Times New Roman"/>
          <w:b/>
          <w:bCs/>
          <w:kern w:val="0"/>
          <w:lang w:eastAsia="pl-PL"/>
        </w:rPr>
        <w:t xml:space="preserve">Parametry zawarte w § 10 miały ułatwiać interpretację planu oraz kształtować praktykę projektowania i podziałów nieruchomości w sposób sprzyjający zachowaniu spójności przestrzennej </w:t>
      </w:r>
      <w:r w:rsidR="00E45858" w:rsidRPr="0093455D">
        <w:rPr>
          <w:rFonts w:ascii="Times New Roman" w:eastAsia="Times New Roman" w:hAnsi="Times New Roman"/>
          <w:kern w:val="0"/>
          <w:lang w:eastAsia="pl-PL"/>
        </w:rPr>
        <w:t>– jako narzędzia porządkującego proces podziału nieruchomości w obrębie wyznaczonych terenów RZM i RZP.</w:t>
      </w:r>
    </w:p>
    <w:p w14:paraId="2F28B4E8" w14:textId="77777777" w:rsidR="00E45858" w:rsidRPr="0093455D" w:rsidRDefault="00E45858" w:rsidP="00E45858">
      <w:pPr>
        <w:spacing w:after="0" w:line="240" w:lineRule="auto"/>
        <w:jc w:val="both"/>
        <w:rPr>
          <w:rFonts w:ascii="Times New Roman" w:eastAsia="Times New Roman" w:hAnsi="Times New Roman"/>
          <w:kern w:val="0"/>
          <w:lang w:eastAsia="pl-PL"/>
        </w:rPr>
      </w:pPr>
    </w:p>
    <w:p w14:paraId="324D2741" w14:textId="1E75BAEC" w:rsidR="001D7B24" w:rsidRPr="0093455D" w:rsidRDefault="00E45858" w:rsidP="001D7B24">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Wskazane wartości – odpowiednio 18,0 m szerokości frontu działki na terenach RZM i 20,0 m na terenach RZP – odzwierciedlają standardy wynikające z praktyki urbanistycznej oraz dotychczasowych doświadczeń planistycznych na obszarze gminy. Ich celem było przeciwdziałanie wtórnemu podziałowi gruntów na działki nieprzystosowane do realizacji zabudowy zagrodowej lub działalności produkcyjnej w gospodarstwach rolnych i ogrodniczych, a tym samym zapobieganie powstawaniu nieregularnych, niewydolnych przestrzennie układów parcelacyjnych.</w:t>
      </w:r>
      <w:r w:rsidR="001D7B24" w:rsidRPr="0093455D">
        <w:rPr>
          <w:rFonts w:ascii="Times New Roman" w:eastAsia="Times New Roman" w:hAnsi="Times New Roman"/>
          <w:kern w:val="0"/>
          <w:lang w:eastAsia="pl-PL"/>
        </w:rPr>
        <w:t xml:space="preserve"> </w:t>
      </w:r>
      <w:r w:rsidR="00ED70B6" w:rsidRPr="0093455D">
        <w:rPr>
          <w:rFonts w:ascii="Times New Roman" w:eastAsia="Times New Roman" w:hAnsi="Times New Roman"/>
          <w:kern w:val="0"/>
          <w:lang w:eastAsia="pl-PL"/>
        </w:rPr>
        <w:t xml:space="preserve">Wprowadzenie omawianych parametrów w planie miejscowym nie narusza art. 93 ust. 2a </w:t>
      </w:r>
      <w:proofErr w:type="spellStart"/>
      <w:r w:rsidR="00ED70B6" w:rsidRPr="0093455D">
        <w:rPr>
          <w:rFonts w:ascii="Times New Roman" w:eastAsia="Times New Roman" w:hAnsi="Times New Roman"/>
          <w:kern w:val="0"/>
          <w:lang w:eastAsia="pl-PL"/>
        </w:rPr>
        <w:t>u.g.n</w:t>
      </w:r>
      <w:proofErr w:type="spellEnd"/>
      <w:r w:rsidR="00ED70B6" w:rsidRPr="0093455D">
        <w:rPr>
          <w:rFonts w:ascii="Times New Roman" w:eastAsia="Times New Roman" w:hAnsi="Times New Roman"/>
          <w:kern w:val="0"/>
          <w:lang w:eastAsia="pl-PL"/>
        </w:rPr>
        <w:t xml:space="preserve">., albowiem przepis ten dotyczy wyłącznie dopuszczalności podziału nieruchomości położonych na terenach rolnych i leśnych w kontekście ich minimalnej powierzchni. </w:t>
      </w:r>
      <w:r w:rsidR="00ED70B6" w:rsidRPr="0093455D">
        <w:rPr>
          <w:rFonts w:ascii="Times New Roman" w:eastAsia="Times New Roman" w:hAnsi="Times New Roman"/>
          <w:b/>
          <w:bCs/>
          <w:kern w:val="0"/>
          <w:lang w:eastAsia="pl-PL"/>
        </w:rPr>
        <w:t>Nie obejmuje on zagadnienia minimalnej szerokości frontu działki, a tym bardziej nie zawiera zakazu formułowania tego rodzaju ustaleń w miejscowym planie zagospodarowania przestrzennego.</w:t>
      </w:r>
    </w:p>
    <w:p w14:paraId="54E7C3F3" w14:textId="77777777" w:rsidR="001D7B24" w:rsidRPr="0093455D" w:rsidRDefault="001D7B24" w:rsidP="001D7B24">
      <w:pPr>
        <w:spacing w:after="0" w:line="240" w:lineRule="auto"/>
        <w:jc w:val="both"/>
        <w:rPr>
          <w:rFonts w:ascii="Times New Roman" w:eastAsia="Times New Roman" w:hAnsi="Times New Roman"/>
          <w:kern w:val="0"/>
          <w:lang w:eastAsia="pl-PL"/>
        </w:rPr>
      </w:pPr>
    </w:p>
    <w:p w14:paraId="106823C5" w14:textId="59EFA0E9" w:rsidR="001D7B24" w:rsidRPr="0093455D" w:rsidRDefault="001D7B24" w:rsidP="001D7B24">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Ustalona w § 10 minimalna szerokość frontu działki wynosząca odpowiednio 18,0 m na terenach RZM oraz 20,0 m na terenach RZP została przyjęta na podstawie doświadczeń lokalnych organów planistycznych, przy uwzględnieniu:</w:t>
      </w:r>
    </w:p>
    <w:p w14:paraId="1DD78EC9" w14:textId="32F8BCDD" w:rsidR="001D7B24" w:rsidRPr="0093455D" w:rsidRDefault="001D7B24" w:rsidP="00ED70B6">
      <w:pPr>
        <w:pStyle w:val="Akapitzlist"/>
        <w:numPr>
          <w:ilvl w:val="0"/>
          <w:numId w:val="12"/>
        </w:numPr>
        <w:spacing w:after="0" w:line="240" w:lineRule="auto"/>
        <w:ind w:left="0"/>
        <w:jc w:val="both"/>
        <w:rPr>
          <w:rFonts w:ascii="Times New Roman" w:eastAsia="Times New Roman" w:hAnsi="Times New Roman"/>
          <w:kern w:val="0"/>
          <w:lang w:eastAsia="pl-PL"/>
        </w:rPr>
      </w:pPr>
      <w:r w:rsidRPr="0093455D">
        <w:rPr>
          <w:rFonts w:ascii="Times New Roman" w:eastAsia="Times New Roman" w:hAnsi="Times New Roman"/>
          <w:kern w:val="0"/>
          <w:lang w:eastAsia="pl-PL"/>
        </w:rPr>
        <w:t>wymogów funkcjonalnych dla zabudowy zagrodowej oraz rolniczej,</w:t>
      </w:r>
    </w:p>
    <w:p w14:paraId="585648A9" w14:textId="146AA2AE" w:rsidR="001D7B24" w:rsidRPr="0093455D" w:rsidRDefault="001D7B24" w:rsidP="00ED70B6">
      <w:pPr>
        <w:pStyle w:val="Akapitzlist"/>
        <w:numPr>
          <w:ilvl w:val="0"/>
          <w:numId w:val="12"/>
        </w:numPr>
        <w:spacing w:after="0" w:line="240" w:lineRule="auto"/>
        <w:ind w:left="0"/>
        <w:jc w:val="both"/>
        <w:rPr>
          <w:rFonts w:ascii="Times New Roman" w:eastAsia="Times New Roman" w:hAnsi="Times New Roman"/>
          <w:kern w:val="0"/>
          <w:lang w:eastAsia="pl-PL"/>
        </w:rPr>
      </w:pPr>
      <w:r w:rsidRPr="0093455D">
        <w:rPr>
          <w:rFonts w:ascii="Times New Roman" w:eastAsia="Times New Roman" w:hAnsi="Times New Roman"/>
          <w:kern w:val="0"/>
          <w:lang w:eastAsia="pl-PL"/>
        </w:rPr>
        <w:lastRenderedPageBreak/>
        <w:t>konieczności zapewnienia racjonalnego i bezpiecznego dostępu komunikacyjnego,</w:t>
      </w:r>
    </w:p>
    <w:p w14:paraId="012E6F76" w14:textId="77777777" w:rsidR="001D7B24" w:rsidRPr="0093455D" w:rsidRDefault="001D7B24" w:rsidP="00ED70B6">
      <w:pPr>
        <w:pStyle w:val="Akapitzlist"/>
        <w:numPr>
          <w:ilvl w:val="0"/>
          <w:numId w:val="12"/>
        </w:numPr>
        <w:spacing w:after="0" w:line="240" w:lineRule="auto"/>
        <w:ind w:left="0"/>
        <w:jc w:val="both"/>
        <w:rPr>
          <w:rFonts w:ascii="Times New Roman" w:eastAsia="Times New Roman" w:hAnsi="Times New Roman"/>
          <w:kern w:val="0"/>
          <w:lang w:eastAsia="pl-PL"/>
        </w:rPr>
      </w:pPr>
      <w:r w:rsidRPr="0093455D">
        <w:rPr>
          <w:rFonts w:ascii="Times New Roman" w:eastAsia="Times New Roman" w:hAnsi="Times New Roman"/>
          <w:kern w:val="0"/>
          <w:lang w:eastAsia="pl-PL"/>
        </w:rPr>
        <w:t>oraz potrzeby utrzymania spójności geometrycznej i przestrzennej układu podziałów.</w:t>
      </w:r>
    </w:p>
    <w:p w14:paraId="6D76C334" w14:textId="77777777" w:rsidR="001D7B24" w:rsidRPr="0093455D" w:rsidRDefault="001D7B24" w:rsidP="001D7B24">
      <w:pPr>
        <w:spacing w:after="0" w:line="240" w:lineRule="auto"/>
        <w:jc w:val="both"/>
        <w:rPr>
          <w:rFonts w:ascii="Times New Roman" w:eastAsia="Times New Roman" w:hAnsi="Times New Roman"/>
          <w:kern w:val="0"/>
          <w:lang w:eastAsia="pl-PL"/>
        </w:rPr>
      </w:pPr>
    </w:p>
    <w:p w14:paraId="1BC1F7CD" w14:textId="002B8AB9" w:rsidR="001D7B24" w:rsidRPr="0093455D" w:rsidRDefault="001D7B24" w:rsidP="001D7B24">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Uwarunkowania te wpisują się w cel planu, jakim jest zachowanie ładu przestrzennego oraz stworzenie warunków dla zrównoważonego rozwoju terenów wiejskich. Wprowadzone parametry nie miały na celu ustanowienia norm o charakterze bezwzględnym, lecz pełniły funkcję pomocniczą, porządkującą procesy podziałowe. Nie ograniczają prawa własności w sposób nadmierny ani nie tworzą samodzielnych zakazów – stanowią element racjonalnej techniki planistycznej.</w:t>
      </w:r>
    </w:p>
    <w:p w14:paraId="6C9711D6" w14:textId="77777777" w:rsidR="00E45858" w:rsidRPr="0093455D" w:rsidRDefault="00E45858" w:rsidP="00E45858">
      <w:pPr>
        <w:spacing w:after="0" w:line="240" w:lineRule="auto"/>
        <w:jc w:val="both"/>
        <w:rPr>
          <w:rFonts w:ascii="Times New Roman" w:eastAsia="Times New Roman" w:hAnsi="Times New Roman"/>
          <w:kern w:val="0"/>
          <w:lang w:eastAsia="pl-PL"/>
        </w:rPr>
      </w:pPr>
    </w:p>
    <w:p w14:paraId="73D3E415" w14:textId="4334EFEB"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b/>
          <w:bCs/>
          <w:kern w:val="0"/>
          <w:lang w:eastAsia="pl-PL"/>
        </w:rPr>
        <w:t>W zakresie powierzchni działek budowlanych ustalenia planu – zgodnie z § 10 pkt 2 lit. a – wprost odwołują się do przepisów odrębnych, co w ocenie Gminy wyklucza możliwość uznania ich za regulację sprzeczną z ustawą o planowaniu i zagospodarowaniu przestrzennym.</w:t>
      </w:r>
      <w:r w:rsidRPr="0093455D">
        <w:rPr>
          <w:rFonts w:ascii="Times New Roman" w:eastAsia="Times New Roman" w:hAnsi="Times New Roman"/>
          <w:kern w:val="0"/>
          <w:lang w:eastAsia="pl-PL"/>
        </w:rPr>
        <w:t xml:space="preserve"> Intencją organu planistycznego było bowiem zachowanie przejrzystości i systemowości zapisów planu poprzez wyraźne wskazanie, że dopuszczalna powierzchnia działki budowlanej nie jest ustalana w sposób autonomiczny przez plan, lecz wynika z norm zawartych w innych aktach prawnych – np. ustawie o gospodarce nieruchomościami.</w:t>
      </w:r>
    </w:p>
    <w:p w14:paraId="22E1F051"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50CD2279"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b/>
          <w:bCs/>
          <w:kern w:val="0"/>
          <w:lang w:eastAsia="pl-PL"/>
        </w:rPr>
        <w:t>Wprowadzenie tego zapisu miało charakter porządkowy i pomocniczy</w:t>
      </w:r>
      <w:r w:rsidRPr="0093455D">
        <w:rPr>
          <w:rFonts w:ascii="Times New Roman" w:eastAsia="Times New Roman" w:hAnsi="Times New Roman"/>
          <w:kern w:val="0"/>
          <w:lang w:eastAsia="pl-PL"/>
        </w:rPr>
        <w:t xml:space="preserve"> – zamiast pomijać całkowicie temat minimalnych powierzchni działek, plan miejscowy transparentnie wskazuje, że właściwe parametry należy określać na podstawie obowiązujących regulacji ogólnych. Takie rozwiązanie nie tylko ułatwia interpretację ustaleń planu przez inwestorów, projektantów i organy administracji, ale też pozwala uniknąć ryzyka kolizji pomiędzy planem a aktami wyższego rzędu.</w:t>
      </w:r>
    </w:p>
    <w:p w14:paraId="68B06DFF"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5378BB02" w14:textId="77777777" w:rsidR="00EE4F8C" w:rsidRPr="0093455D" w:rsidRDefault="00EE4F8C" w:rsidP="00EE4F8C">
      <w:pPr>
        <w:spacing w:after="0" w:line="240" w:lineRule="auto"/>
        <w:jc w:val="both"/>
        <w:rPr>
          <w:rFonts w:ascii="Times New Roman" w:eastAsia="Times New Roman" w:hAnsi="Times New Roman"/>
          <w:b/>
          <w:bCs/>
          <w:kern w:val="0"/>
          <w:lang w:eastAsia="pl-PL"/>
        </w:rPr>
      </w:pPr>
      <w:r w:rsidRPr="0093455D">
        <w:rPr>
          <w:rFonts w:ascii="Times New Roman" w:eastAsia="Times New Roman" w:hAnsi="Times New Roman"/>
          <w:b/>
          <w:bCs/>
          <w:kern w:val="0"/>
          <w:lang w:eastAsia="pl-PL"/>
        </w:rPr>
        <w:t>Zapis § 10 pkt 2 lit. a nie stanowi nowej normy materialnoprawnej, lecz działa jako odsyłacz systemowy, który jasno wyznacza granice kompetencji planu. Gmina nie formułowała samodzielnego katalogu wymagań powierzchniowych, lecz jedynie potwierdziła, że takie wymagania istnieją i że należy ich szukać w przepisach powszechnie obowiązujących. W tym zakresie zapis ten wpisuje się w zasadę pomocniczości planowania i praktykę prawidłowej legislacji lokalnej.</w:t>
      </w:r>
    </w:p>
    <w:p w14:paraId="59AB20BB"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273F2A6F" w14:textId="60E4CFE7" w:rsidR="00EE4F8C" w:rsidRPr="0093455D" w:rsidRDefault="00EE4F8C" w:rsidP="00EE4F8C">
      <w:pPr>
        <w:spacing w:after="0" w:line="240" w:lineRule="auto"/>
        <w:jc w:val="both"/>
        <w:rPr>
          <w:rFonts w:ascii="Times New Roman" w:eastAsia="Times New Roman" w:hAnsi="Times New Roman"/>
          <w:kern w:val="0"/>
          <w:lang w:eastAsia="pl-PL"/>
        </w:rPr>
      </w:pPr>
      <w:bookmarkStart w:id="2" w:name="_Hlk198288012"/>
      <w:r w:rsidRPr="0093455D">
        <w:rPr>
          <w:rFonts w:ascii="Times New Roman" w:eastAsia="Times New Roman" w:hAnsi="Times New Roman"/>
          <w:kern w:val="0"/>
          <w:lang w:eastAsia="pl-PL"/>
        </w:rPr>
        <w:t>Powyższe stanowisko znajduje odzwierciedlenie w orzecznictwie sądów administracyjnych. Przykładowo:</w:t>
      </w:r>
    </w:p>
    <w:p w14:paraId="18EB9B0F" w14:textId="4508C056"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NSA w wyroku z 23 listopada 2022 r., sygn. II OSK 1230/20, jednoznacznie stwierdził:</w:t>
      </w:r>
    </w:p>
    <w:p w14:paraId="5276CA6B" w14:textId="7BC780E6"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„Nie można uznać za sprzeczne z prawem ustalenia planistycznego, które ogranicza się do odesłania do obowiązujących przepisów powszechnych, o ile ma ono charakter techniczny, informacyjny lub porządkujący.”</w:t>
      </w:r>
    </w:p>
    <w:p w14:paraId="69506C7D" w14:textId="2FA8F9B5"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Podobnie WSA w Krakowie w wyroku z 10 czerwca 2021 r., sygn. II SA/Kr 405/21, wskazał:</w:t>
      </w:r>
    </w:p>
    <w:p w14:paraId="4F429439" w14:textId="00805BDD"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„Zamieszczenie w planie miejscowym odesłania do przepisów odrębnych nie stanowi przekroczenia uprawnień planistycznych gminy, jeżeli nie rodzi ono samodzielnych obowiązków ani nie powiela treści norm ustawowych.”</w:t>
      </w:r>
    </w:p>
    <w:p w14:paraId="6FB078DA" w14:textId="5750EF39"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Również NSA w wyroku z 12 maja 2020 r., II OSK 2962/19 zaakcentował:</w:t>
      </w:r>
    </w:p>
    <w:p w14:paraId="60194365"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„Wskazanie w uchwale planistycznej, że określone zagadnienie podlega regulacjom przepisów odrębnych, ma charakter neutralny normatywnie i służy przejrzystości aktu prawa miejscowego.”</w:t>
      </w:r>
    </w:p>
    <w:p w14:paraId="443B71CD"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3789A5D5"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Z uwagi na powyższe, zapis § 10 pkt 2 lit. a należy interpretować jako przejaw lojalności systemowej – Gmina jednoznacznie wskazuje, że nie wprowadza samodzielnych regulacji w zakresie powierzchni działek, lecz respektuje przepisy wyższego rzędu, co w pełni odpowiada założeniom ustawy o planowaniu przestrzennym i zasadzie legalizmu.</w:t>
      </w:r>
    </w:p>
    <w:bookmarkEnd w:id="2"/>
    <w:p w14:paraId="4A4D189C" w14:textId="77777777" w:rsidR="00EE4F8C" w:rsidRPr="0093455D" w:rsidRDefault="00EE4F8C" w:rsidP="00E45858">
      <w:pPr>
        <w:spacing w:after="0" w:line="240" w:lineRule="auto"/>
        <w:jc w:val="both"/>
        <w:rPr>
          <w:rFonts w:ascii="Times New Roman" w:eastAsia="Times New Roman" w:hAnsi="Times New Roman"/>
          <w:kern w:val="0"/>
          <w:lang w:eastAsia="pl-PL"/>
        </w:rPr>
      </w:pPr>
    </w:p>
    <w:p w14:paraId="23A61F0B"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W szczególności, odniesienia wymaga zakwestionowany zapis dotyczący kąta położenia granic działek względem pasa drogowego w zakresie od 65° do 90°. W ocenie Gminy Dobrzyca, ustalenie to miało charakter techniczno-porządkowy, a jego celem było zapewnienie logicznego układu podziałów nieruchomości względem istniejącego i planowanego systemu komunikacyjnego. Kąt granicy działki względem drogi publicznej wpływa bezpośrednio na jakość i funkcjonalność dostępu komunikacyjnego – zarówno dla celów realizacji zabudowy zagrodowej, jak i efektywnego korzystania z nieruchomości.</w:t>
      </w:r>
    </w:p>
    <w:p w14:paraId="3701B799"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57ED30D0"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W praktyce planistycznej oraz geodezyjnej przyjmuje się, że granice działek powinny być prowadzone możliwie prostopadle lub zbliżone do prostopadłości względem osi drogi – co zapewnia czytelność podziałów, prawidłowy dostęp, właściwe sytuowanie zjazdów, a także minimalizuje ryzyko konfliktów własnościowych i problemów projektowych. Wskazanie przedziału kątowego od 65° do 90° miało na celu właśnie takie uporządkowanie geometrii działek, a tym samym przeciwdziałanie podziałom generującym niepraktyczne, wąskie i wydłużone nieruchomości, trudne do zabudowy i obsługi komunikacyjnej.</w:t>
      </w:r>
    </w:p>
    <w:p w14:paraId="4176794C"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79183B5D"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Co istotne, ustalenie to nie narusza przepisów art. 93 ani art. 95 ustawy o gospodarce nieruchomościami – które nie zawierają zakazu wprowadzania takich wymogów w miejscowym planie zagospodarowania przestrzennego. Artykuły te określają ogólne zasady podziału nieruchomości i nie wykluczają wskazania kąta położenia granicy jako jednego z warunków przestrzennych. Wręcz przeciwnie – z perspektywy planowania przestrzennego wskazanie tego typu parametrów mieści się w ramach zasady ładu przestrzennego oraz zasady zapewnienia dostępu do drogi publicznej, o których mowa w art. 1 ust. 2 ustawy o planowaniu przestrzennym.</w:t>
      </w:r>
    </w:p>
    <w:p w14:paraId="31AA4810"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6C9B493A"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Ustalenie zawarte w § 10 nie było normą samoistną, lecz punktem odniesienia w procesie interpretacji i oceny podziałów, a jego celem była ochrona racjonalnego i funkcjonalnego układu przestrzennego. Wskazany zakres kąta stanowił wyłącznie ramowe wytyczne, niewiążące w sposób bezwzględny, i nie pozbawiał organów administracji geodezyjnej możliwości indywidualnej oceny konkretnego wniosku o podział w świetle przepisów wykonawczych.</w:t>
      </w:r>
    </w:p>
    <w:p w14:paraId="1C5537D9"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0C4C4A64"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 xml:space="preserve">Podobne stanowisko zostało potwierdzone w orzecznictwie. W wyroku WSA w Olsztynie z 24 sierpnia 2023 r. (sygn. II SA/Ol 418/23) sąd wskazał, że plan miejscowy może zawierać „ustalenia o charakterze porządkującym </w:t>
      </w:r>
      <w:proofErr w:type="spellStart"/>
      <w:r w:rsidRPr="0093455D">
        <w:rPr>
          <w:rFonts w:ascii="Times New Roman" w:eastAsia="Times New Roman" w:hAnsi="Times New Roman"/>
          <w:kern w:val="0"/>
          <w:lang w:eastAsia="pl-PL"/>
        </w:rPr>
        <w:t>geometrykę</w:t>
      </w:r>
      <w:proofErr w:type="spellEnd"/>
      <w:r w:rsidRPr="0093455D">
        <w:rPr>
          <w:rFonts w:ascii="Times New Roman" w:eastAsia="Times New Roman" w:hAnsi="Times New Roman"/>
          <w:kern w:val="0"/>
          <w:lang w:eastAsia="pl-PL"/>
        </w:rPr>
        <w:t xml:space="preserve"> działek, o ile nie wprowadzają one bezpośrednio ograniczeń prawa własności i są związane z celem planu, jakim jest zachowanie ładu przestrzennego oraz logicznego układu przestrzeni”. Z kolei NSA w wyroku z dnia 22 listopada 2018 r. (II OSK 2244/18) podkreślił, że „plan miejscowy nie może regulować samodzielnie zasad podziału nieruchomości, ale może zawierać wytyczne co do ich kształtu, jeżeli pozostają one w funkcjonalnym związku z przeznaczeniem terenu”.</w:t>
      </w:r>
    </w:p>
    <w:p w14:paraId="65CE8789"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3F328F3A"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Wskazany w planie przedział kąta nie był więc przepisem prawa materialnego ani autonomiczną podstawą odmowy podziału nieruchomości. Stanowił wskaźnik planistyczny, ułatwiający interpretację zgodności projektów podziału z ustaleniami planu, a tym samym z zasadami ładu przestrzennego. Ocena spełnienia tych warunków i tak należy do organów prowadzących postępowania podziałowe, które mają obowiązek uwzględnić także przepisy wykonawcze do ustawy o gospodarce nieruchomościami.</w:t>
      </w:r>
    </w:p>
    <w:p w14:paraId="11AD7299" w14:textId="77777777" w:rsidR="00EE4F8C" w:rsidRPr="0093455D" w:rsidRDefault="00EE4F8C" w:rsidP="00EE4F8C">
      <w:pPr>
        <w:spacing w:after="0" w:line="240" w:lineRule="auto"/>
        <w:jc w:val="both"/>
        <w:rPr>
          <w:rFonts w:ascii="Times New Roman" w:eastAsia="Times New Roman" w:hAnsi="Times New Roman"/>
          <w:kern w:val="0"/>
          <w:lang w:eastAsia="pl-PL"/>
        </w:rPr>
      </w:pPr>
    </w:p>
    <w:p w14:paraId="461218D8" w14:textId="77777777" w:rsidR="00EE4F8C" w:rsidRPr="0093455D" w:rsidRDefault="00EE4F8C" w:rsidP="00EE4F8C">
      <w:pPr>
        <w:spacing w:after="0" w:line="240" w:lineRule="auto"/>
        <w:jc w:val="both"/>
        <w:rPr>
          <w:rFonts w:ascii="Times New Roman" w:eastAsia="Times New Roman" w:hAnsi="Times New Roman"/>
          <w:kern w:val="0"/>
          <w:lang w:eastAsia="pl-PL"/>
        </w:rPr>
      </w:pPr>
      <w:r w:rsidRPr="0093455D">
        <w:rPr>
          <w:rFonts w:ascii="Times New Roman" w:eastAsia="Times New Roman" w:hAnsi="Times New Roman"/>
          <w:kern w:val="0"/>
          <w:lang w:eastAsia="pl-PL"/>
        </w:rPr>
        <w:t xml:space="preserve">Z perspektywy technicznej ustalenie to stanowiło zatem narzędzie wsparcia dla praktyki stosowania planu, nie zaś źródło nowego obowiązku prawnego. Gmina wprowadzając je </w:t>
      </w:r>
      <w:r w:rsidRPr="0093455D">
        <w:rPr>
          <w:rFonts w:ascii="Times New Roman" w:eastAsia="Times New Roman" w:hAnsi="Times New Roman"/>
          <w:kern w:val="0"/>
          <w:lang w:eastAsia="pl-PL"/>
        </w:rPr>
        <w:lastRenderedPageBreak/>
        <w:t>kierowała się intencją unifikacji i uporządkowania podziałów działek w sposób sprzyjający efektywnemu wykorzystaniu przestrzeni, a nie chęcią arbitralnego ograniczenia praw właścicieli.</w:t>
      </w:r>
    </w:p>
    <w:p w14:paraId="5840A635" w14:textId="77777777" w:rsidR="00FA11B6" w:rsidRPr="0093455D" w:rsidRDefault="00FA11B6" w:rsidP="00CC7B1F">
      <w:pPr>
        <w:spacing w:after="0" w:line="240" w:lineRule="auto"/>
        <w:jc w:val="both"/>
        <w:rPr>
          <w:rFonts w:ascii="Times New Roman" w:eastAsia="Times New Roman" w:hAnsi="Times New Roman"/>
          <w:kern w:val="0"/>
          <w:lang w:eastAsia="pl-PL"/>
        </w:rPr>
      </w:pPr>
    </w:p>
    <w:p w14:paraId="131880FF" w14:textId="77777777" w:rsidR="00E9539F" w:rsidRPr="0093455D" w:rsidRDefault="00E9539F" w:rsidP="00E9539F">
      <w:pPr>
        <w:spacing w:after="0" w:line="240" w:lineRule="auto"/>
        <w:jc w:val="both"/>
        <w:rPr>
          <w:rFonts w:ascii="Times New Roman" w:eastAsia="Times New Roman" w:hAnsi="Times New Roman"/>
          <w:b/>
          <w:bCs/>
          <w:kern w:val="0"/>
          <w:lang w:eastAsia="pl-PL"/>
        </w:rPr>
      </w:pPr>
      <w:r w:rsidRPr="0093455D">
        <w:rPr>
          <w:rFonts w:ascii="Times New Roman" w:eastAsia="Times New Roman" w:hAnsi="Times New Roman"/>
          <w:b/>
          <w:bCs/>
          <w:kern w:val="0"/>
          <w:lang w:eastAsia="pl-PL"/>
        </w:rPr>
        <w:t>Wprowadzenie omawianych zapisów nie miało na celu tworzenia nowej normy prawnej, lecz pełniło funkcję pomocniczą – wskazując minimalne wartości jako punkt odniesienia dla interpretacji przyszłych zamierzeń inwestycyjnych. Z perspektywy planistycznej intencją było zabezpieczenie ładu przestrzennego i uniknięcie sytuacji, w której powstałyby działki uniemożliwiające realizację zamierzeń zgodnych z funkcją RZM i RZP, a jednocześnie nieodwracalnie zaburzające strukturę przestrzenną terenu.</w:t>
      </w:r>
    </w:p>
    <w:p w14:paraId="2E1965D8" w14:textId="77777777" w:rsidR="00E9539F" w:rsidRPr="0093455D" w:rsidRDefault="00E9539F" w:rsidP="00E9539F">
      <w:pPr>
        <w:spacing w:after="0" w:line="240" w:lineRule="auto"/>
        <w:jc w:val="both"/>
        <w:rPr>
          <w:rFonts w:ascii="Times New Roman" w:eastAsia="Times New Roman" w:hAnsi="Times New Roman"/>
          <w:b/>
          <w:bCs/>
          <w:kern w:val="0"/>
          <w:lang w:eastAsia="pl-PL"/>
        </w:rPr>
      </w:pPr>
    </w:p>
    <w:p w14:paraId="1F64D395" w14:textId="56038D84" w:rsidR="00E9539F" w:rsidRPr="0093455D" w:rsidRDefault="00E9539F" w:rsidP="00E9539F">
      <w:pPr>
        <w:spacing w:after="0" w:line="240" w:lineRule="auto"/>
        <w:jc w:val="both"/>
        <w:rPr>
          <w:rFonts w:ascii="Times New Roman" w:eastAsia="Times New Roman" w:hAnsi="Times New Roman"/>
          <w:b/>
          <w:bCs/>
          <w:kern w:val="0"/>
          <w:lang w:eastAsia="pl-PL"/>
        </w:rPr>
      </w:pPr>
      <w:r w:rsidRPr="0093455D">
        <w:rPr>
          <w:rFonts w:ascii="Times New Roman" w:eastAsia="Times New Roman" w:hAnsi="Times New Roman"/>
          <w:b/>
          <w:bCs/>
          <w:kern w:val="0"/>
          <w:lang w:eastAsia="pl-PL"/>
        </w:rPr>
        <w:t>W szczególności, plan miejscowy miał przeciwdziałać niekontrolowanemu rozdrobnieniu nieruchomości oraz powstawaniu działek o nieregularnych kształtach, nieadekwatnych do zamierzonej funkcji zagrodowej lub produkcyjnej. Określenie minimalnych wymiarów działek, takich jak szerokość frontu, miało na celu porządkowanie praktyki podziałów oraz zapewnienie spójności przestrzennej z uwagi na uwarunkowania lokalne.</w:t>
      </w:r>
    </w:p>
    <w:p w14:paraId="7A15B2DF" w14:textId="77777777" w:rsidR="00E9539F" w:rsidRPr="0093455D" w:rsidRDefault="00E9539F" w:rsidP="00E9539F">
      <w:pPr>
        <w:spacing w:after="0" w:line="240" w:lineRule="auto"/>
        <w:jc w:val="both"/>
        <w:rPr>
          <w:rFonts w:ascii="Times New Roman" w:eastAsia="Times New Roman" w:hAnsi="Times New Roman"/>
          <w:b/>
          <w:bCs/>
          <w:kern w:val="0"/>
          <w:lang w:eastAsia="pl-PL"/>
        </w:rPr>
      </w:pPr>
    </w:p>
    <w:p w14:paraId="07B795CB" w14:textId="2D7C1A9C" w:rsidR="006F4FAF" w:rsidRPr="0093455D" w:rsidRDefault="00E9539F" w:rsidP="00E9539F">
      <w:pPr>
        <w:spacing w:after="0" w:line="240" w:lineRule="auto"/>
        <w:jc w:val="both"/>
        <w:rPr>
          <w:rFonts w:ascii="Times New Roman" w:eastAsia="Times New Roman" w:hAnsi="Times New Roman"/>
          <w:b/>
          <w:bCs/>
          <w:kern w:val="0"/>
          <w:lang w:eastAsia="pl-PL"/>
        </w:rPr>
      </w:pPr>
      <w:r w:rsidRPr="0093455D">
        <w:rPr>
          <w:rFonts w:ascii="Times New Roman" w:eastAsia="Times New Roman" w:hAnsi="Times New Roman"/>
          <w:b/>
          <w:bCs/>
          <w:kern w:val="0"/>
          <w:lang w:eastAsia="pl-PL"/>
        </w:rPr>
        <w:t>Ustalenia te nie stanowią przepisów prawa materialnego, lecz narzędzie planistyczne służące kształtowaniu racjonalnej struktury przestrzennej, mieszczące się w granicach upoważnienia wynikającego z art. 15 ust. 2 pkt 8 ustawy planistycznej. Nie stanowią one obostrzeń wykraczających poza kompetencje planistyczne gminy, lecz odzwierciedlają lokalne potrzeby w zakresie ochrony przestrzeni przed degradacją funkcjonalno-kompozycyjną.</w:t>
      </w:r>
    </w:p>
    <w:p w14:paraId="40F605B5" w14:textId="77777777" w:rsidR="00FA11B6" w:rsidRPr="0093455D" w:rsidRDefault="00FA11B6" w:rsidP="00D34186">
      <w:pPr>
        <w:spacing w:after="0" w:line="240" w:lineRule="auto"/>
        <w:jc w:val="both"/>
        <w:rPr>
          <w:rFonts w:ascii="Times New Roman" w:eastAsia="Times New Roman" w:hAnsi="Times New Roman"/>
          <w:kern w:val="0"/>
          <w:lang w:eastAsia="pl-PL"/>
        </w:rPr>
      </w:pPr>
    </w:p>
    <w:p w14:paraId="1E1E5FB4" w14:textId="77777777" w:rsidR="00706FC2" w:rsidRPr="0093455D" w:rsidRDefault="00000000">
      <w:pPr>
        <w:suppressAutoHyphens w:val="0"/>
        <w:spacing w:before="100" w:after="100" w:line="240" w:lineRule="auto"/>
        <w:jc w:val="center"/>
      </w:pPr>
      <w:r w:rsidRPr="0093455D">
        <w:rPr>
          <w:rFonts w:ascii="Times New Roman" w:eastAsia="Times New Roman" w:hAnsi="Times New Roman"/>
          <w:b/>
          <w:bCs/>
          <w:kern w:val="0"/>
          <w:lang w:eastAsia="pl-PL"/>
        </w:rPr>
        <w:t>Podsumowanie</w:t>
      </w:r>
    </w:p>
    <w:p w14:paraId="74D1A5D6" w14:textId="7B2419EE" w:rsidR="00E9539F" w:rsidRPr="0093455D" w:rsidRDefault="00E52FC5" w:rsidP="00E9539F">
      <w:pPr>
        <w:pStyle w:val="NormalnyWeb"/>
        <w:suppressAutoHyphens/>
        <w:jc w:val="both"/>
        <w:rPr>
          <w:rStyle w:val="fadeinm1hgl8"/>
        </w:rPr>
      </w:pPr>
      <w:r w:rsidRPr="0093455D">
        <w:rPr>
          <w:rStyle w:val="fadeinm1hgl8"/>
        </w:rPr>
        <w:t>Mając na uwadze powyższe, Rada Miejska Gminy Dobrzyca podtrzymuje, że zapis</w:t>
      </w:r>
      <w:r w:rsidR="00FA11B6" w:rsidRPr="0093455D">
        <w:rPr>
          <w:rStyle w:val="fadeinm1hgl8"/>
        </w:rPr>
        <w:t>y:</w:t>
      </w:r>
      <w:r w:rsidRPr="0093455D">
        <w:rPr>
          <w:rStyle w:val="fadeinm1hgl8"/>
        </w:rPr>
        <w:t xml:space="preserve"> </w:t>
      </w:r>
      <w:r w:rsidR="00FA11B6" w:rsidRPr="0093455D">
        <w:rPr>
          <w:rStyle w:val="fadeinm1hgl8"/>
        </w:rPr>
        <w:t xml:space="preserve">§ 10 pkt 1 lit. a i b oraz § 10 pkt 2 lit. a </w:t>
      </w:r>
      <w:r w:rsidRPr="0093455D">
        <w:rPr>
          <w:rStyle w:val="fadeinm1hgl8"/>
        </w:rPr>
        <w:t>uchwały Nr L</w:t>
      </w:r>
      <w:r w:rsidR="00050D2A">
        <w:rPr>
          <w:rStyle w:val="fadeinm1hgl8"/>
        </w:rPr>
        <w:t>VI</w:t>
      </w:r>
      <w:r w:rsidRPr="0093455D">
        <w:rPr>
          <w:rStyle w:val="fadeinm1hgl8"/>
        </w:rPr>
        <w:t>/</w:t>
      </w:r>
      <w:r w:rsidR="00FA11B6" w:rsidRPr="0093455D">
        <w:rPr>
          <w:rStyle w:val="fadeinm1hgl8"/>
        </w:rPr>
        <w:t>507</w:t>
      </w:r>
      <w:r w:rsidRPr="0093455D">
        <w:rPr>
          <w:rStyle w:val="fadeinm1hgl8"/>
        </w:rPr>
        <w:t>/2024</w:t>
      </w:r>
      <w:r w:rsidR="00FA11B6" w:rsidRPr="0093455D">
        <w:rPr>
          <w:rStyle w:val="fadeinm1hgl8"/>
        </w:rPr>
        <w:t>,</w:t>
      </w:r>
      <w:r w:rsidRPr="0093455D">
        <w:rPr>
          <w:rStyle w:val="fadeinm1hgl8"/>
        </w:rPr>
        <w:t xml:space="preserve"> choć wprowadzon</w:t>
      </w:r>
      <w:r w:rsidR="00FA11B6" w:rsidRPr="0093455D">
        <w:rPr>
          <w:rStyle w:val="fadeinm1hgl8"/>
        </w:rPr>
        <w:t>e</w:t>
      </w:r>
      <w:r w:rsidRPr="0093455D">
        <w:rPr>
          <w:rStyle w:val="fadeinm1hgl8"/>
        </w:rPr>
        <w:t xml:space="preserve"> w dobrej wierze, na gruncie lokalnych doświadczeń i w interesie ładu przestrzennego – mo</w:t>
      </w:r>
      <w:r w:rsidR="00FA11B6" w:rsidRPr="0093455D">
        <w:rPr>
          <w:rStyle w:val="fadeinm1hgl8"/>
        </w:rPr>
        <w:t xml:space="preserve">gą </w:t>
      </w:r>
      <w:r w:rsidRPr="0093455D">
        <w:rPr>
          <w:rStyle w:val="fadeinm1hgl8"/>
        </w:rPr>
        <w:t>zostać ocenion</w:t>
      </w:r>
      <w:r w:rsidR="00FA11B6" w:rsidRPr="0093455D">
        <w:rPr>
          <w:rStyle w:val="fadeinm1hgl8"/>
        </w:rPr>
        <w:t>e</w:t>
      </w:r>
      <w:r w:rsidRPr="0093455D">
        <w:rPr>
          <w:rStyle w:val="fadeinm1hgl8"/>
        </w:rPr>
        <w:t xml:space="preserve"> jako wykraczając</w:t>
      </w:r>
      <w:r w:rsidR="00FA11B6" w:rsidRPr="0093455D">
        <w:rPr>
          <w:rStyle w:val="fadeinm1hgl8"/>
        </w:rPr>
        <w:t>e</w:t>
      </w:r>
      <w:r w:rsidRPr="0093455D">
        <w:rPr>
          <w:rStyle w:val="fadeinm1hgl8"/>
        </w:rPr>
        <w:t xml:space="preserve"> poza obowiązujące regulacje ustawowe w zakresie odnoszącym się do gruntów rolnych.</w:t>
      </w:r>
    </w:p>
    <w:p w14:paraId="29D3F186" w14:textId="77777777" w:rsidR="00E9539F" w:rsidRPr="0093455D" w:rsidRDefault="00E9539F" w:rsidP="00E9539F">
      <w:pPr>
        <w:spacing w:after="0" w:line="240" w:lineRule="auto"/>
        <w:jc w:val="both"/>
        <w:rPr>
          <w:rStyle w:val="fadeinm1hgl8"/>
          <w:rFonts w:ascii="Times New Roman" w:eastAsia="Times New Roman" w:hAnsi="Times New Roman"/>
          <w:kern w:val="0"/>
          <w:lang w:eastAsia="pl-PL"/>
        </w:rPr>
      </w:pPr>
      <w:r w:rsidRPr="0093455D">
        <w:rPr>
          <w:rStyle w:val="fadeinm1hgl8"/>
          <w:rFonts w:ascii="Times New Roman" w:eastAsia="Times New Roman" w:hAnsi="Times New Roman"/>
          <w:kern w:val="0"/>
          <w:lang w:eastAsia="pl-PL"/>
        </w:rPr>
        <w:t>Jednocześnie Gmina nie podziela stanowiska, jakoby zakwestionowane zapisy stanowiły istotne naruszenie prawa w rozumieniu art. 28 ustawy o planowaniu i zagospodarowaniu przestrzennym. Ustalenia zawarte w § 10 miały charakter pomocniczy, porządkujący i interpretacyjny, nie naruszały przepisów bezwzględnie obowiązujących, ani nie wprowadzały ograniczeń własnościowych o charakterze ingerencyjnym. Ich celem było zabezpieczenie ładu przestrzennego, przeciwdziałanie wtórnemu rozdrobnieniu działek oraz utrzymanie spójnej i funkcjonalnej struktury przestrzennej obszaru objętego planem.</w:t>
      </w:r>
    </w:p>
    <w:p w14:paraId="42E57DC4" w14:textId="77777777" w:rsidR="00E9539F" w:rsidRPr="0093455D" w:rsidRDefault="00E9539F" w:rsidP="00E9539F">
      <w:pPr>
        <w:spacing w:after="0" w:line="240" w:lineRule="auto"/>
        <w:jc w:val="both"/>
        <w:rPr>
          <w:rStyle w:val="fadeinm1hgl8"/>
          <w:rFonts w:ascii="Times New Roman" w:eastAsia="Times New Roman" w:hAnsi="Times New Roman"/>
          <w:kern w:val="0"/>
          <w:lang w:eastAsia="pl-PL"/>
        </w:rPr>
      </w:pPr>
    </w:p>
    <w:p w14:paraId="7916AB1B" w14:textId="77777777" w:rsidR="00E9539F" w:rsidRPr="0093455D" w:rsidRDefault="00E9539F" w:rsidP="00E9539F">
      <w:pPr>
        <w:spacing w:after="0" w:line="240" w:lineRule="auto"/>
        <w:jc w:val="both"/>
        <w:rPr>
          <w:rStyle w:val="fadeinm1hgl8"/>
          <w:rFonts w:ascii="Times New Roman" w:eastAsia="Times New Roman" w:hAnsi="Times New Roman"/>
          <w:kern w:val="0"/>
          <w:lang w:eastAsia="pl-PL"/>
        </w:rPr>
      </w:pPr>
      <w:r w:rsidRPr="0093455D">
        <w:rPr>
          <w:rStyle w:val="fadeinm1hgl8"/>
          <w:rFonts w:ascii="Times New Roman" w:eastAsia="Times New Roman" w:hAnsi="Times New Roman"/>
          <w:kern w:val="0"/>
          <w:lang w:eastAsia="pl-PL"/>
        </w:rPr>
        <w:t>W ocenie Gminy, ewentualne uchylenie zakwestionowanych ustaleń § 10 przez Wojewódzki Sąd Administracyjny – traktowane jako środek techniczno-ostrożnościowy – nie wpłynie na spójność, integralność ani skuteczność pozostałych postanowień planu miejscowego. Uchwała zachowuje swoją wartość jako akt prawa miejscowego umożliwiający realizację celów polityki przestrzennej gminy w sposób zgodny z interesem publicznym oraz z obowiązującym porządkiem prawnym.</w:t>
      </w:r>
    </w:p>
    <w:p w14:paraId="75AF2204" w14:textId="77777777" w:rsidR="00E9539F" w:rsidRPr="0093455D" w:rsidRDefault="00E9539F" w:rsidP="00E9539F">
      <w:pPr>
        <w:spacing w:after="0" w:line="240" w:lineRule="auto"/>
        <w:jc w:val="both"/>
        <w:rPr>
          <w:rStyle w:val="fadeinm1hgl8"/>
          <w:rFonts w:ascii="Times New Roman" w:eastAsia="Times New Roman" w:hAnsi="Times New Roman"/>
          <w:kern w:val="0"/>
          <w:lang w:eastAsia="pl-PL"/>
        </w:rPr>
      </w:pPr>
    </w:p>
    <w:p w14:paraId="2753DCFE" w14:textId="5AB8F35B" w:rsidR="00706FC2" w:rsidRPr="0093455D" w:rsidRDefault="00E9539F" w:rsidP="00E9539F">
      <w:pPr>
        <w:spacing w:after="0" w:line="240" w:lineRule="auto"/>
        <w:jc w:val="both"/>
        <w:rPr>
          <w:rFonts w:ascii="Times New Roman" w:eastAsia="Times New Roman" w:hAnsi="Times New Roman"/>
          <w:b/>
          <w:bCs/>
          <w:kern w:val="0"/>
          <w:sz w:val="22"/>
          <w:szCs w:val="22"/>
          <w:shd w:val="clear" w:color="auto" w:fill="FFFF00"/>
          <w:lang w:eastAsia="pl-PL"/>
        </w:rPr>
      </w:pPr>
      <w:r w:rsidRPr="0093455D">
        <w:rPr>
          <w:rStyle w:val="fadeinm1hgl8"/>
          <w:rFonts w:ascii="Times New Roman" w:eastAsia="Times New Roman" w:hAnsi="Times New Roman"/>
          <w:b/>
          <w:bCs/>
          <w:kern w:val="0"/>
          <w:lang w:eastAsia="pl-PL"/>
        </w:rPr>
        <w:t xml:space="preserve">W tym kontekście Gmina Dobrzyca nie sprzeciwia się stwierdzeniu nieważności § 10 pkt 1 lit. a i b oraz § 10 pkt 2 lit. a uchwały Nr LVI/507/2024 w drodze orzeczenia Wojewódzkiego Sądu Administracyjnego. W jej ocenie, uchylenie zakwestionowanych </w:t>
      </w:r>
      <w:r w:rsidRPr="0093455D">
        <w:rPr>
          <w:rStyle w:val="fadeinm1hgl8"/>
          <w:rFonts w:ascii="Times New Roman" w:eastAsia="Times New Roman" w:hAnsi="Times New Roman"/>
          <w:b/>
          <w:bCs/>
          <w:kern w:val="0"/>
          <w:lang w:eastAsia="pl-PL"/>
        </w:rPr>
        <w:lastRenderedPageBreak/>
        <w:t>zapisów – poprzez ich wykreślenie – stanowiłoby rozwiązanie proporcjonalne i wystarczające, pozwalające na utrzymanie w mocy pozostałych ustaleń planu, które nie budzą zastrzeżeń i realizują cele publiczne zgodnie z zasadami planowania przestrzennego.</w:t>
      </w:r>
    </w:p>
    <w:p w14:paraId="79310C79" w14:textId="16F7A65A" w:rsidR="00706FC2" w:rsidRDefault="00706FC2" w:rsidP="00E52FC5">
      <w:pPr>
        <w:jc w:val="right"/>
      </w:pPr>
    </w:p>
    <w:p w14:paraId="24D76DD4" w14:textId="77777777" w:rsidR="00F37D3B" w:rsidRDefault="00F37D3B" w:rsidP="00E52FC5">
      <w:pPr>
        <w:jc w:val="right"/>
      </w:pPr>
    </w:p>
    <w:p w14:paraId="4FD624BA" w14:textId="77777777" w:rsidR="001A3340" w:rsidRDefault="001A3340" w:rsidP="00E52FC5">
      <w:pPr>
        <w:jc w:val="right"/>
      </w:pPr>
    </w:p>
    <w:p w14:paraId="27AC8B79" w14:textId="77777777" w:rsidR="001A3340" w:rsidRDefault="001A3340" w:rsidP="00E52FC5">
      <w:pPr>
        <w:jc w:val="right"/>
      </w:pPr>
    </w:p>
    <w:p w14:paraId="5FF41D99" w14:textId="4672B255" w:rsidR="00F37D3B" w:rsidRPr="001A3340" w:rsidRDefault="00F37D3B" w:rsidP="00F37D3B">
      <w:pPr>
        <w:rPr>
          <w:rFonts w:ascii="Times New Roman" w:hAnsi="Times New Roman"/>
          <w:sz w:val="22"/>
          <w:szCs w:val="22"/>
        </w:rPr>
      </w:pPr>
      <w:r>
        <w:tab/>
      </w:r>
      <w:r w:rsidRPr="001A3340">
        <w:rPr>
          <w:rFonts w:ascii="Times New Roman" w:hAnsi="Times New Roman"/>
          <w:sz w:val="22"/>
          <w:szCs w:val="22"/>
        </w:rPr>
        <w:t xml:space="preserve">Załączniki: </w:t>
      </w:r>
    </w:p>
    <w:p w14:paraId="56D33C90" w14:textId="1072128E" w:rsidR="00F37D3B" w:rsidRPr="001A3340" w:rsidRDefault="00F37D3B" w:rsidP="001A3340">
      <w:pPr>
        <w:pStyle w:val="Akapitzlist"/>
        <w:numPr>
          <w:ilvl w:val="0"/>
          <w:numId w:val="13"/>
        </w:numPr>
        <w:rPr>
          <w:rFonts w:ascii="Times New Roman" w:hAnsi="Times New Roman"/>
          <w:sz w:val="22"/>
          <w:szCs w:val="22"/>
        </w:rPr>
      </w:pPr>
      <w:r w:rsidRPr="001A3340">
        <w:rPr>
          <w:rFonts w:ascii="Times New Roman" w:hAnsi="Times New Roman"/>
          <w:sz w:val="22"/>
          <w:szCs w:val="22"/>
        </w:rPr>
        <w:t>Uchwała Nr LVI/507/2024 Rady Miejskiej Gminy Dobrzyca z dnia 19 marca 2024 r. w sprawie uchwalenia zmiany miejscowego planu zagospodarowania przestrzennego gminy Dobrzyca na terenach części obrębów ewidencyjnych: miasto Dobrzyca, Fabianów, Galew, Gustawów, Izbiczno, Polskie Olędry, Sośnica i Trzebin.</w:t>
      </w:r>
    </w:p>
    <w:p w14:paraId="2D1CFA2E" w14:textId="3303B912" w:rsidR="001A3340" w:rsidRPr="001A3340" w:rsidRDefault="001A3340" w:rsidP="00050D2A">
      <w:pPr>
        <w:pStyle w:val="Akapitzlist"/>
        <w:rPr>
          <w:rFonts w:ascii="Times New Roman" w:hAnsi="Times New Roman"/>
          <w:sz w:val="22"/>
          <w:szCs w:val="22"/>
        </w:rPr>
      </w:pPr>
    </w:p>
    <w:sectPr w:rsidR="001A3340" w:rsidRPr="001A3340" w:rsidSect="00FA11B6">
      <w:footerReference w:type="default" r:id="rId7"/>
      <w:pgSz w:w="11906" w:h="16838"/>
      <w:pgMar w:top="1417" w:right="1417" w:bottom="1276" w:left="1417" w:header="708" w:footer="7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EE77E" w14:textId="77777777" w:rsidR="005D58B4" w:rsidRDefault="005D58B4">
      <w:pPr>
        <w:spacing w:after="0" w:line="240" w:lineRule="auto"/>
      </w:pPr>
      <w:r>
        <w:separator/>
      </w:r>
    </w:p>
  </w:endnote>
  <w:endnote w:type="continuationSeparator" w:id="0">
    <w:p w14:paraId="1379221C" w14:textId="77777777" w:rsidR="005D58B4" w:rsidRDefault="005D5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28986" w14:textId="07CF2C40" w:rsidR="009C2588" w:rsidRDefault="009C258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D8212" w14:textId="77777777" w:rsidR="005D58B4" w:rsidRDefault="005D58B4">
      <w:pPr>
        <w:spacing w:after="0" w:line="240" w:lineRule="auto"/>
      </w:pPr>
      <w:r>
        <w:rPr>
          <w:color w:val="000000"/>
        </w:rPr>
        <w:separator/>
      </w:r>
    </w:p>
  </w:footnote>
  <w:footnote w:type="continuationSeparator" w:id="0">
    <w:p w14:paraId="0F1E84FA" w14:textId="77777777" w:rsidR="005D58B4" w:rsidRDefault="005D58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B3130"/>
    <w:multiLevelType w:val="multilevel"/>
    <w:tmpl w:val="917842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0751DE4"/>
    <w:multiLevelType w:val="multilevel"/>
    <w:tmpl w:val="DCECDE2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0900D32"/>
    <w:multiLevelType w:val="multilevel"/>
    <w:tmpl w:val="AEE2972A"/>
    <w:lvl w:ilvl="0">
      <w:start w:val="1"/>
      <w:numFmt w:val="decimal"/>
      <w:lvlText w:val="%1."/>
      <w:lvlJc w:val="left"/>
      <w:pPr>
        <w:ind w:left="720" w:hanging="360"/>
      </w:pPr>
      <w:rPr>
        <w:rFonts w:ascii="Times New Roman" w:hAnsi="Times New Roman" w:cs="Times New Roman"/>
        <w:b/>
        <w:bCs/>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97D160D"/>
    <w:multiLevelType w:val="hybridMultilevel"/>
    <w:tmpl w:val="35AEC6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7936CCF"/>
    <w:multiLevelType w:val="multilevel"/>
    <w:tmpl w:val="FD56623A"/>
    <w:lvl w:ilvl="0">
      <w:start w:val="1"/>
      <w:numFmt w:val="lowerLetter"/>
      <w:lvlText w:val="%1)"/>
      <w:lvlJc w:val="left"/>
      <w:pPr>
        <w:ind w:left="720" w:hanging="360"/>
      </w:pPr>
      <w:rPr>
        <w:b w:val="0"/>
        <w:bCs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 w15:restartNumberingAfterBreak="0">
    <w:nsid w:val="3A743508"/>
    <w:multiLevelType w:val="hybridMultilevel"/>
    <w:tmpl w:val="4A32CA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5278FB"/>
    <w:multiLevelType w:val="multilevel"/>
    <w:tmpl w:val="E950372C"/>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7" w15:restartNumberingAfterBreak="0">
    <w:nsid w:val="45CC6E20"/>
    <w:multiLevelType w:val="multilevel"/>
    <w:tmpl w:val="17C89C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B75567D"/>
    <w:multiLevelType w:val="multilevel"/>
    <w:tmpl w:val="621E76E8"/>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6C750713"/>
    <w:multiLevelType w:val="multilevel"/>
    <w:tmpl w:val="180AA7B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0" w15:restartNumberingAfterBreak="0">
    <w:nsid w:val="734872F9"/>
    <w:multiLevelType w:val="multilevel"/>
    <w:tmpl w:val="2188DCB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15:restartNumberingAfterBreak="0">
    <w:nsid w:val="78093BDF"/>
    <w:multiLevelType w:val="multilevel"/>
    <w:tmpl w:val="41A00EB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2" w15:restartNumberingAfterBreak="0">
    <w:nsid w:val="7E5B3A7B"/>
    <w:multiLevelType w:val="multilevel"/>
    <w:tmpl w:val="75E0B81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1418135904">
    <w:abstractNumId w:val="2"/>
  </w:num>
  <w:num w:numId="2" w16cid:durableId="602960707">
    <w:abstractNumId w:val="8"/>
  </w:num>
  <w:num w:numId="3" w16cid:durableId="1782528016">
    <w:abstractNumId w:val="4"/>
  </w:num>
  <w:num w:numId="4" w16cid:durableId="765073091">
    <w:abstractNumId w:val="12"/>
  </w:num>
  <w:num w:numId="5" w16cid:durableId="1844004736">
    <w:abstractNumId w:val="9"/>
  </w:num>
  <w:num w:numId="6" w16cid:durableId="212230186">
    <w:abstractNumId w:val="6"/>
  </w:num>
  <w:num w:numId="7" w16cid:durableId="1286042081">
    <w:abstractNumId w:val="10"/>
  </w:num>
  <w:num w:numId="8" w16cid:durableId="1166363442">
    <w:abstractNumId w:val="0"/>
  </w:num>
  <w:num w:numId="9" w16cid:durableId="522011412">
    <w:abstractNumId w:val="11"/>
  </w:num>
  <w:num w:numId="10" w16cid:durableId="1178808804">
    <w:abstractNumId w:val="1"/>
  </w:num>
  <w:num w:numId="11" w16cid:durableId="1632591609">
    <w:abstractNumId w:val="7"/>
  </w:num>
  <w:num w:numId="12" w16cid:durableId="1632976516">
    <w:abstractNumId w:val="3"/>
  </w:num>
  <w:num w:numId="13" w16cid:durableId="8938562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FC2"/>
    <w:rsid w:val="00050D2A"/>
    <w:rsid w:val="0015551E"/>
    <w:rsid w:val="001A3340"/>
    <w:rsid w:val="001C36E0"/>
    <w:rsid w:val="001C7189"/>
    <w:rsid w:val="001D7B24"/>
    <w:rsid w:val="002F6D4F"/>
    <w:rsid w:val="005331D0"/>
    <w:rsid w:val="00560A29"/>
    <w:rsid w:val="005D58B4"/>
    <w:rsid w:val="005E6BAA"/>
    <w:rsid w:val="006F4FAF"/>
    <w:rsid w:val="00706FC2"/>
    <w:rsid w:val="0083715D"/>
    <w:rsid w:val="008606FB"/>
    <w:rsid w:val="00912762"/>
    <w:rsid w:val="0093455D"/>
    <w:rsid w:val="009C2588"/>
    <w:rsid w:val="00A20191"/>
    <w:rsid w:val="00A317E6"/>
    <w:rsid w:val="00A5079D"/>
    <w:rsid w:val="00A962FB"/>
    <w:rsid w:val="00AA4982"/>
    <w:rsid w:val="00B90BBC"/>
    <w:rsid w:val="00B91613"/>
    <w:rsid w:val="00BA10AE"/>
    <w:rsid w:val="00C33412"/>
    <w:rsid w:val="00CC7B1F"/>
    <w:rsid w:val="00D13306"/>
    <w:rsid w:val="00D34186"/>
    <w:rsid w:val="00E45858"/>
    <w:rsid w:val="00E52FC5"/>
    <w:rsid w:val="00E6164A"/>
    <w:rsid w:val="00E9539F"/>
    <w:rsid w:val="00ED70B6"/>
    <w:rsid w:val="00EE4F8C"/>
    <w:rsid w:val="00F37D3B"/>
    <w:rsid w:val="00F83830"/>
    <w:rsid w:val="00FA11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89EEC8"/>
  <w15:docId w15:val="{690420F5-D6E7-4B82-BAE1-33336924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pl-PL"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keepNext/>
      <w:keepLines/>
      <w:spacing w:before="360" w:after="80"/>
      <w:outlineLvl w:val="0"/>
    </w:pPr>
    <w:rPr>
      <w:rFonts w:ascii="Aptos Display" w:eastAsia="Times New Roman" w:hAnsi="Aptos Display"/>
      <w:color w:val="0F4761"/>
      <w:sz w:val="40"/>
      <w:szCs w:val="40"/>
    </w:rPr>
  </w:style>
  <w:style w:type="paragraph" w:styleId="Nagwek2">
    <w:name w:val="heading 2"/>
    <w:basedOn w:val="Normalny"/>
    <w:next w:val="Normalny"/>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Nagwek3">
    <w:name w:val="heading 3"/>
    <w:basedOn w:val="Normalny"/>
    <w:next w:val="Normalny"/>
    <w:uiPriority w:val="9"/>
    <w:semiHidden/>
    <w:unhideWhenUsed/>
    <w:qFormat/>
    <w:pPr>
      <w:keepNext/>
      <w:keepLines/>
      <w:spacing w:before="160" w:after="80"/>
      <w:outlineLvl w:val="2"/>
    </w:pPr>
    <w:rPr>
      <w:rFonts w:eastAsia="Times New Roman"/>
      <w:color w:val="0F4761"/>
      <w:sz w:val="28"/>
      <w:szCs w:val="28"/>
    </w:rPr>
  </w:style>
  <w:style w:type="paragraph" w:styleId="Nagwek4">
    <w:name w:val="heading 4"/>
    <w:basedOn w:val="Normalny"/>
    <w:next w:val="Normalny"/>
    <w:uiPriority w:val="9"/>
    <w:semiHidden/>
    <w:unhideWhenUsed/>
    <w:qFormat/>
    <w:pPr>
      <w:keepNext/>
      <w:keepLines/>
      <w:spacing w:before="80" w:after="40"/>
      <w:outlineLvl w:val="3"/>
    </w:pPr>
    <w:rPr>
      <w:rFonts w:eastAsia="Times New Roman"/>
      <w:i/>
      <w:iCs/>
      <w:color w:val="0F4761"/>
    </w:rPr>
  </w:style>
  <w:style w:type="paragraph" w:styleId="Nagwek5">
    <w:name w:val="heading 5"/>
    <w:basedOn w:val="Normalny"/>
    <w:next w:val="Normalny"/>
    <w:uiPriority w:val="9"/>
    <w:semiHidden/>
    <w:unhideWhenUsed/>
    <w:qFormat/>
    <w:pPr>
      <w:keepNext/>
      <w:keepLines/>
      <w:spacing w:before="80" w:after="40"/>
      <w:outlineLvl w:val="4"/>
    </w:pPr>
    <w:rPr>
      <w:rFonts w:eastAsia="Times New Roman"/>
      <w:color w:val="0F4761"/>
    </w:rPr>
  </w:style>
  <w:style w:type="paragraph" w:styleId="Nagwek6">
    <w:name w:val="heading 6"/>
    <w:basedOn w:val="Normalny"/>
    <w:next w:val="Normalny"/>
    <w:uiPriority w:val="9"/>
    <w:semiHidden/>
    <w:unhideWhenUsed/>
    <w:qFormat/>
    <w:pPr>
      <w:keepNext/>
      <w:keepLines/>
      <w:spacing w:before="40" w:after="0"/>
      <w:outlineLvl w:val="5"/>
    </w:pPr>
    <w:rPr>
      <w:rFonts w:eastAsia="Times New Roman"/>
      <w:i/>
      <w:iCs/>
      <w:color w:val="595959"/>
    </w:rPr>
  </w:style>
  <w:style w:type="paragraph" w:styleId="Nagwek7">
    <w:name w:val="heading 7"/>
    <w:basedOn w:val="Normalny"/>
    <w:next w:val="Normalny"/>
    <w:pPr>
      <w:keepNext/>
      <w:keepLines/>
      <w:spacing w:before="40" w:after="0"/>
      <w:outlineLvl w:val="6"/>
    </w:pPr>
    <w:rPr>
      <w:rFonts w:eastAsia="Times New Roman"/>
      <w:color w:val="595959"/>
    </w:rPr>
  </w:style>
  <w:style w:type="paragraph" w:styleId="Nagwek8">
    <w:name w:val="heading 8"/>
    <w:basedOn w:val="Normalny"/>
    <w:next w:val="Normalny"/>
    <w:pPr>
      <w:keepNext/>
      <w:keepLines/>
      <w:spacing w:after="0"/>
      <w:outlineLvl w:val="7"/>
    </w:pPr>
    <w:rPr>
      <w:rFonts w:eastAsia="Times New Roman"/>
      <w:i/>
      <w:iCs/>
      <w:color w:val="272727"/>
    </w:rPr>
  </w:style>
  <w:style w:type="paragraph" w:styleId="Nagwek9">
    <w:name w:val="heading 9"/>
    <w:basedOn w:val="Normalny"/>
    <w:next w:val="Normalny"/>
    <w:pPr>
      <w:keepNext/>
      <w:keepLines/>
      <w:spacing w:after="0"/>
      <w:outlineLvl w:val="8"/>
    </w:pPr>
    <w:rPr>
      <w:rFonts w:eastAsia="Times New Roman"/>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Aptos Display" w:eastAsia="Times New Roman" w:hAnsi="Aptos Display" w:cs="Times New Roman"/>
      <w:color w:val="0F4761"/>
      <w:sz w:val="40"/>
      <w:szCs w:val="40"/>
    </w:rPr>
  </w:style>
  <w:style w:type="character" w:customStyle="1" w:styleId="Nagwek2Znak">
    <w:name w:val="Nagłówek 2 Znak"/>
    <w:basedOn w:val="Domylnaczcionkaakapitu"/>
    <w:rPr>
      <w:rFonts w:ascii="Aptos Display" w:eastAsia="Times New Roman" w:hAnsi="Aptos Display" w:cs="Times New Roman"/>
      <w:color w:val="0F4761"/>
      <w:sz w:val="32"/>
      <w:szCs w:val="32"/>
    </w:rPr>
  </w:style>
  <w:style w:type="character" w:customStyle="1" w:styleId="Nagwek3Znak">
    <w:name w:val="Nagłówek 3 Znak"/>
    <w:basedOn w:val="Domylnaczcionkaakapitu"/>
    <w:rPr>
      <w:rFonts w:eastAsia="Times New Roman" w:cs="Times New Roman"/>
      <w:color w:val="0F4761"/>
      <w:sz w:val="28"/>
      <w:szCs w:val="28"/>
    </w:rPr>
  </w:style>
  <w:style w:type="character" w:customStyle="1" w:styleId="Nagwek4Znak">
    <w:name w:val="Nagłówek 4 Znak"/>
    <w:basedOn w:val="Domylnaczcionkaakapitu"/>
    <w:rPr>
      <w:rFonts w:eastAsia="Times New Roman" w:cs="Times New Roman"/>
      <w:i/>
      <w:iCs/>
      <w:color w:val="0F4761"/>
    </w:rPr>
  </w:style>
  <w:style w:type="character" w:customStyle="1" w:styleId="Nagwek5Znak">
    <w:name w:val="Nagłówek 5 Znak"/>
    <w:basedOn w:val="Domylnaczcionkaakapitu"/>
    <w:rPr>
      <w:rFonts w:eastAsia="Times New Roman" w:cs="Times New Roman"/>
      <w:color w:val="0F4761"/>
    </w:rPr>
  </w:style>
  <w:style w:type="character" w:customStyle="1" w:styleId="Nagwek6Znak">
    <w:name w:val="Nagłówek 6 Znak"/>
    <w:basedOn w:val="Domylnaczcionkaakapitu"/>
    <w:rPr>
      <w:rFonts w:eastAsia="Times New Roman" w:cs="Times New Roman"/>
      <w:i/>
      <w:iCs/>
      <w:color w:val="595959"/>
    </w:rPr>
  </w:style>
  <w:style w:type="character" w:customStyle="1" w:styleId="Nagwek7Znak">
    <w:name w:val="Nagłówek 7 Znak"/>
    <w:basedOn w:val="Domylnaczcionkaakapitu"/>
    <w:rPr>
      <w:rFonts w:eastAsia="Times New Roman" w:cs="Times New Roman"/>
      <w:color w:val="595959"/>
    </w:rPr>
  </w:style>
  <w:style w:type="character" w:customStyle="1" w:styleId="Nagwek8Znak">
    <w:name w:val="Nagłówek 8 Znak"/>
    <w:basedOn w:val="Domylnaczcionkaakapitu"/>
    <w:rPr>
      <w:rFonts w:eastAsia="Times New Roman" w:cs="Times New Roman"/>
      <w:i/>
      <w:iCs/>
      <w:color w:val="272727"/>
    </w:rPr>
  </w:style>
  <w:style w:type="character" w:customStyle="1" w:styleId="Nagwek9Znak">
    <w:name w:val="Nagłówek 9 Znak"/>
    <w:basedOn w:val="Domylnaczcionkaakapitu"/>
    <w:rPr>
      <w:rFonts w:eastAsia="Times New Roman" w:cs="Times New Roman"/>
      <w:color w:val="272727"/>
    </w:rPr>
  </w:style>
  <w:style w:type="paragraph" w:styleId="Tytu">
    <w:name w:val="Title"/>
    <w:basedOn w:val="Normalny"/>
    <w:next w:val="Normalny"/>
    <w:uiPriority w:val="10"/>
    <w:qFormat/>
    <w:pPr>
      <w:spacing w:after="80" w:line="240" w:lineRule="auto"/>
      <w:contextualSpacing/>
    </w:pPr>
    <w:rPr>
      <w:rFonts w:ascii="Aptos Display" w:eastAsia="Times New Roman" w:hAnsi="Aptos Display"/>
      <w:spacing w:val="-10"/>
      <w:sz w:val="56"/>
      <w:szCs w:val="56"/>
    </w:rPr>
  </w:style>
  <w:style w:type="character" w:customStyle="1" w:styleId="TytuZnak">
    <w:name w:val="Tytuł Znak"/>
    <w:basedOn w:val="Domylnaczcionkaakapitu"/>
    <w:rPr>
      <w:rFonts w:ascii="Aptos Display" w:eastAsia="Times New Roman" w:hAnsi="Aptos Display" w:cs="Times New Roman"/>
      <w:spacing w:val="-10"/>
      <w:kern w:val="3"/>
      <w:sz w:val="56"/>
      <w:szCs w:val="56"/>
    </w:rPr>
  </w:style>
  <w:style w:type="paragraph" w:styleId="Podtytu">
    <w:name w:val="Subtitle"/>
    <w:basedOn w:val="Normalny"/>
    <w:next w:val="Normalny"/>
    <w:uiPriority w:val="11"/>
    <w:qFormat/>
    <w:rPr>
      <w:rFonts w:eastAsia="Times New Roman"/>
      <w:color w:val="595959"/>
      <w:spacing w:val="15"/>
      <w:sz w:val="28"/>
      <w:szCs w:val="28"/>
    </w:rPr>
  </w:style>
  <w:style w:type="character" w:customStyle="1" w:styleId="PodtytuZnak">
    <w:name w:val="Podtytuł Znak"/>
    <w:basedOn w:val="Domylnaczcionkaakapitu"/>
    <w:rPr>
      <w:rFonts w:eastAsia="Times New Roman" w:cs="Times New Roman"/>
      <w:color w:val="595959"/>
      <w:spacing w:val="15"/>
      <w:sz w:val="28"/>
      <w:szCs w:val="28"/>
    </w:rPr>
  </w:style>
  <w:style w:type="paragraph" w:styleId="Cytat">
    <w:name w:val="Quote"/>
    <w:basedOn w:val="Normalny"/>
    <w:next w:val="Normalny"/>
    <w:pPr>
      <w:spacing w:before="160"/>
      <w:jc w:val="center"/>
    </w:pPr>
    <w:rPr>
      <w:i/>
      <w:iCs/>
      <w:color w:val="404040"/>
    </w:rPr>
  </w:style>
  <w:style w:type="character" w:customStyle="1" w:styleId="CytatZnak">
    <w:name w:val="Cytat Znak"/>
    <w:basedOn w:val="Domylnaczcionkaakapitu"/>
    <w:rPr>
      <w:i/>
      <w:iCs/>
      <w:color w:val="404040"/>
    </w:rPr>
  </w:style>
  <w:style w:type="paragraph" w:styleId="Akapitzlist">
    <w:name w:val="List Paragraph"/>
    <w:basedOn w:val="Normalny"/>
    <w:pPr>
      <w:ind w:left="720"/>
      <w:contextualSpacing/>
    </w:pPr>
  </w:style>
  <w:style w:type="character" w:styleId="Wyrnienieintensywne">
    <w:name w:val="Intense Emphasis"/>
    <w:basedOn w:val="Domylnaczcionkaakapitu"/>
    <w:rPr>
      <w:i/>
      <w:iCs/>
      <w:color w:val="0F4761"/>
    </w:rPr>
  </w:style>
  <w:style w:type="paragraph" w:styleId="Cytatintensywny">
    <w:name w:val="Intense Quote"/>
    <w:basedOn w:val="Normalny"/>
    <w:next w:val="Normalny"/>
    <w:pPr>
      <w:pBdr>
        <w:top w:val="single" w:sz="4" w:space="10" w:color="0F4761"/>
        <w:bottom w:val="single" w:sz="4" w:space="10" w:color="0F4761"/>
      </w:pBdr>
      <w:spacing w:before="360" w:after="360"/>
      <w:ind w:left="864" w:right="864"/>
      <w:jc w:val="center"/>
    </w:pPr>
    <w:rPr>
      <w:i/>
      <w:iCs/>
      <w:color w:val="0F4761"/>
    </w:rPr>
  </w:style>
  <w:style w:type="character" w:customStyle="1" w:styleId="CytatintensywnyZnak">
    <w:name w:val="Cytat intensywny Znak"/>
    <w:basedOn w:val="Domylnaczcionkaakapitu"/>
    <w:rPr>
      <w:i/>
      <w:iCs/>
      <w:color w:val="0F4761"/>
    </w:rPr>
  </w:style>
  <w:style w:type="character" w:styleId="Odwoanieintensywne">
    <w:name w:val="Intense Reference"/>
    <w:basedOn w:val="Domylnaczcionkaakapitu"/>
    <w:rPr>
      <w:b/>
      <w:bCs/>
      <w:smallCaps/>
      <w:color w:val="0F4761"/>
      <w:spacing w:val="5"/>
    </w:rPr>
  </w:style>
  <w:style w:type="character" w:styleId="Odwoaniedokomentarza">
    <w:name w:val="annotation reference"/>
    <w:basedOn w:val="Domylnaczcionkaakapitu"/>
    <w:rPr>
      <w:sz w:val="16"/>
      <w:szCs w:val="16"/>
    </w:rPr>
  </w:style>
  <w:style w:type="paragraph" w:styleId="Tekstkomentarza">
    <w:name w:val="annotation text"/>
    <w:basedOn w:val="Normalny"/>
    <w:pPr>
      <w:spacing w:after="0" w:line="240" w:lineRule="auto"/>
    </w:pPr>
    <w:rPr>
      <w:rFonts w:ascii="Times New Roman" w:eastAsia="Times New Roman" w:hAnsi="Times New Roman"/>
      <w:kern w:val="0"/>
      <w:sz w:val="20"/>
      <w:szCs w:val="20"/>
      <w:lang w:eastAsia="pl-PL"/>
    </w:rPr>
  </w:style>
  <w:style w:type="character" w:customStyle="1" w:styleId="TekstkomentarzaZnak">
    <w:name w:val="Tekst komentarza Znak"/>
    <w:basedOn w:val="Domylnaczcionkaakapitu"/>
    <w:rPr>
      <w:rFonts w:ascii="Times New Roman" w:eastAsia="Times New Roman" w:hAnsi="Times New Roman" w:cs="Times New Roman"/>
      <w:kern w:val="0"/>
      <w:sz w:val="20"/>
      <w:szCs w:val="20"/>
      <w:lang w:eastAsia="pl-PL"/>
    </w:r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 w:type="character" w:styleId="Pogrubienie">
    <w:name w:val="Strong"/>
    <w:basedOn w:val="Domylnaczcionkaakapitu"/>
    <w:uiPriority w:val="22"/>
    <w:qFormat/>
    <w:rPr>
      <w:b/>
      <w:bCs/>
    </w:rPr>
  </w:style>
  <w:style w:type="character" w:styleId="Hipercze">
    <w:name w:val="Hyperlink"/>
    <w:basedOn w:val="Domylnaczcionkaakapitu"/>
    <w:rPr>
      <w:color w:val="467886"/>
      <w:u w:val="single"/>
    </w:rPr>
  </w:style>
  <w:style w:type="character" w:styleId="Nierozpoznanawzmianka">
    <w:name w:val="Unresolved Mention"/>
    <w:basedOn w:val="Domylnaczcionkaakapitu"/>
    <w:rPr>
      <w:color w:val="605E5C"/>
      <w:shd w:val="clear" w:color="auto" w:fill="E1DFDD"/>
    </w:rPr>
  </w:style>
  <w:style w:type="paragraph" w:styleId="NormalnyWeb">
    <w:name w:val="Normal (Web)"/>
    <w:basedOn w:val="Normalny"/>
    <w:uiPriority w:val="99"/>
    <w:unhideWhenUsed/>
    <w:rsid w:val="00E52FC5"/>
    <w:pPr>
      <w:suppressAutoHyphens w:val="0"/>
      <w:autoSpaceDN/>
      <w:spacing w:before="100" w:beforeAutospacing="1" w:after="100" w:afterAutospacing="1" w:line="240" w:lineRule="auto"/>
    </w:pPr>
    <w:rPr>
      <w:rFonts w:ascii="Times New Roman" w:eastAsia="Times New Roman" w:hAnsi="Times New Roman"/>
      <w:kern w:val="0"/>
      <w:lang w:eastAsia="pl-PL"/>
    </w:rPr>
  </w:style>
  <w:style w:type="character" w:customStyle="1" w:styleId="fadeinm1hgl8">
    <w:name w:val="_fadein_m1hgl_8"/>
    <w:basedOn w:val="Domylnaczcionkaakapitu"/>
    <w:rsid w:val="00E52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151341">
      <w:bodyDiv w:val="1"/>
      <w:marLeft w:val="0"/>
      <w:marRight w:val="0"/>
      <w:marTop w:val="0"/>
      <w:marBottom w:val="0"/>
      <w:divBdr>
        <w:top w:val="none" w:sz="0" w:space="0" w:color="auto"/>
        <w:left w:val="none" w:sz="0" w:space="0" w:color="auto"/>
        <w:bottom w:val="none" w:sz="0" w:space="0" w:color="auto"/>
        <w:right w:val="none" w:sz="0" w:space="0" w:color="auto"/>
      </w:divBdr>
    </w:div>
    <w:div w:id="892619533">
      <w:bodyDiv w:val="1"/>
      <w:marLeft w:val="0"/>
      <w:marRight w:val="0"/>
      <w:marTop w:val="0"/>
      <w:marBottom w:val="0"/>
      <w:divBdr>
        <w:top w:val="none" w:sz="0" w:space="0" w:color="auto"/>
        <w:left w:val="none" w:sz="0" w:space="0" w:color="auto"/>
        <w:bottom w:val="none" w:sz="0" w:space="0" w:color="auto"/>
        <w:right w:val="none" w:sz="0" w:space="0" w:color="auto"/>
      </w:divBdr>
    </w:div>
    <w:div w:id="1164861012">
      <w:bodyDiv w:val="1"/>
      <w:marLeft w:val="0"/>
      <w:marRight w:val="0"/>
      <w:marTop w:val="0"/>
      <w:marBottom w:val="0"/>
      <w:divBdr>
        <w:top w:val="none" w:sz="0" w:space="0" w:color="auto"/>
        <w:left w:val="none" w:sz="0" w:space="0" w:color="auto"/>
        <w:bottom w:val="none" w:sz="0" w:space="0" w:color="auto"/>
        <w:right w:val="none" w:sz="0" w:space="0" w:color="auto"/>
      </w:divBdr>
    </w:div>
    <w:div w:id="1263100343">
      <w:bodyDiv w:val="1"/>
      <w:marLeft w:val="0"/>
      <w:marRight w:val="0"/>
      <w:marTop w:val="0"/>
      <w:marBottom w:val="0"/>
      <w:divBdr>
        <w:top w:val="none" w:sz="0" w:space="0" w:color="auto"/>
        <w:left w:val="none" w:sz="0" w:space="0" w:color="auto"/>
        <w:bottom w:val="none" w:sz="0" w:space="0" w:color="auto"/>
        <w:right w:val="none" w:sz="0" w:space="0" w:color="auto"/>
      </w:divBdr>
    </w:div>
    <w:div w:id="1662807076">
      <w:bodyDiv w:val="1"/>
      <w:marLeft w:val="0"/>
      <w:marRight w:val="0"/>
      <w:marTop w:val="0"/>
      <w:marBottom w:val="0"/>
      <w:divBdr>
        <w:top w:val="none" w:sz="0" w:space="0" w:color="auto"/>
        <w:left w:val="none" w:sz="0" w:space="0" w:color="auto"/>
        <w:bottom w:val="none" w:sz="0" w:space="0" w:color="auto"/>
        <w:right w:val="none" w:sz="0" w:space="0" w:color="auto"/>
      </w:divBdr>
      <w:divsChild>
        <w:div w:id="1551918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379029">
          <w:blockQuote w:val="1"/>
          <w:marLeft w:val="720"/>
          <w:marRight w:val="720"/>
          <w:marTop w:val="100"/>
          <w:marBottom w:val="100"/>
          <w:divBdr>
            <w:top w:val="none" w:sz="0" w:space="0" w:color="auto"/>
            <w:left w:val="none" w:sz="0" w:space="0" w:color="auto"/>
            <w:bottom w:val="none" w:sz="0" w:space="0" w:color="auto"/>
            <w:right w:val="none" w:sz="0" w:space="0" w:color="auto"/>
          </w:divBdr>
        </w:div>
        <w:div w:id="4715601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9130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2327</Words>
  <Characters>13967</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DOMAGAŁA</dc:creator>
  <dc:description/>
  <cp:lastModifiedBy>U4 UMG Dobrzyca</cp:lastModifiedBy>
  <cp:revision>3</cp:revision>
  <dcterms:created xsi:type="dcterms:W3CDTF">2025-05-20T07:36:00Z</dcterms:created>
  <dcterms:modified xsi:type="dcterms:W3CDTF">2025-05-23T07:30:00Z</dcterms:modified>
</cp:coreProperties>
</file>