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793F" w14:textId="77777777" w:rsidR="0013523F" w:rsidRPr="00FB2036" w:rsidRDefault="0013523F" w:rsidP="0013523F">
      <w:pPr>
        <w:jc w:val="center"/>
        <w:rPr>
          <w:rFonts w:ascii="Ebrima" w:hAnsi="Ebrima"/>
          <w:b/>
          <w:bCs/>
        </w:rPr>
      </w:pPr>
      <w:r w:rsidRPr="00FB2036">
        <w:rPr>
          <w:rFonts w:ascii="Ebrima" w:hAnsi="Ebrima"/>
          <w:b/>
          <w:bCs/>
        </w:rPr>
        <w:t>UCHWAŁA NR X/..../2024</w:t>
      </w:r>
      <w:r w:rsidRPr="00FB2036">
        <w:rPr>
          <w:rFonts w:ascii="Ebrima" w:hAnsi="Ebrima"/>
          <w:b/>
          <w:bCs/>
        </w:rPr>
        <w:br/>
        <w:t>RADY MIEJSKIEJ GMINY DOBRZYCA</w:t>
      </w:r>
    </w:p>
    <w:p w14:paraId="062D3683" w14:textId="77777777" w:rsidR="0013523F" w:rsidRPr="00FB2036" w:rsidRDefault="0013523F" w:rsidP="0013523F">
      <w:pPr>
        <w:jc w:val="center"/>
        <w:rPr>
          <w:rFonts w:ascii="Ebrima" w:hAnsi="Ebrima"/>
          <w:b/>
          <w:bCs/>
        </w:rPr>
      </w:pPr>
      <w:r w:rsidRPr="00FB2036">
        <w:rPr>
          <w:rFonts w:ascii="Ebrima" w:hAnsi="Ebrima"/>
        </w:rPr>
        <w:t>z dnia 30 grudnia 2024 r.</w:t>
      </w:r>
    </w:p>
    <w:p w14:paraId="0F910427" w14:textId="77777777" w:rsidR="0013523F" w:rsidRPr="00FB2036" w:rsidRDefault="0013523F" w:rsidP="0013523F">
      <w:pPr>
        <w:jc w:val="center"/>
        <w:rPr>
          <w:rFonts w:ascii="Ebrima" w:hAnsi="Ebrima"/>
        </w:rPr>
      </w:pPr>
      <w:r w:rsidRPr="00FB2036">
        <w:rPr>
          <w:rFonts w:ascii="Ebrima" w:hAnsi="Ebrima"/>
          <w:b/>
          <w:bCs/>
        </w:rPr>
        <w:t>zmieniająca uchwałę w sprawie uchwalenia Wieloletniej Prognozy Finansowej Gminy Dobrzyca na lata 2024 - 2039.</w:t>
      </w:r>
    </w:p>
    <w:p w14:paraId="4959075C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</w:rPr>
        <w:t>Na podstawie art. 18 ust. 2 pkt 15 ustawy z dnia 8 marca 1990 r. o samorządzie gminnym (</w:t>
      </w:r>
      <w:proofErr w:type="spellStart"/>
      <w:r w:rsidRPr="00FB2036">
        <w:rPr>
          <w:rFonts w:ascii="Ebrima" w:hAnsi="Ebrima"/>
        </w:rPr>
        <w:t>t.j</w:t>
      </w:r>
      <w:proofErr w:type="spellEnd"/>
      <w:r w:rsidRPr="00FB2036">
        <w:rPr>
          <w:rFonts w:ascii="Ebrima" w:hAnsi="Ebrima"/>
        </w:rPr>
        <w:t>. Dz. U. z 2024 r. poz. 609 i 721) i art. 226, art. 227, art. 228, art. 230 ust. 1 i 6, art. 230b, art. 231, art. 243 ustawy z dnia 27 sierpnia 2009 r. o finansach publicznych (</w:t>
      </w:r>
      <w:proofErr w:type="spellStart"/>
      <w:r w:rsidRPr="00FB2036">
        <w:rPr>
          <w:rFonts w:ascii="Ebrima" w:hAnsi="Ebrima"/>
        </w:rPr>
        <w:t>t.j</w:t>
      </w:r>
      <w:proofErr w:type="spellEnd"/>
      <w:r w:rsidRPr="00FB2036">
        <w:rPr>
          <w:rFonts w:ascii="Ebrima" w:hAnsi="Ebrima"/>
        </w:rPr>
        <w:t>. Dz. U. z 2023 r. poz. 1270, 1273, 1407, 1429, 1641, 1693 i 1872 oraz z 2024 r. poz. 858 i 1089)uchwala się, co następuje:</w:t>
      </w:r>
    </w:p>
    <w:p w14:paraId="777C414A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  <w:b/>
          <w:bCs/>
        </w:rPr>
        <w:t>§ 1. </w:t>
      </w:r>
      <w:r w:rsidRPr="00FB2036">
        <w:rPr>
          <w:rFonts w:ascii="Ebrima" w:hAnsi="Ebrima"/>
        </w:rPr>
        <w:t>W uchwale nr LII/470/2023 Rady Miejskiej Gminy Dobrzyca z dnia 27 grudnia 2023 r. w sprawie uchwalenia Wieloletniej Prognozy Finansowej Gminy Dobrzyca na lata 2024 - 2039 dokonuje się zmiany:</w:t>
      </w:r>
    </w:p>
    <w:p w14:paraId="74E1B129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</w:rPr>
        <w:t>1. Wydłuża się horyzont czasowy prognozy do 2041 roku;</w:t>
      </w:r>
    </w:p>
    <w:p w14:paraId="115666B6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</w:rPr>
        <w:t>2. tytuł uchwały otrzymuje brzmienie "Wieloletnia Prognoza Finansowa  Gminy Dobrzyca na lata 2024 2041";</w:t>
      </w:r>
    </w:p>
    <w:p w14:paraId="3AAF0E7D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</w:rPr>
        <w:t xml:space="preserve">3. Wieloletniej Prognozy Finansowej Gminy Dobrzyca na lata 2024 - 2039 - </w:t>
      </w:r>
      <w:r w:rsidRPr="00FB2036">
        <w:rPr>
          <w:rFonts w:ascii="Ebrima" w:hAnsi="Ebrima"/>
          <w:b/>
          <w:bCs/>
        </w:rPr>
        <w:t>zgodnie z załącznikiem nr 1 </w:t>
      </w:r>
      <w:r w:rsidRPr="00FB2036">
        <w:rPr>
          <w:rFonts w:ascii="Ebrima" w:hAnsi="Ebrima"/>
        </w:rPr>
        <w:t>do niniejszej uchwały.</w:t>
      </w:r>
    </w:p>
    <w:p w14:paraId="68CB97FE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</w:rPr>
        <w:t xml:space="preserve">4. Wieloletnich Przedsięwzięć Finansowych - </w:t>
      </w:r>
      <w:r w:rsidRPr="00FB2036">
        <w:rPr>
          <w:rFonts w:ascii="Ebrima" w:hAnsi="Ebrima"/>
          <w:b/>
          <w:bCs/>
        </w:rPr>
        <w:t>zgodnie z załącznikiem nr 2 </w:t>
      </w:r>
      <w:r w:rsidRPr="00FB2036">
        <w:rPr>
          <w:rFonts w:ascii="Ebrima" w:hAnsi="Ebrima"/>
        </w:rPr>
        <w:t>do niniejszej uchwały.</w:t>
      </w:r>
    </w:p>
    <w:p w14:paraId="6592C928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  <w:b/>
          <w:bCs/>
        </w:rPr>
        <w:t>§ 2. </w:t>
      </w:r>
      <w:r w:rsidRPr="00FB2036">
        <w:rPr>
          <w:rFonts w:ascii="Ebrima" w:hAnsi="Ebrima"/>
        </w:rPr>
        <w:t>Wykonanie uchwały powierza się Burmistrzowi Gminy Dobrzyca.</w:t>
      </w:r>
    </w:p>
    <w:p w14:paraId="4B3BF439" w14:textId="77777777" w:rsidR="0013523F" w:rsidRPr="00FB2036" w:rsidRDefault="0013523F" w:rsidP="0013523F">
      <w:pPr>
        <w:jc w:val="both"/>
        <w:rPr>
          <w:rFonts w:ascii="Ebrima" w:hAnsi="Ebrima"/>
        </w:rPr>
      </w:pPr>
      <w:r w:rsidRPr="00FB2036">
        <w:rPr>
          <w:rFonts w:ascii="Ebrima" w:hAnsi="Ebrima"/>
          <w:b/>
          <w:bCs/>
        </w:rPr>
        <w:t>§ 3. </w:t>
      </w:r>
      <w:r w:rsidRPr="00FB2036">
        <w:rPr>
          <w:rFonts w:ascii="Ebrima" w:hAnsi="Ebrima"/>
        </w:rPr>
        <w:t>Uchwała wchodzi w życie z dniem podjęcia.</w:t>
      </w:r>
    </w:p>
    <w:p w14:paraId="56150FBD" w14:textId="77777777" w:rsidR="0013523F" w:rsidRPr="00FB2036" w:rsidRDefault="0013523F" w:rsidP="0013523F">
      <w:pPr>
        <w:jc w:val="both"/>
        <w:rPr>
          <w:rFonts w:ascii="Ebrima" w:hAnsi="Ebrima"/>
          <w:b/>
          <w:bCs/>
        </w:rPr>
      </w:pPr>
    </w:p>
    <w:p w14:paraId="0109A81F" w14:textId="77777777" w:rsidR="0013523F" w:rsidRPr="00FB2036" w:rsidRDefault="0013523F" w:rsidP="0013523F">
      <w:pPr>
        <w:jc w:val="both"/>
        <w:rPr>
          <w:rFonts w:ascii="Ebrima" w:hAnsi="Ebrima"/>
          <w:b/>
          <w:bCs/>
        </w:rPr>
      </w:pPr>
    </w:p>
    <w:p w14:paraId="6A83544C" w14:textId="77777777" w:rsidR="0013523F" w:rsidRPr="00FB2036" w:rsidRDefault="0013523F" w:rsidP="0013523F">
      <w:pPr>
        <w:jc w:val="both"/>
        <w:rPr>
          <w:rFonts w:ascii="Ebrima" w:hAnsi="Ebrima"/>
          <w:b/>
          <w:bCs/>
        </w:rPr>
      </w:pPr>
    </w:p>
    <w:p w14:paraId="4B45D9CD" w14:textId="77777777" w:rsidR="0013523F" w:rsidRPr="00FB2036" w:rsidRDefault="0013523F" w:rsidP="0013523F">
      <w:pPr>
        <w:jc w:val="both"/>
        <w:rPr>
          <w:rFonts w:ascii="Ebrima" w:hAnsi="Ebrima"/>
          <w:b/>
          <w:bCs/>
        </w:rPr>
      </w:pPr>
    </w:p>
    <w:p w14:paraId="52B0C803" w14:textId="77777777" w:rsidR="006240C8" w:rsidRDefault="006240C8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37C9DC88" w14:textId="77777777" w:rsidR="0013523F" w:rsidRDefault="0013523F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5E054B5C" w14:textId="77777777" w:rsidR="0013523F" w:rsidRPr="006240C8" w:rsidRDefault="0013523F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13967F8C" w14:textId="77777777" w:rsidR="006240C8" w:rsidRPr="006240C8" w:rsidRDefault="006240C8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38BB64A4" w14:textId="62F607CF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Objaśnienia przyjętych wartości do Wieloletniej Prognozy Finansowej Gminy Dobrzyca na lata 2024-2041</w:t>
      </w:r>
    </w:p>
    <w:p w14:paraId="0810B728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Zgodnie ze zmianami w budżecie na dzień 30 grudnia 2024 r., dokonano następujących zmian w Wieloletniej Prognozie Finansowej Gminy Dobrzyca:</w:t>
      </w:r>
    </w:p>
    <w:p w14:paraId="044F2944" w14:textId="77777777" w:rsidR="00E3607D" w:rsidRPr="00E3607D" w:rsidRDefault="00E3607D" w:rsidP="00E3607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Dochody ogółem zwiększono o 613 206,66 zł, z czego dochody bieżące zwiększono o 238 857,79 zł, a dochody majątkowe zwiększono o 374 348,87 zł.</w:t>
      </w:r>
    </w:p>
    <w:p w14:paraId="6BEEBDDD" w14:textId="77777777" w:rsidR="00E3607D" w:rsidRPr="00E3607D" w:rsidRDefault="00E3607D" w:rsidP="00E3607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Wydatki ogółem zmniejszono o 3 579,34 zł, z czego wydatki bieżące zwiększono o 144 610,79 zł, a wydatki majątkowe zmniejszono o 148 190,13 zł.</w:t>
      </w:r>
    </w:p>
    <w:p w14:paraId="40F6AEE9" w14:textId="77777777" w:rsidR="00E3607D" w:rsidRPr="00E3607D" w:rsidRDefault="00E3607D" w:rsidP="00E3607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Wynik budżetu jest deficytowy i po zmianach wynosi -5 027 733,41 zł.</w:t>
      </w:r>
    </w:p>
    <w:p w14:paraId="52A10293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Szczegółowe informacje na temat zmian w zakresie dochodów, wydatków i wyniku budżetu w roku budżetowym przedstawiono w tabeli poniżej.</w:t>
      </w:r>
    </w:p>
    <w:p w14:paraId="05ECAAC1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1. Zmiany w dochodach i wydatkach w 2024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683D4F09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706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5E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8DC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23B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135FC99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F14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DE9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58 454 114,04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869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+613 206,66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485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59 067 320,70</w:t>
            </w:r>
          </w:p>
        </w:tc>
      </w:tr>
      <w:tr w:rsidR="00E3607D" w:rsidRPr="00E3607D" w14:paraId="1EB16D7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DE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61C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51 472 825,50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15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+238 857,79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037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51 711 683,29</w:t>
            </w:r>
          </w:p>
        </w:tc>
      </w:tr>
      <w:tr w:rsidR="00E3607D" w:rsidRPr="00E3607D" w14:paraId="171868B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114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Subwencja ogólna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6AB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16 366 537,00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EE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+95 773,00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AFB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16 462 310,00</w:t>
            </w:r>
          </w:p>
        </w:tc>
      </w:tr>
      <w:tr w:rsidR="00E3607D" w:rsidRPr="00E3607D" w14:paraId="165498D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B8E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6AF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11 376 077,85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2E4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+143 084,79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F0E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11 519 162,64</w:t>
            </w:r>
          </w:p>
        </w:tc>
      </w:tr>
      <w:tr w:rsidR="00E3607D" w:rsidRPr="00E3607D" w14:paraId="354BB93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88E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2DF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6 981 288,54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BA0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+374 348,87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E7A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7 355 637,41</w:t>
            </w:r>
          </w:p>
        </w:tc>
      </w:tr>
      <w:tr w:rsidR="00E3607D" w:rsidRPr="00E3607D" w14:paraId="30DF0F3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B7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629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64 098 633,45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3A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-3 579,34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7BC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64 095 054,11</w:t>
            </w:r>
          </w:p>
        </w:tc>
      </w:tr>
      <w:tr w:rsidR="00E3607D" w:rsidRPr="00E3607D" w14:paraId="112553A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624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2BD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51 468 888,00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6A8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+144 610,79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FF2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51 613 498,79</w:t>
            </w:r>
          </w:p>
        </w:tc>
      </w:tr>
      <w:tr w:rsidR="00E3607D" w:rsidRPr="00E3607D" w14:paraId="59846B8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41B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536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15 711 665,42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D0F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+50 397,65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5EA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15 762 063,07</w:t>
            </w:r>
          </w:p>
        </w:tc>
      </w:tr>
      <w:tr w:rsidR="00E3607D" w:rsidRPr="00E3607D" w14:paraId="7A37CC8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72A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9BF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34 706 697,58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C25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+94 213,14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A61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34 800 910,72</w:t>
            </w:r>
          </w:p>
        </w:tc>
      </w:tr>
      <w:tr w:rsidR="00E3607D" w:rsidRPr="00E3607D" w14:paraId="6B16AED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EAE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EC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12 629 745,45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969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-148 190,13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7B4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12 481 555,32</w:t>
            </w:r>
          </w:p>
        </w:tc>
      </w:tr>
      <w:tr w:rsidR="00E3607D" w:rsidRPr="00E3607D" w14:paraId="2B4EBF4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CDA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B3B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-5 644 519,41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863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+616 786,00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D24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-5 027 733,41</w:t>
            </w:r>
          </w:p>
        </w:tc>
      </w:tr>
    </w:tbl>
    <w:p w14:paraId="070C981B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0933F5B7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 okresie prognozy WPF dokonano zmian w zakresie planowanych dochodów bieżących. Zmiany przedstawiono w tabeli poniżej.</w:t>
      </w:r>
    </w:p>
    <w:p w14:paraId="29661FE9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lastRenderedPageBreak/>
        <w:t>Tabela 2. Zmiany w dochodach bieżących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570ABB21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EA7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83C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E58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028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5878803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CE0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079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A55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+61 979 400,00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B5A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61 979 400,00</w:t>
            </w:r>
          </w:p>
        </w:tc>
      </w:tr>
      <w:tr w:rsidR="00E3607D" w:rsidRPr="00E3607D" w14:paraId="12A4E7E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835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AE7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91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+62 599 194,00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F00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62 599 194,00</w:t>
            </w:r>
          </w:p>
        </w:tc>
      </w:tr>
    </w:tbl>
    <w:p w14:paraId="5B61295C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397CA136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 okresie prognozy WPF dokonano zmian w zakresie planowanych wydatków bieżących i majątkowych. Zmiany przedstawiono w tabelach poniżej.</w:t>
      </w:r>
    </w:p>
    <w:p w14:paraId="7D4178F1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3. Zmiany w wydatkach bieżących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471E1A5F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BE1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909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680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2AC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27C5807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9D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0F7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42 509 952,00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CEC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-570 000,00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6E1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41 939 952,00</w:t>
            </w:r>
          </w:p>
        </w:tc>
      </w:tr>
      <w:tr w:rsidR="00E3607D" w:rsidRPr="00E3607D" w14:paraId="3F86248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FE5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2B4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43 544 298,00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EF1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932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43 544 298,00</w:t>
            </w:r>
          </w:p>
        </w:tc>
      </w:tr>
      <w:tr w:rsidR="00E3607D" w:rsidRPr="00E3607D" w14:paraId="35BED37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DF7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5C9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44 513 546,00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87D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162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44 513 546,00</w:t>
            </w:r>
          </w:p>
        </w:tc>
      </w:tr>
      <w:tr w:rsidR="00E3607D" w:rsidRPr="00E3607D" w14:paraId="6D03B14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13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DEB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45 482 834,00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BB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7BA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45 482 834,00</w:t>
            </w:r>
          </w:p>
        </w:tc>
      </w:tr>
      <w:tr w:rsidR="00E3607D" w:rsidRPr="00E3607D" w14:paraId="5A7B3FC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EBC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BB3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46 590 681,00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F91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6FA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46 590 681,00</w:t>
            </w:r>
          </w:p>
        </w:tc>
      </w:tr>
      <w:tr w:rsidR="00E3607D" w:rsidRPr="00E3607D" w14:paraId="6116EDB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189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699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47 813 886,00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A98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F67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47 813 886,00</w:t>
            </w:r>
          </w:p>
        </w:tc>
      </w:tr>
      <w:tr w:rsidR="00E3607D" w:rsidRPr="00E3607D" w14:paraId="422ED02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F97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2E3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48 844 724,00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CCD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64A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48 844 724,00</w:t>
            </w:r>
          </w:p>
        </w:tc>
      </w:tr>
      <w:tr w:rsidR="00E3607D" w:rsidRPr="00E3607D" w14:paraId="511B15A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3E1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55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49 957 563,00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52A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FFB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49 957 563,00</w:t>
            </w:r>
          </w:p>
        </w:tc>
      </w:tr>
      <w:tr w:rsidR="00E3607D" w:rsidRPr="00E3607D" w14:paraId="6915864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BA3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01E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51 171 639,00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F0C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F7C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51 171 639,00</w:t>
            </w:r>
          </w:p>
        </w:tc>
      </w:tr>
      <w:tr w:rsidR="00E3607D" w:rsidRPr="00E3607D" w14:paraId="2D7B6A5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1F3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B31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52 403 828,00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3B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08E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52 403 828,00</w:t>
            </w:r>
          </w:p>
        </w:tc>
      </w:tr>
      <w:tr w:rsidR="00E3607D" w:rsidRPr="00E3607D" w14:paraId="27A1C15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B4E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48C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53 665 428,00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D72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E8D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53 665 428,00</w:t>
            </w:r>
          </w:p>
        </w:tc>
      </w:tr>
      <w:tr w:rsidR="00E3607D" w:rsidRPr="00E3607D" w14:paraId="67869D0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381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A6F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54 963 044,00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652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147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54 963 044,00</w:t>
            </w:r>
          </w:p>
        </w:tc>
      </w:tr>
      <w:tr w:rsidR="00E3607D" w:rsidRPr="00E3607D" w14:paraId="4513F47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25E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D00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56 295 633,00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96D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74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56 295 633,00</w:t>
            </w:r>
          </w:p>
        </w:tc>
      </w:tr>
      <w:tr w:rsidR="00E3607D" w:rsidRPr="00E3607D" w14:paraId="73E69D2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C35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97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57 649 973,00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B03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3AB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57 649 973,00</w:t>
            </w:r>
          </w:p>
        </w:tc>
      </w:tr>
      <w:tr w:rsidR="00E3607D" w:rsidRPr="00E3607D" w14:paraId="618E7E8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968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2C6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6AC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+58 971 885,00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BFC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58 971 885,00</w:t>
            </w:r>
          </w:p>
        </w:tc>
      </w:tr>
      <w:tr w:rsidR="00E3607D" w:rsidRPr="00E3607D" w14:paraId="5611860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96A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379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6FE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+60 307 927,00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A94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60 307 927,00</w:t>
            </w:r>
          </w:p>
        </w:tc>
      </w:tr>
    </w:tbl>
    <w:p w14:paraId="79507876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1F2A529C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4. Zmiany w wydatkach majątkowych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38120FA1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FB5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370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581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716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0FDFF5A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73B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563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2 472 902,33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908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+570 000,00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9F7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3 042 902,33</w:t>
            </w:r>
          </w:p>
        </w:tc>
      </w:tr>
      <w:tr w:rsidR="00E3607D" w:rsidRPr="00E3607D" w14:paraId="0609790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2F2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F1C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1 316 859,00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7BF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ABA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1 316 859,00</w:t>
            </w:r>
          </w:p>
        </w:tc>
      </w:tr>
      <w:tr w:rsidR="00E3607D" w:rsidRPr="00E3607D" w14:paraId="739BE29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5E2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0E9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690 152,00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F20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C65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690 152,00</w:t>
            </w:r>
          </w:p>
        </w:tc>
      </w:tr>
      <w:tr w:rsidR="00E3607D" w:rsidRPr="00E3607D" w14:paraId="66AEBD5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167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E26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1 237 536,00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012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3C2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1 237 536,00</w:t>
            </w:r>
          </w:p>
        </w:tc>
      </w:tr>
      <w:tr w:rsidR="00E3607D" w:rsidRPr="00E3607D" w14:paraId="3256ECC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D71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7C0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1 422 654,00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CF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DF2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1 422 654,00</w:t>
            </w:r>
          </w:p>
        </w:tc>
      </w:tr>
      <w:tr w:rsidR="00E3607D" w:rsidRPr="00E3607D" w14:paraId="42E0103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449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758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2 748 458,00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53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88C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2 748 458,00</w:t>
            </w:r>
          </w:p>
        </w:tc>
      </w:tr>
      <w:tr w:rsidR="00E3607D" w:rsidRPr="00E3607D" w14:paraId="498DC1D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FAF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EDC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2 953 004,00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A5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81C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2 953 004,00</w:t>
            </w:r>
          </w:p>
        </w:tc>
      </w:tr>
      <w:tr w:rsidR="00E3607D" w:rsidRPr="00E3607D" w14:paraId="3392AE6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870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0D6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3 760 906,00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1DE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1FE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3 760 906,00</w:t>
            </w:r>
          </w:p>
        </w:tc>
      </w:tr>
      <w:tr w:rsidR="00E3607D" w:rsidRPr="00E3607D" w14:paraId="05523E5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519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8DA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3 791 554,00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44C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B10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3 791 554,00</w:t>
            </w:r>
          </w:p>
        </w:tc>
      </w:tr>
      <w:tr w:rsidR="00E3607D" w:rsidRPr="00E3607D" w14:paraId="6E67611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DBA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C6F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3 732 720,00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E2C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CFD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3 732 720,00</w:t>
            </w:r>
          </w:p>
        </w:tc>
      </w:tr>
      <w:tr w:rsidR="00E3607D" w:rsidRPr="00E3607D" w14:paraId="14DF664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98F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DFE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3 932 124,00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304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1CC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3 932 124,00</w:t>
            </w:r>
          </w:p>
        </w:tc>
      </w:tr>
      <w:tr w:rsidR="00E3607D" w:rsidRPr="00E3607D" w14:paraId="5D44CDF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4CB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042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4 077 159,00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54E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5B7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4 077 159,00</w:t>
            </w:r>
          </w:p>
        </w:tc>
      </w:tr>
      <w:tr w:rsidR="00E3607D" w:rsidRPr="00E3607D" w14:paraId="10E0C37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A89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lastRenderedPageBreak/>
              <w:t>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C95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3 866 334,00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384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3F2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3 866 334,00</w:t>
            </w:r>
          </w:p>
        </w:tc>
      </w:tr>
      <w:tr w:rsidR="00E3607D" w:rsidRPr="00E3607D" w14:paraId="6BB36A0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492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154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3 655 072,00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6D8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B04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3 655 072,00</w:t>
            </w:r>
          </w:p>
        </w:tc>
      </w:tr>
      <w:tr w:rsidR="00E3607D" w:rsidRPr="00E3607D" w14:paraId="4D31255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91A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FBF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410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+3 007 515,00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5A4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3 007 515,00</w:t>
            </w:r>
          </w:p>
        </w:tc>
      </w:tr>
      <w:tr w:rsidR="00E3607D" w:rsidRPr="00E3607D" w14:paraId="364517A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5D3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E20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DF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+2 291 267,00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1E7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2 291 267,00</w:t>
            </w:r>
          </w:p>
        </w:tc>
      </w:tr>
    </w:tbl>
    <w:p w14:paraId="13A9E3CD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7794D96E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 Wieloletniej Prognozie Finansowej Gminy Dobrzyca:</w:t>
      </w:r>
    </w:p>
    <w:p w14:paraId="24664660" w14:textId="77777777" w:rsidR="00E3607D" w:rsidRPr="00E3607D" w:rsidRDefault="00E3607D" w:rsidP="00E3607D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Przychody ogółem w roku budżetowym zmniejszono o 616 786,00 zł i po zmianach wynoszą 7 521 151,61 zł.</w:t>
      </w:r>
    </w:p>
    <w:p w14:paraId="02A69CA2" w14:textId="77777777" w:rsidR="00E3607D" w:rsidRPr="00E3607D" w:rsidRDefault="00E3607D" w:rsidP="00E3607D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Rozchody ogółem w roku budżetowym nie uległy zmianie.</w:t>
      </w:r>
    </w:p>
    <w:p w14:paraId="4CD39877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Szczegółowe informacje na temat zmian w zakresie przychodów i rozchodów w roku budżetowym przedstawiono w tabeli poniżej.</w:t>
      </w:r>
    </w:p>
    <w:p w14:paraId="6C8CEE1D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5. Zmiany w przychodach i rozchodach na 2024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6FBCAA3F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BA0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9E1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1E6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BF1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7B519E7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2B5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B85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8 137 937,61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0A3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-616 786,00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EE2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7 521 151,61</w:t>
            </w:r>
          </w:p>
        </w:tc>
      </w:tr>
      <w:tr w:rsidR="00E3607D" w:rsidRPr="00E3607D" w14:paraId="7718B9E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39F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5A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4 223 075,22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C41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-616 786,00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42C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3 606 289,22</w:t>
            </w:r>
          </w:p>
        </w:tc>
      </w:tr>
    </w:tbl>
    <w:p w14:paraId="0A9FEFCB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34BEE662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Od 2025 nie dokonywano zmian w zakresie planowanych przychodów.</w:t>
      </w:r>
    </w:p>
    <w:p w14:paraId="1A991AD1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Od 2025 nie dokonywano zmian w zakresie planowanych rozchodów.</w:t>
      </w:r>
    </w:p>
    <w:p w14:paraId="7EA675E6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 zakresie zawartych umów, rozchody Gminy Dobrzyca zaplanowano zgodnie z harmonogramami. W tabeli poniżej spłatę ww. zobowiązań przedstawiono w kolumnie „Zobowiązanie historyczne”.</w:t>
      </w:r>
    </w:p>
    <w:p w14:paraId="5305FEAD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Spłatę zobowiązania planowanego do zaciągnięcia ujęto w latach 2025-2036. W tabeli poniżej spłatę ww. zobowiązań przedstawiono w kolumnie „Zobowiązanie planowane”.</w:t>
      </w:r>
    </w:p>
    <w:p w14:paraId="28081215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6. Spłata zaciągniętych i planowanych zobowiązań Gminy Dobrzyca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1296"/>
        <w:gridCol w:w="2592"/>
        <w:gridCol w:w="2592"/>
        <w:gridCol w:w="2592"/>
      </w:tblGrid>
      <w:tr w:rsidR="00E3607D" w:rsidRPr="00E3607D" w14:paraId="0283C536" w14:textId="77777777">
        <w:trPr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844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3B3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Zobowiązanie historyczne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89A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Zobowiązanie planowane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0CF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Zobowiązania razem [zł]</w:t>
            </w:r>
          </w:p>
        </w:tc>
      </w:tr>
      <w:tr w:rsidR="00E3607D" w:rsidRPr="00E3607D" w14:paraId="095D93F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508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A4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2 189 004,20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F78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012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2 189 004,20</w:t>
            </w:r>
          </w:p>
        </w:tc>
      </w:tr>
      <w:tr w:rsidR="00E3607D" w:rsidRPr="00E3607D" w14:paraId="71E82D7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A5C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9EF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1 910 792,53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A9B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5 850,00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F97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1 916 642,53</w:t>
            </w:r>
          </w:p>
        </w:tc>
      </w:tr>
      <w:tr w:rsidR="00E3607D" w:rsidRPr="00E3607D" w14:paraId="55E02EA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A1D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E2E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2 478 481,67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49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11 500,00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9DC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2 489 981,67</w:t>
            </w:r>
          </w:p>
        </w:tc>
      </w:tr>
      <w:tr w:rsidR="00E3607D" w:rsidRPr="00E3607D" w14:paraId="1D894779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194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C93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1 752 000,00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7E2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99 000,00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6E1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1 851 000,00</w:t>
            </w:r>
          </w:p>
        </w:tc>
      </w:tr>
      <w:tr w:rsidR="00E3607D" w:rsidRPr="00E3607D" w14:paraId="1E034C0E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6E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C8E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2 667 000,00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09A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149 400,00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073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2 816 400,00</w:t>
            </w:r>
          </w:p>
        </w:tc>
      </w:tr>
      <w:tr w:rsidR="00E3607D" w:rsidRPr="00E3607D" w14:paraId="3EBBADA7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79B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705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2 310 000,00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EF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238 250,00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64B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2 548 250,00</w:t>
            </w:r>
          </w:p>
        </w:tc>
      </w:tr>
      <w:tr w:rsidR="00E3607D" w:rsidRPr="00E3607D" w14:paraId="632F3898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AC1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90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2 087 000,00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238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56F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2 487 000,00</w:t>
            </w:r>
          </w:p>
        </w:tc>
      </w:tr>
      <w:tr w:rsidR="00E3607D" w:rsidRPr="00E3607D" w14:paraId="2A10E345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15C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749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750 000,00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98C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CE8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1 150 000,00</w:t>
            </w:r>
          </w:p>
        </w:tc>
      </w:tr>
      <w:tr w:rsidR="00E3607D" w:rsidRPr="00E3607D" w14:paraId="0A66C33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A50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05D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704 000,00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22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DB6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1 104 000,00</w:t>
            </w:r>
          </w:p>
        </w:tc>
      </w:tr>
      <w:tr w:rsidR="00E3607D" w:rsidRPr="00E3607D" w14:paraId="6C053CB4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981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BD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0C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FC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</w:tr>
      <w:tr w:rsidR="00E3607D" w:rsidRPr="00E3607D" w14:paraId="1A2E475F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AB1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97B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5BC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59A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400 000,00</w:t>
            </w:r>
          </w:p>
        </w:tc>
      </w:tr>
      <w:tr w:rsidR="00E3607D" w:rsidRPr="00E3607D" w14:paraId="58E3358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D53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lastRenderedPageBreak/>
              <w:t>2035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605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EC3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318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500 000,00</w:t>
            </w:r>
          </w:p>
        </w:tc>
      </w:tr>
      <w:tr w:rsidR="00E3607D" w:rsidRPr="00E3607D" w14:paraId="7BB1C5C8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164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44A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C8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285 000,00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01B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285 000,00</w:t>
            </w:r>
          </w:p>
        </w:tc>
      </w:tr>
    </w:tbl>
    <w:p w14:paraId="6DFD96F8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3495981D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Zmiany w Wieloletniej Prognozie Finansowej Gminy Dobrzyca na lata 2024-2041 spowodowały modyfikacje w kształtowaniu się relacji z art. 243 ustawy o finansach publicznych. Szczegóły zaprezentowano w tabeli poniżej.</w:t>
      </w:r>
    </w:p>
    <w:p w14:paraId="69F9594A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7.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E3607D" w:rsidRPr="00E3607D" w14:paraId="3B6AB409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540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32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 xml:space="preserve">Obsługa zadłużenia (fakt. i plan. po </w:t>
            </w:r>
            <w:proofErr w:type="spellStart"/>
            <w:r w:rsidRPr="00E3607D">
              <w:rPr>
                <w:rFonts w:ascii="Ebrima" w:hAnsi="Ebrima" w:cs="Arial"/>
                <w:b/>
                <w:bCs/>
                <w:kern w:val="0"/>
              </w:rPr>
              <w:t>wyłączeniach</w:t>
            </w:r>
            <w:proofErr w:type="spellEnd"/>
            <w:r w:rsidRPr="00E3607D">
              <w:rPr>
                <w:rFonts w:ascii="Ebrima" w:hAnsi="Ebrima" w:cs="Arial"/>
                <w:b/>
                <w:bCs/>
                <w:kern w:val="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E14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F6F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593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6C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Zachowanie relacji z art. 243 (w oparciu o wykonanie)</w:t>
            </w:r>
          </w:p>
        </w:tc>
      </w:tr>
      <w:tr w:rsidR="00E3607D" w:rsidRPr="00E3607D" w14:paraId="08C02DC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896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D68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2BD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18,08%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BA0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FC0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19,70%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960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244A18E7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79B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1C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7,23%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4C7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14,65%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60C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379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16,28%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7E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2DD2F90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238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6C3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DA0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12,27%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A95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38F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13,97%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09D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670AC805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DBD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2C6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5,84%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A4E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11,16%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5B7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59A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12,86%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FDB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473FBE9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66F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1B4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7,80%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F5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10,16%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C8D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769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11,86%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44F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245ADC4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CBE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D66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6,76%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E88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9,07%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B5A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28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10,77%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7CC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60A0E9C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FD7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9E5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6,27%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315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8,42%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FBD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94F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10,12%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5E6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7D84EBD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8EF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F26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3,29%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FEC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9,49%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5D6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26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9,49%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DB1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149FD15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BB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6A5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2,80%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EC0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10,46%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2FD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410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10,46%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F31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2F6C86B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656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F5F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1,03%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AF0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9,59%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310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B33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9,59%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A27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01BBA24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72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3F0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BDE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9,35%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93F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572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9,35%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46B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7F1BC1F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BEA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FB9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1,08%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675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9,32%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3C0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1C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9,32%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8D4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1C60E96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432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C16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0,59%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5F0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9,21%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A9F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76C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9,21%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329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25B6AA1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D5A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2FF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482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2B8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C3B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3BA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35F0326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1D7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A55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998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D6F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60D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671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63CD202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763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516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ECE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0F2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F07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8A0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407FFAB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C65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FF8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CAA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8,19%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F0A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542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8,19%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0E5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  <w:tr w:rsidR="00E3607D" w:rsidRPr="00E3607D" w14:paraId="19744D7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39E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998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7E4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200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0CF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C70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TAK</w:t>
            </w:r>
          </w:p>
        </w:tc>
      </w:tr>
    </w:tbl>
    <w:p w14:paraId="1DCC17AF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39B5656C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30.09.2023 r. jak i w oparciu o dane z wykonania budżetu.</w:t>
      </w:r>
    </w:p>
    <w:p w14:paraId="7F00B9B2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Zmiana Wieloletniej Prognozy Finansowej Gminy Dobrzyca obejmuje również zmiany w załączniku nr 2, które szczegółowo opisano poniżej.</w:t>
      </w:r>
    </w:p>
    <w:p w14:paraId="59E0DD38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lastRenderedPageBreak/>
        <w:t>Do załącznika przedsięwzięć dodano następujące przedsięwzięcia:</w:t>
      </w:r>
    </w:p>
    <w:p w14:paraId="22939B6A" w14:textId="355F727C" w:rsidR="00E3607D" w:rsidRPr="00E3607D" w:rsidRDefault="00E3607D" w:rsidP="00E3607D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 xml:space="preserve">Funkcjonowanie publicznego transportu zbiorowego na terenie Miasta i Gminy Pleszew oraz Gminy Dobrzyca – zadanie bieżące, które ma być realizowane w latach 2025-2034 w ramach porozumienia międzygminnego Miasta i Gminy Pleszew oraz Gminy Dobrzyca w sprawie powierzenia zadania organizacji publicznego transportu </w:t>
      </w:r>
      <w:r w:rsidR="006A50E6" w:rsidRPr="00E3607D">
        <w:rPr>
          <w:rFonts w:ascii="Ebrima" w:hAnsi="Ebrima" w:cs="Arial"/>
          <w:kern w:val="0"/>
        </w:rPr>
        <w:t>zbiorowego. Łączne</w:t>
      </w:r>
      <w:r w:rsidRPr="00E3607D">
        <w:rPr>
          <w:rFonts w:ascii="Ebrima" w:hAnsi="Ebrima" w:cs="Arial"/>
          <w:kern w:val="0"/>
        </w:rPr>
        <w:t xml:space="preserve"> nakłady planowane na realizację zadania wynoszą 10 213 629,13 zł. Limit zobowiązań dla zadania wynosi 10 213 629,13 zł. Jednostką realizującą jest Urząd Miejski Gminy Dobrzyca.</w:t>
      </w:r>
    </w:p>
    <w:p w14:paraId="13BE04D5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Dokonano zmian w zakresie następujących przedsięwzięć:</w:t>
      </w:r>
    </w:p>
    <w:p w14:paraId="7BCC1240" w14:textId="0E69DE3C" w:rsidR="00E3607D" w:rsidRPr="00E3607D" w:rsidRDefault="00E3607D" w:rsidP="00E3607D">
      <w:pPr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 xml:space="preserve">W zakresie programów, projektów lub zadań związanych z programami realizowanymi z udziałem środków z UE w związku ze zmianą planowanych wydatków dostosowuje </w:t>
      </w:r>
      <w:r w:rsidR="006A50E6" w:rsidRPr="00E3607D">
        <w:rPr>
          <w:rFonts w:ascii="Ebrima" w:hAnsi="Ebrima" w:cs="Arial"/>
          <w:kern w:val="0"/>
        </w:rPr>
        <w:t>się</w:t>
      </w:r>
      <w:r w:rsidRPr="00E3607D">
        <w:rPr>
          <w:rFonts w:ascii="Ebrima" w:hAnsi="Ebrima" w:cs="Arial"/>
          <w:kern w:val="0"/>
        </w:rPr>
        <w:t xml:space="preserve"> limity wydatków w poszczególnych latach </w:t>
      </w:r>
    </w:p>
    <w:p w14:paraId="5EE52E43" w14:textId="77777777" w:rsidR="00E3607D" w:rsidRPr="00E3607D" w:rsidRDefault="00E3607D" w:rsidP="00E3607D">
      <w:pPr>
        <w:numPr>
          <w:ilvl w:val="1"/>
          <w:numId w:val="4"/>
        </w:numPr>
        <w:tabs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 xml:space="preserve">Projekt </w:t>
      </w:r>
      <w:proofErr w:type="spellStart"/>
      <w:r w:rsidRPr="00E3607D">
        <w:rPr>
          <w:rFonts w:ascii="Ebrima" w:hAnsi="Ebrima" w:cs="Arial"/>
          <w:kern w:val="0"/>
        </w:rPr>
        <w:t>pn</w:t>
      </w:r>
      <w:proofErr w:type="spellEnd"/>
      <w:r w:rsidRPr="00E3607D">
        <w:rPr>
          <w:rFonts w:ascii="Ebrima" w:hAnsi="Ebrima" w:cs="Arial"/>
          <w:kern w:val="0"/>
        </w:rPr>
        <w:t>."</w:t>
      </w:r>
      <w:proofErr w:type="spellStart"/>
      <w:r w:rsidRPr="00E3607D">
        <w:rPr>
          <w:rFonts w:ascii="Ebrima" w:hAnsi="Ebrima" w:cs="Arial"/>
          <w:kern w:val="0"/>
        </w:rPr>
        <w:t>Cyberbezpieczny</w:t>
      </w:r>
      <w:proofErr w:type="spellEnd"/>
      <w:r w:rsidRPr="00E3607D">
        <w:rPr>
          <w:rFonts w:ascii="Ebrima" w:hAnsi="Ebrima" w:cs="Arial"/>
          <w:kern w:val="0"/>
        </w:rPr>
        <w:t xml:space="preserve"> samorząd" – zmiana w przedsięwzięciu (część bieżąca) obejmuje m.in.:</w:t>
      </w:r>
    </w:p>
    <w:p w14:paraId="192CBADA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roku budżetowym o kwotę 1 410,00 zł;</w:t>
      </w:r>
    </w:p>
    <w:p w14:paraId="6408EFFF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zwiększenie limitu wydatków na realizację zadania w roku 2025 o kwotę 1 410,00 zł;</w:t>
      </w:r>
    </w:p>
    <w:p w14:paraId="45EBE952" w14:textId="77777777" w:rsidR="00E3607D" w:rsidRPr="00E3607D" w:rsidRDefault="00E3607D" w:rsidP="00E3607D">
      <w:pPr>
        <w:numPr>
          <w:ilvl w:val="1"/>
          <w:numId w:val="4"/>
        </w:numPr>
        <w:tabs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 xml:space="preserve">Projekt </w:t>
      </w:r>
      <w:proofErr w:type="spellStart"/>
      <w:r w:rsidRPr="00E3607D">
        <w:rPr>
          <w:rFonts w:ascii="Ebrima" w:hAnsi="Ebrima" w:cs="Arial"/>
          <w:kern w:val="0"/>
        </w:rPr>
        <w:t>pn</w:t>
      </w:r>
      <w:proofErr w:type="spellEnd"/>
      <w:r w:rsidRPr="00E3607D">
        <w:rPr>
          <w:rFonts w:ascii="Ebrima" w:hAnsi="Ebrima" w:cs="Arial"/>
          <w:kern w:val="0"/>
        </w:rPr>
        <w:t>."</w:t>
      </w:r>
      <w:proofErr w:type="spellStart"/>
      <w:r w:rsidRPr="00E3607D">
        <w:rPr>
          <w:rFonts w:ascii="Ebrima" w:hAnsi="Ebrima" w:cs="Arial"/>
          <w:kern w:val="0"/>
        </w:rPr>
        <w:t>Cyberbezpieczny</w:t>
      </w:r>
      <w:proofErr w:type="spellEnd"/>
      <w:r w:rsidRPr="00E3607D">
        <w:rPr>
          <w:rFonts w:ascii="Ebrima" w:hAnsi="Ebrima" w:cs="Arial"/>
          <w:kern w:val="0"/>
        </w:rPr>
        <w:t xml:space="preserve"> samorząd" – zmiana w przedsięwzięciu (część majątkowa) obejmuje m.in.:</w:t>
      </w:r>
    </w:p>
    <w:p w14:paraId="0662C6E9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roku budżetowym o kwotę 172 432,80 zł;</w:t>
      </w:r>
    </w:p>
    <w:p w14:paraId="16757D23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zwiększenie limitu wydatków na realizację zadania w roku 2025 o kwotę 172 432,80 zł;</w:t>
      </w:r>
    </w:p>
    <w:p w14:paraId="344E6CCD" w14:textId="77777777" w:rsidR="00E3607D" w:rsidRPr="00E3607D" w:rsidRDefault="00E3607D" w:rsidP="00E3607D">
      <w:pPr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 zakresie programów, projektów lub zadań innych (finansowanych ze środków krajowych):</w:t>
      </w:r>
    </w:p>
    <w:p w14:paraId="3FB0BA15" w14:textId="77777777" w:rsidR="00E3607D" w:rsidRPr="00E3607D" w:rsidRDefault="00E3607D" w:rsidP="00E3607D">
      <w:pPr>
        <w:numPr>
          <w:ilvl w:val="1"/>
          <w:numId w:val="4"/>
        </w:numPr>
        <w:tabs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Rozwój komunikacji autobusowej na terenie Miasta i Gminy Pleszew oraz Gminy Dobrzyca – zmiana w przedsięwzięciu w związku ze zmianą założeń projektowych dostosowuje się  (część bieżąca) obejmuje m.in.:</w:t>
      </w:r>
    </w:p>
    <w:p w14:paraId="79DF87A6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łącznych nakładów na realizację zadania o kwotę 5 039 277,00 zł;</w:t>
      </w:r>
    </w:p>
    <w:p w14:paraId="0F63EB36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roku budżetowym o kwotę 901 000,00 zł;</w:t>
      </w:r>
    </w:p>
    <w:p w14:paraId="07432C7F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latach 2025-2041 o kwotę 4 138 277,00 zł;</w:t>
      </w:r>
    </w:p>
    <w:p w14:paraId="370EA841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zobowiązań na realizację zadania o kwotę 3 738 277,00 zł;</w:t>
      </w:r>
    </w:p>
    <w:p w14:paraId="48598E38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lastRenderedPageBreak/>
        <w:t>wydłużenie horyzontu czasowego przedsięwzięcia do roku 2041;</w:t>
      </w:r>
    </w:p>
    <w:p w14:paraId="2EB1D48F" w14:textId="77777777" w:rsidR="00E3607D" w:rsidRPr="00E3607D" w:rsidRDefault="00E3607D" w:rsidP="00E3607D">
      <w:pPr>
        <w:numPr>
          <w:ilvl w:val="1"/>
          <w:numId w:val="4"/>
        </w:numPr>
        <w:tabs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Rozwój komunikacji autobusowej na terenie Miasta i Gminy Pleszew oraz Gminy Dobrzyca – zmiana w przedsięwzięciu (część majątkowa) obejmuje m.in.:</w:t>
      </w:r>
    </w:p>
    <w:p w14:paraId="77344019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łącznych nakładów ogółem oraz limitu zobowiązań na realizację zadania o kwotę 570 000,00 zł;</w:t>
      </w:r>
    </w:p>
    <w:p w14:paraId="2A8BEA3B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latach 2025-2026 o kwotę 570 000,00 zł;</w:t>
      </w:r>
    </w:p>
    <w:p w14:paraId="54A5A9AE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wydłużenie horyzontu czasowego przedsięwzięcia do roku 2026;</w:t>
      </w:r>
    </w:p>
    <w:p w14:paraId="726B66A7" w14:textId="77777777" w:rsidR="00E3607D" w:rsidRPr="00E3607D" w:rsidRDefault="00E3607D" w:rsidP="00E3607D">
      <w:pPr>
        <w:numPr>
          <w:ilvl w:val="1"/>
          <w:numId w:val="4"/>
        </w:numPr>
        <w:tabs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Modernizacja infrastruktury oświetlenia zewnętrznego na terenie Gminy Dobrzyca – zmiana w przedsięwzięciu po otrzymaniu promesy właściwej  obejmuje m.in.:</w:t>
      </w:r>
    </w:p>
    <w:p w14:paraId="1D4E0AD5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łącznych nakładów ogółem oraz limitu zobowiązań na realizację zadania o kwotę 437 252,21 zł;</w:t>
      </w:r>
    </w:p>
    <w:p w14:paraId="56025216" w14:textId="77777777" w:rsidR="00E3607D" w:rsidRPr="00E3607D" w:rsidRDefault="00E3607D" w:rsidP="00E3607D">
      <w:pPr>
        <w:numPr>
          <w:ilvl w:val="2"/>
          <w:numId w:val="1"/>
        </w:numPr>
        <w:tabs>
          <w:tab w:val="left" w:pos="21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zmniejszenie limitu wydatków na realizację zadania w roku 2025 o kwotę 437 252,21 zł.</w:t>
      </w:r>
    </w:p>
    <w:p w14:paraId="3214057D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Na skutek zmian wprowadzonych w wykazie wieloletnich przedsięwzięć, dokonano wydłużenia horyzontu czasowego załącznika nr 2 WPF z 2039 roku na 2041 rok.</w:t>
      </w:r>
    </w:p>
    <w:p w14:paraId="45234AAD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Zmiany wprowadzone w wykazie wieloletnich przedsięwzięć wpłynęły na zmianę pozycji 10.1.1 i 10.1.2 WPF, co przedstawiono w tabelach poniżej.</w:t>
      </w:r>
    </w:p>
    <w:p w14:paraId="75F4A683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8. Zmiany w wydatkach bieżących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64141BDB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DD5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F04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D10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DA9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03F5DE2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947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BFB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2 382 900,00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E71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-902 410,00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15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1 480 490,00</w:t>
            </w:r>
          </w:p>
        </w:tc>
      </w:tr>
      <w:tr w:rsidR="00E3607D" w:rsidRPr="00E3607D" w14:paraId="2FDAF7C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C14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C0B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2 090 020,00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48D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+404 410,00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08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2 494 430,00</w:t>
            </w:r>
          </w:p>
        </w:tc>
      </w:tr>
      <w:tr w:rsidR="00E3607D" w:rsidRPr="00E3607D" w14:paraId="14F6896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1A6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D97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1 878 940,00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10A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+551 305,30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BF6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2 430 245,30</w:t>
            </w:r>
          </w:p>
        </w:tc>
      </w:tr>
      <w:tr w:rsidR="00E3607D" w:rsidRPr="00E3607D" w14:paraId="2150534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67B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CB2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544 328,00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F5C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+697 312,30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A02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1 241 640,30</w:t>
            </w:r>
          </w:p>
        </w:tc>
      </w:tr>
      <w:tr w:rsidR="00E3607D" w:rsidRPr="00E3607D" w14:paraId="134AC5F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A31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755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560 178,00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1EC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+715 358,86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F37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1 275 536,86</w:t>
            </w:r>
          </w:p>
        </w:tc>
      </w:tr>
      <w:tr w:rsidR="00E3607D" w:rsidRPr="00E3607D" w14:paraId="6B5808A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F2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244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576 503,00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AF0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+733 575,38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8E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1 310 078,38</w:t>
            </w:r>
          </w:p>
        </w:tc>
      </w:tr>
      <w:tr w:rsidR="00E3607D" w:rsidRPr="00E3607D" w14:paraId="576F300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D80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204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593 318,00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D89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+751 242,36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7F0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1 344 560,36</w:t>
            </w:r>
          </w:p>
        </w:tc>
      </w:tr>
      <w:tr w:rsidR="00E3607D" w:rsidRPr="00E3607D" w14:paraId="6AC34D0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DD7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00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594 638,00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1E4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+768 602,29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D45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1 363 240,29</w:t>
            </w:r>
          </w:p>
        </w:tc>
      </w:tr>
      <w:tr w:rsidR="00E3607D" w:rsidRPr="00E3607D" w14:paraId="74E44B5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7CA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EEB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612 477,00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1EE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+784 974,68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3D4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1 397 451,68</w:t>
            </w:r>
          </w:p>
        </w:tc>
      </w:tr>
      <w:tr w:rsidR="00E3607D" w:rsidRPr="00E3607D" w14:paraId="5B4146F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440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D3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630 851,00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75D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+801 245,61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76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1 432 096,61</w:t>
            </w:r>
          </w:p>
        </w:tc>
      </w:tr>
      <w:tr w:rsidR="00E3607D" w:rsidRPr="00E3607D" w14:paraId="5E9C8C6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C1E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C58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649 777,00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CDF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+817 833,35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557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1 467 610,35</w:t>
            </w:r>
          </w:p>
        </w:tc>
      </w:tr>
      <w:tr w:rsidR="00E3607D" w:rsidRPr="00E3607D" w14:paraId="30C9CA9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20A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14C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669 270,00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46D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-329 413,00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9E2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339 857,00</w:t>
            </w:r>
          </w:p>
        </w:tc>
      </w:tr>
      <w:tr w:rsidR="00E3607D" w:rsidRPr="00E3607D" w14:paraId="786D750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C23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91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689 348,00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D6D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-339 295,00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EA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350 053,00</w:t>
            </w:r>
          </w:p>
        </w:tc>
      </w:tr>
      <w:tr w:rsidR="00E3607D" w:rsidRPr="00E3607D" w14:paraId="6E76B58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704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434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710 028,00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060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-349 473,00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211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360 555,00</w:t>
            </w:r>
          </w:p>
        </w:tc>
      </w:tr>
      <w:tr w:rsidR="00E3607D" w:rsidRPr="00E3607D" w14:paraId="457E9FF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33BC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lastRenderedPageBreak/>
              <w:t>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A8B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731 329,00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19C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-359 957,00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6C1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371 372,00</w:t>
            </w:r>
          </w:p>
        </w:tc>
      </w:tr>
      <w:tr w:rsidR="00E3607D" w:rsidRPr="00E3607D" w14:paraId="2A27A80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14E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E9DF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753 269,00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C9B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-370 756,00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F95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382 513,00</w:t>
            </w:r>
          </w:p>
        </w:tc>
      </w:tr>
      <w:tr w:rsidR="00E3607D" w:rsidRPr="00E3607D" w14:paraId="30721D2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95BE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704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BD2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+393 988,00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D3A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393 988,00</w:t>
            </w:r>
          </w:p>
        </w:tc>
      </w:tr>
      <w:tr w:rsidR="00E3607D" w:rsidRPr="00E3607D" w14:paraId="206E041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6F6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F918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E16A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+405 808,00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753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405 808,00</w:t>
            </w:r>
          </w:p>
        </w:tc>
      </w:tr>
    </w:tbl>
    <w:p w14:paraId="37A0C8C4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2E42E730" w14:textId="77777777" w:rsidR="00E3607D" w:rsidRPr="00E3607D" w:rsidRDefault="00E3607D" w:rsidP="00E360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E3607D">
        <w:rPr>
          <w:rFonts w:ascii="Ebrima" w:hAnsi="Ebrima" w:cs="Arial"/>
          <w:b/>
          <w:bCs/>
          <w:kern w:val="0"/>
        </w:rPr>
        <w:t>Tabela 9. Zmiany w wydatkach majątkowych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3607D" w:rsidRPr="00E3607D" w14:paraId="3FCB8E42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EA1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488B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E97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21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E3607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E3607D" w:rsidRPr="00E3607D" w14:paraId="51D30C2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52C3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C69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6 322 383,80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DE80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-172 432,80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C3D7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6 149 951,00</w:t>
            </w:r>
          </w:p>
        </w:tc>
      </w:tr>
      <w:tr w:rsidR="00E3607D" w:rsidRPr="00E3607D" w14:paraId="398B027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60E1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655D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10 062 423,20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8185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-1 404 819,41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91E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8 657 603,79</w:t>
            </w:r>
          </w:p>
        </w:tc>
      </w:tr>
      <w:tr w:rsidR="00E3607D" w:rsidRPr="00E3607D" w14:paraId="0913C17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7362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314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1 985 400,00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0686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+570 000,00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1014" w14:textId="77777777" w:rsidR="00E3607D" w:rsidRPr="00E3607D" w:rsidRDefault="00E3607D" w:rsidP="00E360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E3607D">
              <w:rPr>
                <w:rFonts w:ascii="Ebrima" w:hAnsi="Ebrima" w:cs="Arial"/>
                <w:kern w:val="0"/>
              </w:rPr>
              <w:t>2 555 400,00</w:t>
            </w:r>
          </w:p>
        </w:tc>
      </w:tr>
    </w:tbl>
    <w:p w14:paraId="55F17873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Źródło: opracowanie własne.</w:t>
      </w:r>
    </w:p>
    <w:p w14:paraId="2BA6B08A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Ogół zmian wprowadzonych w Wieloletniej Prognozie Finansowej Gminy Dobrzyca spowodował konieczność wydłużenia horyzontu czasowego prognozy WPF do 2041 roku. W związku z powyższym dokonano przeszacowania dochodów i wydatków bieżących z uwzględnieniem wskaźników makroekonomicznych (wg Wytycznych dotyczących stosowania jednolitych wskaźników makroekonomicznych będących podstawą oszacowania skutków finansowych projektowanych ustaw).</w:t>
      </w:r>
    </w:p>
    <w:p w14:paraId="34CF7307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157CA5AB" w14:textId="77777777" w:rsidR="00E3607D" w:rsidRPr="00E3607D" w:rsidRDefault="00E3607D" w:rsidP="00E360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E3607D">
        <w:rPr>
          <w:rFonts w:ascii="Ebrima" w:hAnsi="Ebrima" w:cs="Arial"/>
          <w:kern w:val="0"/>
        </w:rPr>
        <w:t>Pełen zakres zmian obrazują załączniki nr 1 i 2 do niniejszej uchwały.</w:t>
      </w:r>
    </w:p>
    <w:p w14:paraId="69EC4797" w14:textId="77777777" w:rsidR="00E3607D" w:rsidRPr="00E3607D" w:rsidRDefault="00E3607D" w:rsidP="00E3607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</w:p>
    <w:sectPr w:rsidR="00E3607D" w:rsidRPr="00E3607D" w:rsidSect="00E3607D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."/>
      <w:lvlJc w:val="left"/>
      <w:pPr>
        <w:ind w:left="212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."/>
      <w:lvlJc w:val="left"/>
      <w:pPr>
        <w:ind w:left="248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ind w:left="284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."/>
      <w:lvlJc w:val="left"/>
      <w:pPr>
        <w:ind w:left="320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."/>
      <w:lvlJc w:val="left"/>
      <w:pPr>
        <w:ind w:left="356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ind w:left="392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428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41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77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213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49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85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321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57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93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647473513">
    <w:abstractNumId w:val="0"/>
  </w:num>
  <w:num w:numId="2" w16cid:durableId="1357928901">
    <w:abstractNumId w:val="1"/>
  </w:num>
  <w:num w:numId="3" w16cid:durableId="910502693">
    <w:abstractNumId w:val="2"/>
  </w:num>
  <w:num w:numId="4" w16cid:durableId="1695693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93"/>
    <w:rsid w:val="0013523F"/>
    <w:rsid w:val="00262711"/>
    <w:rsid w:val="003156B6"/>
    <w:rsid w:val="006240C8"/>
    <w:rsid w:val="006A50E6"/>
    <w:rsid w:val="00844193"/>
    <w:rsid w:val="009321A1"/>
    <w:rsid w:val="00A5025B"/>
    <w:rsid w:val="00E3607D"/>
    <w:rsid w:val="00FB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1E86"/>
  <w15:chartTrackingRefBased/>
  <w15:docId w15:val="{8C3E9F4F-AE4E-4A5D-9AAC-9B747DAF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41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1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1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1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1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1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1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1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1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1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1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1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1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1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1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1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1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1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1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1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1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1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1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1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1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1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1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1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1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1870</Words>
  <Characters>11222</Characters>
  <Application>Microsoft Office Word</Application>
  <DocSecurity>0</DocSecurity>
  <Lines>93</Lines>
  <Paragraphs>26</Paragraphs>
  <ScaleCrop>false</ScaleCrop>
  <Company/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8</cp:revision>
  <dcterms:created xsi:type="dcterms:W3CDTF">2024-12-23T09:35:00Z</dcterms:created>
  <dcterms:modified xsi:type="dcterms:W3CDTF">2024-12-23T09:45:00Z</dcterms:modified>
</cp:coreProperties>
</file>