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F46" w:rsidRDefault="005F0062">
      <w:pPr>
        <w:spacing w:after="19" w:line="259" w:lineRule="auto"/>
        <w:ind w:left="53" w:right="0" w:firstLine="0"/>
        <w:jc w:val="center"/>
      </w:pPr>
      <w:r>
        <w:t xml:space="preserve"> </w:t>
      </w:r>
    </w:p>
    <w:p w:rsidR="002F4F46" w:rsidRDefault="005F0062">
      <w:pPr>
        <w:spacing w:after="0" w:line="259" w:lineRule="auto"/>
        <w:ind w:right="2168"/>
        <w:jc w:val="right"/>
      </w:pPr>
      <w:r>
        <w:rPr>
          <w:sz w:val="24"/>
        </w:rPr>
        <w:t xml:space="preserve">SZCZEGÓŁOWA SPECYFIKACJA TECHNICZNA </w:t>
      </w:r>
    </w:p>
    <w:p w:rsidR="002F4F46" w:rsidRDefault="005F0062">
      <w:pPr>
        <w:spacing w:after="0" w:line="259" w:lineRule="auto"/>
        <w:ind w:right="1984"/>
        <w:jc w:val="right"/>
      </w:pPr>
      <w:r>
        <w:rPr>
          <w:sz w:val="24"/>
        </w:rPr>
        <w:t xml:space="preserve">WYKONANIA I ODBIORU ROBÓT BUDOWLANYCH </w:t>
      </w:r>
    </w:p>
    <w:p w:rsidR="002F4F46" w:rsidRDefault="005F0062">
      <w:pPr>
        <w:spacing w:after="0" w:line="259" w:lineRule="auto"/>
        <w:ind w:left="360" w:right="0" w:firstLine="0"/>
        <w:jc w:val="left"/>
      </w:pPr>
      <w:r>
        <w:rPr>
          <w:b/>
          <w:sz w:val="24"/>
        </w:rPr>
        <w:t xml:space="preserve"> </w:t>
      </w:r>
    </w:p>
    <w:p w:rsidR="002F4F46" w:rsidRDefault="005F0062">
      <w:pPr>
        <w:spacing w:after="0" w:line="259" w:lineRule="auto"/>
        <w:ind w:left="36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spacing w:after="21" w:line="259" w:lineRule="auto"/>
        <w:ind w:left="36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spacing w:after="0" w:line="259" w:lineRule="auto"/>
        <w:ind w:left="64" w:right="0" w:firstLine="0"/>
        <w:jc w:val="center"/>
      </w:pPr>
      <w:r>
        <w:rPr>
          <w:b/>
          <w:sz w:val="24"/>
        </w:rPr>
        <w:t xml:space="preserve"> </w:t>
      </w:r>
    </w:p>
    <w:p w:rsidR="002F4F46" w:rsidRDefault="005F0062">
      <w:pPr>
        <w:spacing w:after="16" w:line="259" w:lineRule="auto"/>
        <w:ind w:left="64" w:right="0" w:firstLine="0"/>
        <w:jc w:val="center"/>
      </w:pPr>
      <w:r>
        <w:rPr>
          <w:b/>
          <w:sz w:val="24"/>
        </w:rPr>
        <w:t xml:space="preserve"> </w:t>
      </w:r>
    </w:p>
    <w:p w:rsidR="002F4F46" w:rsidRDefault="005F0062">
      <w:pPr>
        <w:spacing w:after="0" w:line="259" w:lineRule="auto"/>
        <w:ind w:left="0" w:right="1" w:firstLine="0"/>
        <w:jc w:val="center"/>
      </w:pPr>
      <w:r>
        <w:rPr>
          <w:b/>
          <w:sz w:val="28"/>
        </w:rPr>
        <w:t xml:space="preserve">B-02.08.00. </w:t>
      </w:r>
    </w:p>
    <w:p w:rsidR="002F4F46" w:rsidRDefault="005F0062">
      <w:pPr>
        <w:spacing w:after="0" w:line="259" w:lineRule="auto"/>
        <w:ind w:left="64" w:right="0" w:firstLine="0"/>
        <w:jc w:val="center"/>
      </w:pPr>
      <w:r>
        <w:rPr>
          <w:b/>
          <w:sz w:val="24"/>
        </w:rPr>
        <w:t xml:space="preserve"> </w:t>
      </w:r>
    </w:p>
    <w:p w:rsidR="002F4F46" w:rsidRDefault="005F0062">
      <w:pPr>
        <w:spacing w:after="0" w:line="259" w:lineRule="auto"/>
        <w:ind w:left="64" w:right="0" w:firstLine="0"/>
        <w:jc w:val="center"/>
      </w:pPr>
      <w:r>
        <w:rPr>
          <w:b/>
          <w:sz w:val="24"/>
        </w:rPr>
        <w:t xml:space="preserve"> </w:t>
      </w:r>
    </w:p>
    <w:p w:rsidR="002F4F46" w:rsidRDefault="005F0062">
      <w:pPr>
        <w:spacing w:after="0" w:line="259" w:lineRule="auto"/>
        <w:ind w:left="64" w:right="0" w:firstLine="0"/>
        <w:jc w:val="center"/>
      </w:pPr>
      <w:r>
        <w:rPr>
          <w:b/>
          <w:sz w:val="24"/>
        </w:rPr>
        <w:t xml:space="preserve"> </w:t>
      </w:r>
    </w:p>
    <w:p w:rsidR="002F4F46" w:rsidRDefault="005F0062">
      <w:pPr>
        <w:spacing w:after="0" w:line="259" w:lineRule="auto"/>
        <w:ind w:right="4"/>
        <w:jc w:val="center"/>
      </w:pPr>
      <w:r>
        <w:rPr>
          <w:b/>
          <w:sz w:val="24"/>
        </w:rPr>
        <w:t xml:space="preserve">Kod CPV 45400000-1 </w:t>
      </w:r>
    </w:p>
    <w:p w:rsidR="002F4F46" w:rsidRDefault="005F0062">
      <w:pPr>
        <w:spacing w:after="4" w:line="250" w:lineRule="auto"/>
        <w:ind w:left="2359" w:right="2361" w:firstLine="794"/>
        <w:jc w:val="left"/>
      </w:pPr>
      <w:r>
        <w:rPr>
          <w:b/>
          <w:sz w:val="24"/>
        </w:rPr>
        <w:t>ROBOTY WYKOŃCZENIOWE  W ZAKRESIE OBIEKTÓW BUDOWLANYCH</w:t>
      </w:r>
      <w:r>
        <w:rPr>
          <w:sz w:val="24"/>
          <w:vertAlign w:val="subscript"/>
        </w:rPr>
        <w:t xml:space="preserve">  </w:t>
      </w:r>
    </w:p>
    <w:p w:rsidR="002F4F46" w:rsidRDefault="005F0062">
      <w:pPr>
        <w:spacing w:after="21" w:line="259" w:lineRule="auto"/>
        <w:ind w:left="2527" w:right="0" w:firstLine="0"/>
        <w:jc w:val="left"/>
      </w:pPr>
      <w:r>
        <w:rPr>
          <w:sz w:val="16"/>
        </w:rPr>
        <w:t>Oznaczenie kodu według Wspólnego Słownika Zamówie</w:t>
      </w:r>
      <w:r>
        <w:rPr>
          <w:sz w:val="16"/>
        </w:rPr>
        <w:t>ń</w:t>
      </w:r>
      <w:r>
        <w:rPr>
          <w:sz w:val="16"/>
        </w:rPr>
        <w:t xml:space="preserve"> (CPV) </w:t>
      </w:r>
    </w:p>
    <w:p w:rsidR="002F4F46" w:rsidRDefault="005F0062">
      <w:pPr>
        <w:spacing w:after="0" w:line="259" w:lineRule="auto"/>
        <w:ind w:left="0" w:right="0" w:firstLine="0"/>
        <w:jc w:val="left"/>
      </w:pPr>
      <w:r>
        <w:t xml:space="preserve"> </w:t>
      </w:r>
    </w:p>
    <w:p w:rsidR="002F4F46" w:rsidRDefault="005F0062">
      <w:pPr>
        <w:spacing w:after="0" w:line="259" w:lineRule="auto"/>
        <w:ind w:left="0" w:right="0" w:firstLine="0"/>
        <w:jc w:val="left"/>
      </w:pPr>
      <w:r>
        <w:t xml:space="preserve"> </w:t>
      </w:r>
    </w:p>
    <w:p w:rsidR="002F4F46" w:rsidRDefault="005F0062">
      <w:pPr>
        <w:spacing w:after="57" w:line="259" w:lineRule="auto"/>
        <w:ind w:left="0" w:right="0" w:firstLine="0"/>
        <w:jc w:val="left"/>
      </w:pPr>
      <w:r>
        <w:t xml:space="preserve"> </w:t>
      </w:r>
    </w:p>
    <w:p w:rsidR="002F4F46" w:rsidRDefault="005F0062">
      <w:pPr>
        <w:spacing w:after="0" w:line="259" w:lineRule="auto"/>
        <w:ind w:left="75" w:right="0" w:firstLine="0"/>
        <w:jc w:val="center"/>
      </w:pPr>
      <w:r>
        <w:rPr>
          <w:b/>
          <w:sz w:val="28"/>
        </w:rPr>
        <w:t xml:space="preserve"> </w:t>
      </w:r>
    </w:p>
    <w:p w:rsidR="002F4F46" w:rsidRDefault="005F0062">
      <w:pPr>
        <w:spacing w:after="0" w:line="259" w:lineRule="auto"/>
        <w:ind w:right="4"/>
        <w:jc w:val="center"/>
      </w:pPr>
      <w:r>
        <w:rPr>
          <w:b/>
          <w:sz w:val="24"/>
        </w:rPr>
        <w:t xml:space="preserve">Kod CPV 45442100-8 </w:t>
      </w:r>
    </w:p>
    <w:p w:rsidR="002F4F46" w:rsidRDefault="005F0062">
      <w:pPr>
        <w:spacing w:after="4" w:line="250" w:lineRule="auto"/>
        <w:ind w:left="3569" w:right="2361"/>
        <w:jc w:val="left"/>
      </w:pPr>
      <w:r>
        <w:rPr>
          <w:b/>
          <w:sz w:val="24"/>
        </w:rPr>
        <w:t xml:space="preserve">ROBOTY MALARSKIE  </w:t>
      </w:r>
    </w:p>
    <w:p w:rsidR="002F4F46" w:rsidRDefault="005F0062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spacing w:after="0" w:line="259" w:lineRule="auto"/>
        <w:ind w:left="0" w:right="0" w:firstLine="0"/>
        <w:jc w:val="left"/>
      </w:pPr>
      <w:r>
        <w:t xml:space="preserve"> </w:t>
      </w:r>
    </w:p>
    <w:p w:rsidR="002F4F46" w:rsidRDefault="005F0062">
      <w:pPr>
        <w:spacing w:after="0" w:line="259" w:lineRule="auto"/>
        <w:ind w:left="0" w:right="0" w:firstLine="0"/>
        <w:jc w:val="left"/>
      </w:pPr>
      <w:r>
        <w:t xml:space="preserve"> </w:t>
      </w:r>
    </w:p>
    <w:p w:rsidR="002F4F46" w:rsidRDefault="005F0062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spacing w:after="2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spacing w:after="63" w:line="259" w:lineRule="auto"/>
        <w:ind w:right="7"/>
        <w:jc w:val="center"/>
      </w:pPr>
      <w:r>
        <w:rPr>
          <w:b/>
        </w:rPr>
        <w:t xml:space="preserve">SPIS TREŚCI </w:t>
      </w:r>
    </w:p>
    <w:p w:rsidR="00BB5603" w:rsidRDefault="005F0062">
      <w:pPr>
        <w:spacing w:after="17" w:line="259" w:lineRule="auto"/>
        <w:ind w:left="-5" w:right="4530"/>
        <w:jc w:val="left"/>
        <w:rPr>
          <w:b/>
        </w:rPr>
      </w:pPr>
      <w:r>
        <w:rPr>
          <w:b/>
        </w:rPr>
        <w:t xml:space="preserve">1. Wstęp </w:t>
      </w:r>
    </w:p>
    <w:p w:rsidR="00BB5603" w:rsidRDefault="005F0062">
      <w:pPr>
        <w:spacing w:after="17" w:line="259" w:lineRule="auto"/>
        <w:ind w:left="-5" w:right="4530"/>
        <w:jc w:val="left"/>
        <w:rPr>
          <w:b/>
        </w:rPr>
      </w:pPr>
      <w:r>
        <w:rPr>
          <w:b/>
        </w:rPr>
        <w:t xml:space="preserve">2. Materiały </w:t>
      </w:r>
    </w:p>
    <w:p w:rsidR="00BB5603" w:rsidRDefault="005F0062">
      <w:pPr>
        <w:spacing w:after="17" w:line="259" w:lineRule="auto"/>
        <w:ind w:left="-5" w:right="4530"/>
        <w:jc w:val="left"/>
        <w:rPr>
          <w:b/>
        </w:rPr>
      </w:pPr>
      <w:r>
        <w:rPr>
          <w:b/>
        </w:rPr>
        <w:t xml:space="preserve">3. Sprzęt </w:t>
      </w:r>
    </w:p>
    <w:p w:rsidR="00BB5603" w:rsidRDefault="005F0062">
      <w:pPr>
        <w:spacing w:after="17" w:line="259" w:lineRule="auto"/>
        <w:ind w:left="-5" w:right="4530"/>
        <w:jc w:val="left"/>
        <w:rPr>
          <w:b/>
        </w:rPr>
      </w:pPr>
      <w:r>
        <w:rPr>
          <w:b/>
        </w:rPr>
        <w:t xml:space="preserve">4. Transport </w:t>
      </w:r>
    </w:p>
    <w:p w:rsidR="00BB5603" w:rsidRDefault="005F0062">
      <w:pPr>
        <w:spacing w:after="17" w:line="259" w:lineRule="auto"/>
        <w:ind w:left="-5" w:right="4530"/>
        <w:jc w:val="left"/>
        <w:rPr>
          <w:b/>
        </w:rPr>
      </w:pPr>
      <w:r>
        <w:rPr>
          <w:b/>
        </w:rPr>
        <w:t xml:space="preserve">5. Wykonanie robót </w:t>
      </w:r>
    </w:p>
    <w:p w:rsidR="00BB5603" w:rsidRDefault="005F0062">
      <w:pPr>
        <w:spacing w:after="17" w:line="259" w:lineRule="auto"/>
        <w:ind w:left="-5" w:right="4530"/>
        <w:jc w:val="left"/>
        <w:rPr>
          <w:b/>
        </w:rPr>
      </w:pPr>
      <w:r>
        <w:rPr>
          <w:b/>
        </w:rPr>
        <w:t xml:space="preserve">6. Kontrola jakości </w:t>
      </w:r>
    </w:p>
    <w:p w:rsidR="00BB5603" w:rsidRDefault="005F0062">
      <w:pPr>
        <w:spacing w:after="17" w:line="259" w:lineRule="auto"/>
        <w:ind w:left="-5" w:right="4530"/>
        <w:jc w:val="left"/>
        <w:rPr>
          <w:b/>
        </w:rPr>
      </w:pPr>
      <w:r>
        <w:rPr>
          <w:b/>
        </w:rPr>
        <w:t xml:space="preserve">7. Obmiar robót </w:t>
      </w:r>
    </w:p>
    <w:p w:rsidR="00BB5603" w:rsidRDefault="005F0062">
      <w:pPr>
        <w:spacing w:after="17" w:line="259" w:lineRule="auto"/>
        <w:ind w:left="-5" w:right="4530"/>
        <w:jc w:val="left"/>
        <w:rPr>
          <w:b/>
        </w:rPr>
      </w:pPr>
      <w:r>
        <w:rPr>
          <w:b/>
        </w:rPr>
        <w:t xml:space="preserve">8. Odbiór robót </w:t>
      </w:r>
    </w:p>
    <w:p w:rsidR="00BB5603" w:rsidRDefault="005F0062">
      <w:pPr>
        <w:spacing w:after="17" w:line="259" w:lineRule="auto"/>
        <w:ind w:left="-5" w:right="4530"/>
        <w:jc w:val="left"/>
        <w:rPr>
          <w:b/>
        </w:rPr>
      </w:pPr>
      <w:r>
        <w:rPr>
          <w:b/>
        </w:rPr>
        <w:t xml:space="preserve">9. Podstawa płatności </w:t>
      </w:r>
    </w:p>
    <w:p w:rsidR="002F4F46" w:rsidRDefault="005F0062">
      <w:pPr>
        <w:spacing w:after="17" w:line="259" w:lineRule="auto"/>
        <w:ind w:left="-5" w:right="4530"/>
        <w:jc w:val="left"/>
      </w:pPr>
      <w:r>
        <w:rPr>
          <w:b/>
        </w:rPr>
        <w:t xml:space="preserve">10. Przepisy związane </w:t>
      </w:r>
    </w:p>
    <w:p w:rsidR="002F4F46" w:rsidRDefault="005F0062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spacing w:after="1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spacing w:after="41" w:line="259" w:lineRule="auto"/>
        <w:ind w:left="53" w:right="0" w:firstLine="0"/>
        <w:jc w:val="center"/>
      </w:pPr>
      <w:r>
        <w:rPr>
          <w:b/>
        </w:rPr>
        <w:t xml:space="preserve"> </w:t>
      </w:r>
    </w:p>
    <w:p w:rsidR="002F4F46" w:rsidRDefault="00BB5603">
      <w:pPr>
        <w:spacing w:after="63" w:line="259" w:lineRule="auto"/>
        <w:ind w:right="5"/>
        <w:jc w:val="center"/>
      </w:pPr>
      <w:r>
        <w:rPr>
          <w:b/>
        </w:rPr>
        <w:t>KATOWICE, sierpień 2018</w:t>
      </w:r>
    </w:p>
    <w:p w:rsidR="002F4F46" w:rsidRDefault="005F0062">
      <w:pPr>
        <w:pStyle w:val="Nagwek1"/>
        <w:ind w:left="-5" w:right="4530"/>
      </w:pPr>
      <w:r>
        <w:lastRenderedPageBreak/>
        <w:t>1. WST</w:t>
      </w:r>
      <w:r>
        <w:t>Ę</w:t>
      </w:r>
      <w:r>
        <w:t xml:space="preserve">P </w:t>
      </w:r>
    </w:p>
    <w:p w:rsidR="002F4F46" w:rsidRDefault="005F0062">
      <w:pPr>
        <w:pStyle w:val="Nagwek2"/>
        <w:spacing w:after="86"/>
        <w:ind w:left="-5" w:right="4530"/>
      </w:pPr>
      <w:r>
        <w:t xml:space="preserve">1.1. Przedmiot SST </w:t>
      </w:r>
    </w:p>
    <w:p w:rsidR="002F4F46" w:rsidRDefault="005F0062">
      <w:pPr>
        <w:spacing w:after="97"/>
        <w:ind w:left="-5" w:right="0"/>
      </w:pPr>
      <w:r>
        <w:t>Przedmiotem niniejszej szczegółowej specyfikacji technicznej (SST) s</w:t>
      </w:r>
      <w:r>
        <w:t>ą</w:t>
      </w:r>
      <w:r>
        <w:t xml:space="preserve"> wymagania szczegółowe dotycz</w:t>
      </w:r>
      <w:r>
        <w:t>ą</w:t>
      </w:r>
      <w:r>
        <w:t xml:space="preserve">ce wykonania i odbioru robót malarskich jako zadania </w:t>
      </w:r>
      <w:r w:rsidR="00BB5603">
        <w:t xml:space="preserve">„Termomodernizacja budynku Urzędu Gminy w Ciasnej”. </w:t>
      </w:r>
    </w:p>
    <w:p w:rsidR="002F4F46" w:rsidRDefault="005F0062">
      <w:pPr>
        <w:spacing w:after="91" w:line="259" w:lineRule="auto"/>
        <w:ind w:left="0" w:right="0" w:firstLine="0"/>
        <w:jc w:val="left"/>
      </w:pPr>
      <w:r>
        <w:t xml:space="preserve"> </w:t>
      </w:r>
    </w:p>
    <w:p w:rsidR="002F4F46" w:rsidRDefault="005F0062">
      <w:pPr>
        <w:pStyle w:val="Nagwek2"/>
        <w:ind w:left="-5" w:right="4530"/>
      </w:pPr>
      <w:r>
        <w:t xml:space="preserve">1.2. Zakres stosowania SST </w:t>
      </w:r>
    </w:p>
    <w:p w:rsidR="002F4F46" w:rsidRDefault="005F0062">
      <w:pPr>
        <w:ind w:left="-5" w:right="0"/>
      </w:pPr>
      <w:r>
        <w:t>Niniejsza specyfikacja b</w:t>
      </w:r>
      <w:r>
        <w:t>ę</w:t>
      </w:r>
      <w:r>
        <w:t>dzie stosowana jako dok</w:t>
      </w:r>
      <w:r>
        <w:t xml:space="preserve">ument przetargowy i kontraktowy przy zlecaniu i realizacji robót wymienionych w punkcie 1.1.  </w:t>
      </w:r>
    </w:p>
    <w:p w:rsidR="002F4F46" w:rsidRDefault="005F0062">
      <w:pPr>
        <w:spacing w:after="4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pStyle w:val="Nagwek2"/>
        <w:ind w:left="-5" w:right="4530"/>
      </w:pPr>
      <w:r>
        <w:t>1.3. Zakres robót obj</w:t>
      </w:r>
      <w:r>
        <w:t>ę</w:t>
      </w:r>
      <w:r>
        <w:t xml:space="preserve">tych SST </w:t>
      </w:r>
    </w:p>
    <w:p w:rsidR="002F4F46" w:rsidRDefault="005F0062">
      <w:pPr>
        <w:spacing w:after="124"/>
        <w:ind w:left="-5" w:right="0"/>
      </w:pPr>
      <w:r>
        <w:t>Roboty, których dotyczy Specyfikacja, obejmuj</w:t>
      </w:r>
      <w:r>
        <w:t>ą</w:t>
      </w:r>
      <w:r>
        <w:t xml:space="preserve">: </w:t>
      </w:r>
    </w:p>
    <w:p w:rsidR="002F4F46" w:rsidRDefault="005F0062">
      <w:pPr>
        <w:ind w:left="372" w:right="0"/>
      </w:pPr>
      <w:r>
        <w:rPr>
          <w:rFonts w:ascii="Segoe UI Symbol" w:eastAsia="Segoe UI Symbol" w:hAnsi="Segoe UI Symbol" w:cs="Segoe UI Symbol"/>
          <w:sz w:val="24"/>
        </w:rPr>
        <w:t>−</w:t>
      </w:r>
      <w:r>
        <w:rPr>
          <w:sz w:val="24"/>
        </w:rPr>
        <w:t xml:space="preserve"> </w:t>
      </w:r>
      <w:r>
        <w:t xml:space="preserve">Roboty przygotowawcze. </w:t>
      </w:r>
    </w:p>
    <w:p w:rsidR="002F4F46" w:rsidRDefault="005F0062">
      <w:pPr>
        <w:spacing w:after="8"/>
        <w:ind w:left="372" w:right="0"/>
      </w:pPr>
      <w:r>
        <w:rPr>
          <w:rFonts w:ascii="Segoe UI Symbol" w:eastAsia="Segoe UI Symbol" w:hAnsi="Segoe UI Symbol" w:cs="Segoe UI Symbol"/>
          <w:sz w:val="24"/>
        </w:rPr>
        <w:t>−</w:t>
      </w:r>
      <w:r>
        <w:rPr>
          <w:sz w:val="24"/>
        </w:rPr>
        <w:t xml:space="preserve"> </w:t>
      </w:r>
      <w:r>
        <w:t>Malowanie powierzchni wewn</w:t>
      </w:r>
      <w:r>
        <w:t>ę</w:t>
      </w:r>
      <w:r>
        <w:t xml:space="preserve">trznych – w pomieszczeniach </w:t>
      </w:r>
      <w:r w:rsidR="00BB5603">
        <w:t>w których wykonywano roboty budowlane</w:t>
      </w:r>
      <w:bookmarkStart w:id="0" w:name="_GoBack"/>
      <w:bookmarkEnd w:id="0"/>
    </w:p>
    <w:p w:rsidR="002F4F46" w:rsidRDefault="005F0062">
      <w:pPr>
        <w:spacing w:after="4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spacing w:after="43" w:line="259" w:lineRule="auto"/>
        <w:ind w:left="-5" w:right="4530"/>
        <w:jc w:val="left"/>
      </w:pPr>
      <w:r>
        <w:rPr>
          <w:b/>
        </w:rPr>
        <w:t xml:space="preserve">1.4. Określenia podstawowe </w:t>
      </w:r>
    </w:p>
    <w:p w:rsidR="002F4F46" w:rsidRDefault="005F0062">
      <w:pPr>
        <w:ind w:left="-5" w:right="0"/>
      </w:pPr>
      <w:r>
        <w:t>Ogólne wymagania dotycz</w:t>
      </w:r>
      <w:r>
        <w:t>ą</w:t>
      </w:r>
      <w:r>
        <w:t>ce okre</w:t>
      </w:r>
      <w:r>
        <w:t>ś</w:t>
      </w:r>
      <w:r>
        <w:t>le</w:t>
      </w:r>
      <w:r>
        <w:t>ń</w:t>
      </w:r>
      <w:r>
        <w:t xml:space="preserve"> podstawowych podano w OST pkt.1.4. </w:t>
      </w:r>
    </w:p>
    <w:p w:rsidR="002F4F46" w:rsidRDefault="005F0062">
      <w:pPr>
        <w:spacing w:after="41" w:line="259" w:lineRule="auto"/>
        <w:ind w:left="0" w:right="0" w:firstLine="0"/>
        <w:jc w:val="left"/>
      </w:pPr>
      <w:r>
        <w:t xml:space="preserve"> </w:t>
      </w:r>
    </w:p>
    <w:p w:rsidR="002F4F46" w:rsidRDefault="005F0062">
      <w:pPr>
        <w:pStyle w:val="Nagwek2"/>
        <w:ind w:left="-5" w:right="4530"/>
      </w:pPr>
      <w:r>
        <w:t>1.5. Ogólne wymagania dotycz</w:t>
      </w:r>
      <w:r>
        <w:t>ą</w:t>
      </w:r>
      <w:r>
        <w:t xml:space="preserve">ce robót </w:t>
      </w:r>
    </w:p>
    <w:p w:rsidR="002F4F46" w:rsidRDefault="005F0062">
      <w:pPr>
        <w:ind w:left="-5" w:right="0"/>
      </w:pPr>
      <w:r>
        <w:t>Ogólne wymagania dotycz</w:t>
      </w:r>
      <w:r>
        <w:t>ą</w:t>
      </w:r>
      <w:r>
        <w:t xml:space="preserve">ce robót podano w OST pkt.1.6. </w:t>
      </w:r>
    </w:p>
    <w:p w:rsidR="002F4F46" w:rsidRDefault="005F0062">
      <w:pPr>
        <w:ind w:left="-5" w:right="0"/>
      </w:pPr>
      <w:r>
        <w:t xml:space="preserve">Wykonawca </w:t>
      </w:r>
      <w:r>
        <w:t>jest odpowiedzialny za jako</w:t>
      </w:r>
      <w:r>
        <w:t>ść</w:t>
      </w:r>
      <w:r>
        <w:t xml:space="preserve"> robót i ich zgodno</w:t>
      </w:r>
      <w:r>
        <w:t>ść</w:t>
      </w:r>
      <w:r>
        <w:t xml:space="preserve"> z Dokumentacj</w:t>
      </w:r>
      <w:r>
        <w:t>ą</w:t>
      </w:r>
      <w:r>
        <w:t xml:space="preserve"> Projektow</w:t>
      </w:r>
      <w:r>
        <w:t>ą</w:t>
      </w:r>
      <w:r>
        <w:t xml:space="preserve">, ST i poleceniami Inspektora Nadzoru.  </w:t>
      </w:r>
    </w:p>
    <w:p w:rsidR="002F4F46" w:rsidRDefault="005F0062">
      <w:pPr>
        <w:spacing w:after="4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pStyle w:val="Nagwek1"/>
        <w:ind w:left="-5" w:right="4530"/>
      </w:pPr>
      <w:r>
        <w:t xml:space="preserve">2. MATERIAŁY </w:t>
      </w:r>
    </w:p>
    <w:p w:rsidR="002F4F46" w:rsidRDefault="005F0062">
      <w:pPr>
        <w:ind w:left="-5" w:right="0"/>
      </w:pPr>
      <w:r>
        <w:t>Ogólne wymagania dotycz</w:t>
      </w:r>
      <w:r>
        <w:t>ą</w:t>
      </w:r>
      <w:r>
        <w:t xml:space="preserve">ce materiałów podano w OST pkt.2. </w:t>
      </w:r>
    </w:p>
    <w:p w:rsidR="002F4F46" w:rsidRDefault="005F0062">
      <w:pPr>
        <w:pStyle w:val="Nagwek2"/>
        <w:ind w:left="-5" w:right="4530"/>
      </w:pPr>
      <w:r>
        <w:t xml:space="preserve">2.1. Rodzaje materiałów </w:t>
      </w:r>
    </w:p>
    <w:p w:rsidR="002F4F46" w:rsidRDefault="005F0062">
      <w:pPr>
        <w:spacing w:after="17" w:line="302" w:lineRule="auto"/>
        <w:ind w:left="-5" w:right="3917"/>
      </w:pPr>
      <w:r>
        <w:t>2.1.1. Materiały do malowania wn</w:t>
      </w:r>
      <w:r>
        <w:t>ę</w:t>
      </w:r>
      <w:r>
        <w:t>trz obiektów budowlanych Do malowania powierzchni wewn</w:t>
      </w:r>
      <w:r>
        <w:t>ą</w:t>
      </w:r>
      <w:r>
        <w:t>trz obiektów mo</w:t>
      </w:r>
      <w:r>
        <w:t>ż</w:t>
      </w:r>
      <w:r>
        <w:t>na stosowa</w:t>
      </w:r>
      <w:r>
        <w:t>ć</w:t>
      </w:r>
      <w:r>
        <w:t xml:space="preserve">: </w:t>
      </w:r>
    </w:p>
    <w:p w:rsidR="002F4F46" w:rsidRDefault="005F0062">
      <w:pPr>
        <w:tabs>
          <w:tab w:val="center" w:pos="412"/>
          <w:tab w:val="center" w:pos="338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farby wewn</w:t>
      </w:r>
      <w:r>
        <w:t>ę</w:t>
      </w:r>
      <w:r>
        <w:t xml:space="preserve">trzne – szczegóły wg dokumentacji projektowej. </w:t>
      </w:r>
    </w:p>
    <w:p w:rsidR="002F4F46" w:rsidRDefault="005F0062">
      <w:pPr>
        <w:tabs>
          <w:tab w:val="center" w:pos="412"/>
          <w:tab w:val="center" w:pos="4346"/>
        </w:tabs>
        <w:spacing w:after="1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farby wewn</w:t>
      </w:r>
      <w:r>
        <w:t>ę</w:t>
      </w:r>
      <w:r>
        <w:t xml:space="preserve">trzne odporne na </w:t>
      </w:r>
      <w:r>
        <w:t>ś</w:t>
      </w:r>
      <w:r>
        <w:t xml:space="preserve">cieranie – szczegóły wg dokumentacji projektowej. </w:t>
      </w:r>
    </w:p>
    <w:p w:rsidR="002F4F46" w:rsidRDefault="005F0062">
      <w:pPr>
        <w:ind w:left="-5" w:right="0"/>
      </w:pPr>
      <w:r>
        <w:t>2.1.2. Materiały pomocni</w:t>
      </w:r>
      <w:r>
        <w:t xml:space="preserve">cze </w:t>
      </w:r>
    </w:p>
    <w:p w:rsidR="002F4F46" w:rsidRDefault="005F0062">
      <w:pPr>
        <w:ind w:left="-5" w:right="0"/>
      </w:pPr>
      <w:r>
        <w:t xml:space="preserve">Materiały pomocnicze do wykonywania robót malarskich to: </w:t>
      </w:r>
    </w:p>
    <w:p w:rsidR="002F4F46" w:rsidRDefault="005F0062">
      <w:pPr>
        <w:tabs>
          <w:tab w:val="center" w:pos="407"/>
          <w:tab w:val="center" w:pos="408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>rozcie</w:t>
      </w:r>
      <w:r>
        <w:t>ń</w:t>
      </w:r>
      <w:r>
        <w:t>czalniki, w tym: woda i inne rozcie</w:t>
      </w:r>
      <w:r>
        <w:t>ń</w:t>
      </w:r>
      <w:r>
        <w:t xml:space="preserve">czalniki przygotowane fabrycznie, </w:t>
      </w:r>
    </w:p>
    <w:p w:rsidR="002F4F46" w:rsidRDefault="005F0062">
      <w:pPr>
        <w:ind w:left="368" w:right="0"/>
      </w:pP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t>ś</w:t>
      </w:r>
      <w:r>
        <w:t>rodki do odtłuszczania, mycia i usuwania zanieczyszcze</w:t>
      </w:r>
      <w:r>
        <w:t>ń</w:t>
      </w:r>
      <w:r>
        <w:t xml:space="preserve"> podło</w:t>
      </w:r>
      <w:r>
        <w:t>ż</w:t>
      </w:r>
      <w:r>
        <w:t xml:space="preserve">a, </w:t>
      </w:r>
    </w:p>
    <w:p w:rsidR="002F4F46" w:rsidRDefault="005F0062">
      <w:pPr>
        <w:ind w:left="368" w:right="0"/>
      </w:pP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t>ś</w:t>
      </w:r>
      <w:r>
        <w:t>rodki do likwidacji zacieków i wykwitów</w:t>
      </w:r>
      <w:r>
        <w:t xml:space="preserve">, </w:t>
      </w:r>
    </w:p>
    <w:p w:rsidR="002F4F46" w:rsidRDefault="005F0062">
      <w:pPr>
        <w:ind w:left="-5" w:right="0"/>
      </w:pPr>
      <w:r>
        <w:t>Wszystkie ww. materiały musz</w:t>
      </w:r>
      <w:r>
        <w:t>ą</w:t>
      </w:r>
      <w:r>
        <w:t xml:space="preserve"> mie</w:t>
      </w:r>
      <w:r>
        <w:t>ć</w:t>
      </w:r>
      <w:r>
        <w:t xml:space="preserve"> własno</w:t>
      </w:r>
      <w:r>
        <w:t>ś</w:t>
      </w:r>
      <w:r>
        <w:t>ci techniczne okre</w:t>
      </w:r>
      <w:r>
        <w:t>ś</w:t>
      </w:r>
      <w:r>
        <w:t>lone przez producenta lub odpowiadaj</w:t>
      </w:r>
      <w:r>
        <w:t>ą</w:t>
      </w:r>
      <w:r>
        <w:t>ce wymaganiom odpowiednich aprobat technicznych b</w:t>
      </w:r>
      <w:r>
        <w:t>ą</w:t>
      </w:r>
      <w:r>
        <w:t>d</w:t>
      </w:r>
      <w:r>
        <w:t>ź</w:t>
      </w:r>
      <w:r>
        <w:t xml:space="preserve"> Polskich Norm. </w:t>
      </w:r>
    </w:p>
    <w:p w:rsidR="002F4F46" w:rsidRDefault="005F0062">
      <w:pPr>
        <w:ind w:left="-5" w:right="0"/>
      </w:pPr>
      <w:r>
        <w:t xml:space="preserve">2.1.3. Woda </w:t>
      </w:r>
    </w:p>
    <w:p w:rsidR="002F4F46" w:rsidRDefault="005F0062">
      <w:pPr>
        <w:ind w:left="-5" w:right="0"/>
      </w:pPr>
      <w:r>
        <w:t>Do przygotowania farb zarabianych wod</w:t>
      </w:r>
      <w:r>
        <w:t>ą</w:t>
      </w:r>
      <w:r>
        <w:t xml:space="preserve"> nale</w:t>
      </w:r>
      <w:r>
        <w:t>ż</w:t>
      </w:r>
      <w:r>
        <w:t>y stosowa</w:t>
      </w:r>
      <w:r>
        <w:t>ć</w:t>
      </w:r>
      <w:r>
        <w:t xml:space="preserve"> wod</w:t>
      </w:r>
      <w:r>
        <w:t>ę</w:t>
      </w:r>
      <w:r>
        <w:t xml:space="preserve"> odpowiadaj</w:t>
      </w:r>
      <w:r>
        <w:t>ą</w:t>
      </w:r>
      <w:r>
        <w:t>c</w:t>
      </w:r>
      <w:r>
        <w:t>ą</w:t>
      </w:r>
      <w:r>
        <w:t xml:space="preserve"> wymaganiom normy PN-EN 1008:2004 Bez bada</w:t>
      </w:r>
      <w:r>
        <w:t>ń</w:t>
      </w:r>
      <w:r>
        <w:t xml:space="preserve"> laboratoryjnych mo</w:t>
      </w:r>
      <w:r>
        <w:t>ż</w:t>
      </w:r>
      <w:r>
        <w:t>e by</w:t>
      </w:r>
      <w:r>
        <w:t>ć</w:t>
      </w:r>
      <w:r>
        <w:t xml:space="preserve"> stosowana tylko wodoci</w:t>
      </w:r>
      <w:r>
        <w:t>ą</w:t>
      </w:r>
      <w:r>
        <w:t xml:space="preserve">gowa woda pitna. </w:t>
      </w:r>
    </w:p>
    <w:p w:rsidR="002F4F46" w:rsidRDefault="005F0062">
      <w:pPr>
        <w:spacing w:after="41" w:line="259" w:lineRule="auto"/>
        <w:ind w:left="0" w:right="0" w:firstLine="0"/>
        <w:jc w:val="left"/>
      </w:pPr>
      <w:r>
        <w:t xml:space="preserve"> </w:t>
      </w:r>
    </w:p>
    <w:p w:rsidR="002F4F46" w:rsidRDefault="005F0062">
      <w:pPr>
        <w:pStyle w:val="Nagwek1"/>
        <w:ind w:left="-5" w:right="4530"/>
      </w:pPr>
      <w:r>
        <w:t>3. SPRZ</w:t>
      </w:r>
      <w:r>
        <w:t>Ę</w:t>
      </w:r>
      <w:r>
        <w:t xml:space="preserve">T  </w:t>
      </w:r>
    </w:p>
    <w:p w:rsidR="002F4F46" w:rsidRDefault="005F0062">
      <w:pPr>
        <w:ind w:left="-5" w:right="0"/>
      </w:pPr>
      <w:r>
        <w:t>Ogólne wymagania dotycz</w:t>
      </w:r>
      <w:r>
        <w:t>ą</w:t>
      </w:r>
      <w:r>
        <w:t>ce sprz</w:t>
      </w:r>
      <w:r>
        <w:t>ę</w:t>
      </w:r>
      <w:r>
        <w:t xml:space="preserve">tu podano w OST  pkt.3. </w:t>
      </w:r>
    </w:p>
    <w:p w:rsidR="002F4F46" w:rsidRDefault="005F0062">
      <w:pPr>
        <w:ind w:left="-5" w:right="0"/>
      </w:pPr>
      <w:r>
        <w:t>Do wykonywania robót malarskich nale</w:t>
      </w:r>
      <w:r>
        <w:t>ż</w:t>
      </w:r>
      <w:r>
        <w:t>y stosowa</w:t>
      </w:r>
      <w:r>
        <w:t>ć</w:t>
      </w:r>
      <w:r>
        <w:t xml:space="preserve">: </w:t>
      </w:r>
    </w:p>
    <w:p w:rsidR="002F4F46" w:rsidRDefault="005F0062">
      <w:pPr>
        <w:ind w:left="718" w:right="0" w:hanging="360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t xml:space="preserve"> szczotki o sztywnym włosiu lub druciane do czyszczenia podło</w:t>
      </w:r>
      <w:r>
        <w:t>ż</w:t>
      </w:r>
      <w:r>
        <w:t>a, p</w:t>
      </w:r>
      <w:r>
        <w:t>ę</w:t>
      </w:r>
      <w:r>
        <w:t>dzle i wałki, mieszadła nap</w:t>
      </w:r>
      <w:r>
        <w:t>ę</w:t>
      </w:r>
      <w:r>
        <w:t>dzane wiertark</w:t>
      </w:r>
      <w:r>
        <w:t>ą</w:t>
      </w:r>
      <w:r>
        <w:t xml:space="preserve"> elektryczn</w:t>
      </w:r>
      <w:r>
        <w:t>ą</w:t>
      </w:r>
      <w:r>
        <w:t xml:space="preserve"> oraz pojemniki do przygotowania kompozycji składników farb, drabiny i rusztowania. </w:t>
      </w:r>
    </w:p>
    <w:p w:rsidR="002F4F46" w:rsidRDefault="005F0062">
      <w:pPr>
        <w:spacing w:after="4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pStyle w:val="Nagwek1"/>
        <w:ind w:left="-5" w:right="4530"/>
      </w:pPr>
      <w:r>
        <w:t xml:space="preserve">4. TRANSPORT </w:t>
      </w:r>
    </w:p>
    <w:p w:rsidR="002F4F46" w:rsidRDefault="005F0062">
      <w:pPr>
        <w:ind w:left="-5" w:right="0"/>
      </w:pPr>
      <w:r>
        <w:t>Ogólne wymagania dotycz</w:t>
      </w:r>
      <w:r>
        <w:t>ą</w:t>
      </w:r>
      <w:r>
        <w:t>ce transp</w:t>
      </w:r>
      <w:r>
        <w:t xml:space="preserve">ortu podano w OST pkt.4. </w:t>
      </w:r>
    </w:p>
    <w:p w:rsidR="002F4F46" w:rsidRDefault="005F0062">
      <w:pPr>
        <w:ind w:left="-5" w:right="0"/>
      </w:pPr>
      <w:r>
        <w:t>Transport materiałów do robót malarskich w opakowaniach nie wymaga specjalnych urz</w:t>
      </w:r>
      <w:r>
        <w:t>ą</w:t>
      </w:r>
      <w:r>
        <w:t>dze</w:t>
      </w:r>
      <w:r>
        <w:t>ń</w:t>
      </w:r>
      <w:r>
        <w:t xml:space="preserve"> i </w:t>
      </w:r>
      <w:r>
        <w:t>ś</w:t>
      </w:r>
      <w:r>
        <w:t>rodków transportu. W czasie transportu nale</w:t>
      </w:r>
      <w:r>
        <w:t>ż</w:t>
      </w:r>
      <w:r>
        <w:t>y zabezpieczy</w:t>
      </w:r>
      <w:r>
        <w:t>ć</w:t>
      </w:r>
      <w:r>
        <w:t xml:space="preserve"> przewo</w:t>
      </w:r>
      <w:r>
        <w:t>ż</w:t>
      </w:r>
      <w:r>
        <w:t>one materiały w sposób wykluczaj</w:t>
      </w:r>
      <w:r>
        <w:t>ą</w:t>
      </w:r>
      <w:r>
        <w:t>cy uszkodzenie opakowa</w:t>
      </w:r>
      <w:r>
        <w:t>ń</w:t>
      </w:r>
      <w:r>
        <w:t xml:space="preserve">.  </w:t>
      </w:r>
    </w:p>
    <w:p w:rsidR="002F4F46" w:rsidRDefault="005F0062">
      <w:pPr>
        <w:spacing w:after="38" w:line="259" w:lineRule="auto"/>
        <w:ind w:left="0" w:right="0" w:firstLine="0"/>
        <w:jc w:val="left"/>
      </w:pPr>
      <w:r>
        <w:t xml:space="preserve"> </w:t>
      </w:r>
    </w:p>
    <w:p w:rsidR="002F4F46" w:rsidRDefault="005F0062">
      <w:pPr>
        <w:pStyle w:val="Nagwek1"/>
        <w:ind w:left="-5" w:right="4530"/>
      </w:pPr>
      <w:r>
        <w:t>5. WYKONANI</w:t>
      </w:r>
      <w:r>
        <w:t xml:space="preserve">E ROBÓT </w:t>
      </w:r>
    </w:p>
    <w:p w:rsidR="002F4F46" w:rsidRDefault="005F0062">
      <w:pPr>
        <w:ind w:left="-5" w:right="0"/>
      </w:pPr>
      <w:r>
        <w:t>Ogólne wymagania dotycz</w:t>
      </w:r>
      <w:r>
        <w:t>ą</w:t>
      </w:r>
      <w:r>
        <w:t xml:space="preserve">ce wykonania robót podano w OST pkt.5. </w:t>
      </w:r>
    </w:p>
    <w:p w:rsidR="002F4F46" w:rsidRDefault="005F0062">
      <w:pPr>
        <w:pStyle w:val="Nagwek2"/>
        <w:ind w:left="-5" w:right="4530"/>
      </w:pPr>
      <w:r>
        <w:t>5.1. Warunki przyst</w:t>
      </w:r>
      <w:r>
        <w:t>ą</w:t>
      </w:r>
      <w:r>
        <w:t xml:space="preserve">pienia do robót malarskich </w:t>
      </w:r>
    </w:p>
    <w:p w:rsidR="002F4F46" w:rsidRDefault="005F0062">
      <w:pPr>
        <w:spacing w:after="71"/>
        <w:ind w:left="-5" w:right="0"/>
      </w:pPr>
      <w:r>
        <w:t>Do wykonywania robót malarskich mo</w:t>
      </w:r>
      <w:r>
        <w:t>ż</w:t>
      </w:r>
      <w:r>
        <w:t>na przyst</w:t>
      </w:r>
      <w:r>
        <w:t>ą</w:t>
      </w:r>
      <w:r>
        <w:t>pi</w:t>
      </w:r>
      <w:r>
        <w:t>ć</w:t>
      </w:r>
      <w:r>
        <w:t xml:space="preserve"> po całkowitym zako</w:t>
      </w:r>
      <w:r>
        <w:t>ń</w:t>
      </w:r>
      <w:r>
        <w:t>czeniu poprzedzaj</w:t>
      </w:r>
      <w:r>
        <w:t>ą</w:t>
      </w:r>
      <w:r>
        <w:t>cych robót budowlanych oraz po przygotowaniu i kontroli podło</w:t>
      </w:r>
      <w:r>
        <w:t>ż</w:t>
      </w:r>
      <w:r>
        <w:t xml:space="preserve">y pod malowanie i kontroli materiałów. </w:t>
      </w:r>
    </w:p>
    <w:p w:rsidR="002F4F46" w:rsidRDefault="005F0062">
      <w:pPr>
        <w:ind w:left="-5" w:right="0"/>
      </w:pPr>
      <w:r>
        <w:t>Powierzchnia przeznaczona do malowania powinna by</w:t>
      </w:r>
      <w:r>
        <w:t>ć</w:t>
      </w:r>
      <w:r>
        <w:t xml:space="preserve"> odkurzona i odtłuszczona. </w:t>
      </w:r>
    </w:p>
    <w:p w:rsidR="002F4F46" w:rsidRDefault="005F0062">
      <w:pPr>
        <w:pStyle w:val="Nagwek2"/>
        <w:ind w:left="-5" w:right="4530"/>
      </w:pPr>
      <w:r>
        <w:t>5.2. Wymagania dotycz</w:t>
      </w:r>
      <w:r>
        <w:t>ą</w:t>
      </w:r>
      <w:r>
        <w:t>ce podło</w:t>
      </w:r>
      <w:r>
        <w:t>ż</w:t>
      </w:r>
      <w:r>
        <w:t xml:space="preserve">y pod malowanie </w:t>
      </w:r>
    </w:p>
    <w:p w:rsidR="002F4F46" w:rsidRDefault="005F0062">
      <w:pPr>
        <w:numPr>
          <w:ilvl w:val="0"/>
          <w:numId w:val="1"/>
        </w:numPr>
        <w:ind w:right="0" w:hanging="360"/>
      </w:pPr>
      <w:r>
        <w:t xml:space="preserve">Wszelkie uszkodzenia tynków </w:t>
      </w:r>
      <w:r>
        <w:t>powinny by</w:t>
      </w:r>
      <w:r>
        <w:t>ć</w:t>
      </w:r>
      <w:r>
        <w:t xml:space="preserve"> usuni</w:t>
      </w:r>
      <w:r>
        <w:t>ę</w:t>
      </w:r>
      <w:r>
        <w:t>te przez wypełnienie odpowiedni</w:t>
      </w:r>
      <w:r>
        <w:t>ą</w:t>
      </w:r>
      <w:r>
        <w:t xml:space="preserve"> zapraw</w:t>
      </w:r>
      <w:r>
        <w:t>ą</w:t>
      </w:r>
      <w:r>
        <w:t xml:space="preserve"> i zatarte do równej powierzchni. Powierzchnia tynków powinna by</w:t>
      </w:r>
      <w:r>
        <w:t>ć</w:t>
      </w:r>
      <w:r>
        <w:t xml:space="preserve"> pozbawiona zanieczyszcze</w:t>
      </w:r>
      <w:r>
        <w:t>ń</w:t>
      </w:r>
      <w:r>
        <w:t xml:space="preserve"> (np. kurzu, rdzy, tłuszczu, wykwitów solnych).  </w:t>
      </w:r>
    </w:p>
    <w:p w:rsidR="002F4F46" w:rsidRDefault="005F0062">
      <w:pPr>
        <w:numPr>
          <w:ilvl w:val="0"/>
          <w:numId w:val="1"/>
        </w:numPr>
        <w:ind w:right="0" w:hanging="360"/>
      </w:pPr>
      <w:r>
        <w:t>Wystaj</w:t>
      </w:r>
      <w:r>
        <w:t>ą</w:t>
      </w:r>
      <w:r>
        <w:t>ce lub widoczne nieusuwalne elementy metalowe powi</w:t>
      </w:r>
      <w:r>
        <w:t>nny by</w:t>
      </w:r>
      <w:r>
        <w:t>ć</w:t>
      </w:r>
      <w:r>
        <w:t xml:space="preserve"> zabezpieczone antykorozyjnie. </w:t>
      </w:r>
    </w:p>
    <w:p w:rsidR="002F4F46" w:rsidRDefault="005F0062">
      <w:pPr>
        <w:spacing w:after="90" w:line="306" w:lineRule="auto"/>
        <w:ind w:left="0" w:right="4980" w:firstLine="0"/>
        <w:jc w:val="left"/>
      </w:pPr>
      <w:r>
        <w:rPr>
          <w:b/>
        </w:rPr>
        <w:t xml:space="preserve">5.3. Warunki prowadzenia robót malarskich </w:t>
      </w:r>
      <w:r>
        <w:t>5.3.1. Warunki ogólne prowadzenia robót malarskich Roboty malarskie powinny by</w:t>
      </w:r>
      <w:r>
        <w:t>ć</w:t>
      </w:r>
      <w:r>
        <w:t xml:space="preserve"> prowadzone: </w:t>
      </w:r>
    </w:p>
    <w:p w:rsidR="002F4F46" w:rsidRDefault="005F0062">
      <w:pPr>
        <w:spacing w:after="143"/>
        <w:ind w:left="722" w:right="0" w:hanging="360"/>
      </w:pPr>
      <w:r>
        <w:rPr>
          <w:rFonts w:ascii="Segoe UI Symbol" w:eastAsia="Segoe UI Symbol" w:hAnsi="Segoe UI Symbol" w:cs="Segoe UI Symbol"/>
          <w:sz w:val="24"/>
        </w:rPr>
        <w:t>−</w:t>
      </w:r>
      <w:r>
        <w:rPr>
          <w:sz w:val="24"/>
        </w:rPr>
        <w:t xml:space="preserve"> </w:t>
      </w:r>
      <w:r>
        <w:t>w temperaturze nie ni</w:t>
      </w:r>
      <w:r>
        <w:t>ż</w:t>
      </w:r>
      <w:r>
        <w:t>szej ni</w:t>
      </w:r>
      <w:r>
        <w:t>ż</w:t>
      </w:r>
      <w:r>
        <w:t xml:space="preserve"> +5°C, z dodatkowym zastrze</w:t>
      </w:r>
      <w:r>
        <w:t>ż</w:t>
      </w:r>
      <w:r>
        <w:t xml:space="preserve">eniem, </w:t>
      </w:r>
      <w:r>
        <w:t>ż</w:t>
      </w:r>
      <w:r>
        <w:t>e w ci</w:t>
      </w:r>
      <w:r>
        <w:t>ą</w:t>
      </w:r>
      <w:r>
        <w:t>gu doby nie nast</w:t>
      </w:r>
      <w:r>
        <w:t>ą</w:t>
      </w:r>
      <w:r>
        <w:t>pi spadek temperatury poni</w:t>
      </w:r>
      <w:r>
        <w:t>ż</w:t>
      </w:r>
      <w:r>
        <w:t xml:space="preserve">ej 0°C, </w:t>
      </w:r>
    </w:p>
    <w:p w:rsidR="002F4F46" w:rsidRDefault="005F0062">
      <w:pPr>
        <w:ind w:left="722" w:right="0" w:hanging="360"/>
      </w:pPr>
      <w:r>
        <w:rPr>
          <w:rFonts w:ascii="Segoe UI Symbol" w:eastAsia="Segoe UI Symbol" w:hAnsi="Segoe UI Symbol" w:cs="Segoe UI Symbol"/>
          <w:sz w:val="24"/>
        </w:rPr>
        <w:t>−</w:t>
      </w:r>
      <w:r>
        <w:rPr>
          <w:sz w:val="24"/>
        </w:rPr>
        <w:t xml:space="preserve"> </w:t>
      </w:r>
      <w:r>
        <w:t>w temperaturze nie wy</w:t>
      </w:r>
      <w:r>
        <w:t>ż</w:t>
      </w:r>
      <w:r>
        <w:t>szej ni</w:t>
      </w:r>
      <w:r>
        <w:t>ż</w:t>
      </w:r>
      <w:r>
        <w:t xml:space="preserve"> 25°C, z dodatkowym zastrze</w:t>
      </w:r>
      <w:r>
        <w:t>ż</w:t>
      </w:r>
      <w:r>
        <w:t>eniem, by temperatura podło</w:t>
      </w:r>
      <w:r>
        <w:t>ż</w:t>
      </w:r>
      <w:r>
        <w:t>a nie przewy</w:t>
      </w:r>
      <w:r>
        <w:t>ż</w:t>
      </w:r>
      <w:r>
        <w:t xml:space="preserve">szyła 20°C (np. w miejscach bardzo nasłonecznionych). </w:t>
      </w:r>
    </w:p>
    <w:p w:rsidR="002F4F46" w:rsidRDefault="005F0062">
      <w:pPr>
        <w:ind w:left="-5" w:right="0"/>
      </w:pPr>
      <w:r>
        <w:t>5.3.2. Wykonanie robót malarskich wewn</w:t>
      </w:r>
      <w:r>
        <w:t>ę</w:t>
      </w:r>
      <w:r>
        <w:t xml:space="preserve">trznych </w:t>
      </w:r>
    </w:p>
    <w:p w:rsidR="002F4F46" w:rsidRDefault="005F0062">
      <w:pPr>
        <w:ind w:left="-5" w:right="0"/>
      </w:pPr>
      <w:r>
        <w:t>Roboty malarskie wewn</w:t>
      </w:r>
      <w:r>
        <w:t>ą</w:t>
      </w:r>
      <w:r>
        <w:t>trz obiektów budowlanych mo</w:t>
      </w:r>
      <w:r>
        <w:t>ż</w:t>
      </w:r>
      <w:r>
        <w:t>na rozpocz</w:t>
      </w:r>
      <w:r>
        <w:t>ąć</w:t>
      </w:r>
      <w:r>
        <w:t>, kiedy podło</w:t>
      </w:r>
      <w:r>
        <w:t>ż</w:t>
      </w:r>
      <w:r>
        <w:t>a spełniaj</w:t>
      </w:r>
      <w:r>
        <w:t>ą</w:t>
      </w:r>
      <w:r>
        <w:t xml:space="preserve"> wymagania podane w niniejszej SST. </w:t>
      </w:r>
    </w:p>
    <w:p w:rsidR="002F4F46" w:rsidRDefault="005F0062">
      <w:pPr>
        <w:ind w:left="-5" w:right="0"/>
      </w:pPr>
      <w:r>
        <w:t>Prace malarskie nale</w:t>
      </w:r>
      <w:r>
        <w:t>ż</w:t>
      </w:r>
      <w:r>
        <w:t>y prowadzi</w:t>
      </w:r>
      <w:r>
        <w:t>ć</w:t>
      </w:r>
      <w:r>
        <w:t xml:space="preserve"> zgodnie z instrukcj</w:t>
      </w:r>
      <w:r>
        <w:t>ą</w:t>
      </w:r>
      <w:r>
        <w:t xml:space="preserve"> producenta farb. </w:t>
      </w:r>
    </w:p>
    <w:p w:rsidR="002F4F46" w:rsidRDefault="005F0062">
      <w:pPr>
        <w:spacing w:after="43" w:line="259" w:lineRule="auto"/>
        <w:ind w:left="-5" w:right="4530"/>
        <w:jc w:val="left"/>
      </w:pPr>
      <w:r>
        <w:rPr>
          <w:b/>
        </w:rPr>
        <w:t xml:space="preserve">5.4. Wymagania dotyczące powłok malarskich </w:t>
      </w:r>
      <w:r>
        <w:t>Powłoki z farb p</w:t>
      </w:r>
      <w:r>
        <w:t>owinny by</w:t>
      </w:r>
      <w:r>
        <w:t>ć</w:t>
      </w:r>
      <w:r>
        <w:t xml:space="preserve">: </w:t>
      </w:r>
    </w:p>
    <w:p w:rsidR="002F4F46" w:rsidRDefault="005F0062">
      <w:pPr>
        <w:tabs>
          <w:tab w:val="center" w:pos="412"/>
          <w:tab w:val="center" w:pos="301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>aksamitno-matowe lub posiada</w:t>
      </w:r>
      <w:r>
        <w:t>ć</w:t>
      </w:r>
      <w:r>
        <w:t xml:space="preserve"> nieznaczny połysk, </w:t>
      </w:r>
    </w:p>
    <w:p w:rsidR="002F4F46" w:rsidRDefault="005F0062">
      <w:pPr>
        <w:ind w:left="722" w:right="0" w:hanging="360"/>
      </w:pP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t>jednolitej barwy, równomierne, bez smug, plam, zgodne ze wzorcem producenta i dokumentacj</w:t>
      </w:r>
      <w:r>
        <w:t>ą</w:t>
      </w:r>
      <w:r>
        <w:t xml:space="preserve"> projektow</w:t>
      </w:r>
      <w:r>
        <w:t>ą</w:t>
      </w:r>
      <w:r>
        <w:t xml:space="preserve">, </w:t>
      </w:r>
    </w:p>
    <w:p w:rsidR="002F4F46" w:rsidRDefault="005F0062">
      <w:pPr>
        <w:tabs>
          <w:tab w:val="center" w:pos="412"/>
          <w:tab w:val="center" w:pos="303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>bez uszkodze</w:t>
      </w:r>
      <w:r>
        <w:t>ń</w:t>
      </w:r>
      <w:r>
        <w:t>, prze</w:t>
      </w:r>
      <w:r>
        <w:t>ś</w:t>
      </w:r>
      <w:r>
        <w:t>witów podło</w:t>
      </w:r>
      <w:r>
        <w:t>ż</w:t>
      </w:r>
      <w:r>
        <w:t xml:space="preserve">a, </w:t>
      </w:r>
      <w:r>
        <w:t>ś</w:t>
      </w:r>
      <w:r>
        <w:t>ladów p</w:t>
      </w:r>
      <w:r>
        <w:t>ę</w:t>
      </w:r>
      <w:r>
        <w:t xml:space="preserve">dzla, </w:t>
      </w:r>
    </w:p>
    <w:p w:rsidR="002F4F46" w:rsidRDefault="005F0062">
      <w:pPr>
        <w:ind w:left="372" w:right="2107"/>
      </w:pP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>bez złuszcze</w:t>
      </w:r>
      <w:r>
        <w:t>ń</w:t>
      </w:r>
      <w:r>
        <w:t>, odstawania</w:t>
      </w:r>
      <w:r>
        <w:t xml:space="preserve"> od podło</w:t>
      </w:r>
      <w:r>
        <w:t>ż</w:t>
      </w:r>
      <w:r>
        <w:t>a oraz widocznych ł</w:t>
      </w:r>
      <w:r>
        <w:t>ą</w:t>
      </w:r>
      <w:r>
        <w:t>cze</w:t>
      </w:r>
      <w:r>
        <w:t>ń</w:t>
      </w:r>
      <w:r>
        <w:t xml:space="preserve"> i poprawek, </w:t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>bez grudek pigmentów i wypełniaczy ulegaj</w:t>
      </w:r>
      <w:r>
        <w:t>ą</w:t>
      </w:r>
      <w:r>
        <w:t xml:space="preserve">cych rozcieraniu. </w:t>
      </w:r>
    </w:p>
    <w:p w:rsidR="002F4F46" w:rsidRDefault="005F0062">
      <w:pPr>
        <w:ind w:left="-5" w:right="0"/>
      </w:pPr>
      <w:r>
        <w:t>Dopuszcza si</w:t>
      </w:r>
      <w:r>
        <w:t>ę</w:t>
      </w:r>
      <w:r>
        <w:t xml:space="preserve"> chropowato</w:t>
      </w:r>
      <w:r>
        <w:t>ść</w:t>
      </w:r>
      <w:r>
        <w:t xml:space="preserve"> powłoki odpowiadaj</w:t>
      </w:r>
      <w:r>
        <w:t>ą</w:t>
      </w:r>
      <w:r>
        <w:t>c</w:t>
      </w:r>
      <w:r>
        <w:t>ą</w:t>
      </w:r>
      <w:r>
        <w:t xml:space="preserve"> rodzajowi faktury pokrywanego podło</w:t>
      </w:r>
      <w:r>
        <w:t>ż</w:t>
      </w:r>
      <w:r>
        <w:t xml:space="preserve">a.  </w:t>
      </w:r>
    </w:p>
    <w:p w:rsidR="002F4F46" w:rsidRDefault="005F0062">
      <w:pPr>
        <w:spacing w:after="53" w:line="259" w:lineRule="auto"/>
        <w:ind w:left="0" w:right="0" w:firstLine="0"/>
        <w:jc w:val="left"/>
      </w:pPr>
      <w:r>
        <w:t xml:space="preserve"> </w:t>
      </w:r>
    </w:p>
    <w:p w:rsidR="002F4F46" w:rsidRDefault="005F0062">
      <w:pPr>
        <w:ind w:left="-5" w:right="0"/>
      </w:pPr>
      <w:r>
        <w:rPr>
          <w:b/>
        </w:rPr>
        <w:t>Uwaga</w:t>
      </w:r>
      <w:r>
        <w:t xml:space="preserve"> : Dla niewymienionych powy</w:t>
      </w:r>
      <w:r>
        <w:t>ż</w:t>
      </w:r>
      <w:r>
        <w:t>ej zasad wykonania robót,  nale</w:t>
      </w:r>
      <w:r>
        <w:t>ż</w:t>
      </w:r>
      <w:r>
        <w:t>y stosowa</w:t>
      </w:r>
      <w:r>
        <w:t>ć</w:t>
      </w:r>
      <w:r>
        <w:t xml:space="preserve"> wytyczne okre</w:t>
      </w:r>
      <w:r>
        <w:t>ś</w:t>
      </w:r>
      <w:r>
        <w:t xml:space="preserve">lone w Zeszytach ITB pt.« Warunki techniczne wykonania i odbioru robót ».  </w:t>
      </w:r>
    </w:p>
    <w:p w:rsidR="002F4F46" w:rsidRDefault="005F0062">
      <w:pPr>
        <w:spacing w:after="58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pStyle w:val="Nagwek1"/>
        <w:ind w:left="-5" w:right="4530"/>
      </w:pPr>
      <w:r>
        <w:lastRenderedPageBreak/>
        <w:t>6. KONTROLA JAKO</w:t>
      </w:r>
      <w:r>
        <w:t>Ś</w:t>
      </w:r>
      <w:r>
        <w:t xml:space="preserve">CI ROBÓT </w:t>
      </w:r>
    </w:p>
    <w:p w:rsidR="002F4F46" w:rsidRDefault="005F0062">
      <w:pPr>
        <w:ind w:left="-5" w:right="0"/>
      </w:pPr>
      <w:r>
        <w:t>Ogólne wymagania dotycz</w:t>
      </w:r>
      <w:r>
        <w:t>ą</w:t>
      </w:r>
      <w:r>
        <w:t>ce kontroli jako</w:t>
      </w:r>
      <w:r>
        <w:t>ś</w:t>
      </w:r>
      <w:r>
        <w:t xml:space="preserve">ci robót podano w OST pkt.6. </w:t>
      </w:r>
    </w:p>
    <w:p w:rsidR="002F4F46" w:rsidRDefault="005F0062">
      <w:pPr>
        <w:ind w:left="-5" w:right="0"/>
      </w:pPr>
      <w:r>
        <w:t>Kontrola jako</w:t>
      </w:r>
      <w:r>
        <w:t>ś</w:t>
      </w:r>
      <w:r>
        <w:t xml:space="preserve">ci robót </w:t>
      </w:r>
      <w:r>
        <w:t>polega na sprawdzeniu: jako</w:t>
      </w:r>
      <w:r>
        <w:t>ś</w:t>
      </w:r>
      <w:r>
        <w:t>ci i gatunku farb, zgodno</w:t>
      </w:r>
      <w:r>
        <w:t>ś</w:t>
      </w:r>
      <w:r>
        <w:t>ci kolorów, sposobu i dokładno</w:t>
      </w:r>
      <w:r>
        <w:t>ś</w:t>
      </w:r>
      <w:r>
        <w:t>ci oczyszczenia i przygotowania podło</w:t>
      </w:r>
      <w:r>
        <w:t>ż</w:t>
      </w:r>
      <w:r>
        <w:t>a (wilgotno</w:t>
      </w:r>
      <w:r>
        <w:t>ść</w:t>
      </w:r>
      <w:r>
        <w:t xml:space="preserve"> podło</w:t>
      </w:r>
      <w:r>
        <w:t>ż</w:t>
      </w:r>
      <w:r>
        <w:t>a), ilo</w:t>
      </w:r>
      <w:r>
        <w:t>ś</w:t>
      </w:r>
      <w:r>
        <w:t>ci nakładanych warstw (grunt, podkład, nawierzchnia), równomierno</w:t>
      </w:r>
      <w:r>
        <w:t>ś</w:t>
      </w:r>
      <w:r>
        <w:t>ci rozło</w:t>
      </w:r>
      <w:r>
        <w:t>ż</w:t>
      </w:r>
      <w:r>
        <w:t>enia i nasycenia farb, odporno</w:t>
      </w:r>
      <w:r>
        <w:t>ś</w:t>
      </w:r>
      <w:r>
        <w:t>ci powłoki na wycieranie i zarysowanie, przyczepno</w:t>
      </w:r>
      <w:r>
        <w:t>ś</w:t>
      </w:r>
      <w:r>
        <w:t>ci powłoki do podło</w:t>
      </w:r>
      <w:r>
        <w:t>ż</w:t>
      </w:r>
      <w:r>
        <w:t xml:space="preserve">a  itp. </w:t>
      </w:r>
    </w:p>
    <w:p w:rsidR="002F4F46" w:rsidRDefault="005F0062">
      <w:pPr>
        <w:spacing w:after="4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pStyle w:val="Nagwek1"/>
        <w:ind w:left="-5" w:right="4530"/>
      </w:pPr>
      <w:r>
        <w:t xml:space="preserve">7. OBMIAR ROBÓT </w:t>
      </w:r>
    </w:p>
    <w:p w:rsidR="002F4F46" w:rsidRDefault="005F0062">
      <w:pPr>
        <w:spacing w:after="19"/>
        <w:ind w:left="-5" w:right="2786"/>
      </w:pPr>
      <w:r>
        <w:t>Ogólne wymagania dotycz</w:t>
      </w:r>
      <w:r>
        <w:t>ą</w:t>
      </w:r>
      <w:r>
        <w:t>ce obmiaru robót podano w OST pkt.7. Jednostk</w:t>
      </w:r>
      <w:r>
        <w:t>ą</w:t>
      </w:r>
      <w:r>
        <w:t xml:space="preserve"> obmiarow</w:t>
      </w:r>
      <w:r>
        <w:t>ą</w:t>
      </w:r>
      <w:r>
        <w:t xml:space="preserve"> jest: </w:t>
      </w:r>
    </w:p>
    <w:p w:rsidR="002F4F46" w:rsidRDefault="005F0062">
      <w:pPr>
        <w:ind w:left="-5" w:right="0"/>
      </w:pPr>
      <w:r>
        <w:t xml:space="preserve">[ m² ] – powierzchni gruntowanych, malowanych. </w:t>
      </w:r>
    </w:p>
    <w:p w:rsidR="002F4F46" w:rsidRDefault="005F0062">
      <w:pPr>
        <w:spacing w:after="41" w:line="259" w:lineRule="auto"/>
        <w:ind w:left="0" w:right="0" w:firstLine="0"/>
        <w:jc w:val="left"/>
      </w:pPr>
      <w:r>
        <w:t xml:space="preserve"> </w:t>
      </w:r>
    </w:p>
    <w:p w:rsidR="002F4F46" w:rsidRDefault="005F0062">
      <w:pPr>
        <w:pStyle w:val="Nagwek1"/>
        <w:ind w:left="-5" w:right="4530"/>
      </w:pPr>
      <w:r>
        <w:t xml:space="preserve">8. ODBIÓR ROBÓT </w:t>
      </w:r>
    </w:p>
    <w:p w:rsidR="002F4F46" w:rsidRDefault="005F0062">
      <w:pPr>
        <w:ind w:left="-5" w:right="0"/>
      </w:pPr>
      <w:r>
        <w:t>O</w:t>
      </w:r>
      <w:r>
        <w:t>gólne wymagania dotycz</w:t>
      </w:r>
      <w:r>
        <w:t>ą</w:t>
      </w:r>
      <w:r>
        <w:t xml:space="preserve">ce odbioru robót podano w OST pkt.8. </w:t>
      </w:r>
    </w:p>
    <w:p w:rsidR="002F4F46" w:rsidRDefault="005F0062">
      <w:pPr>
        <w:ind w:left="-5" w:right="0"/>
      </w:pPr>
      <w:r>
        <w:t>Badania przy odbiorze polegaj</w:t>
      </w:r>
      <w:r>
        <w:t>ą</w:t>
      </w:r>
      <w:r>
        <w:t xml:space="preserve"> na sprawdzeniu technicznych dokumentów kontrolnych i przeprowadzeniu pomiarów dla sprawdzenia wymogów podanych w pkt. 6. </w:t>
      </w:r>
    </w:p>
    <w:p w:rsidR="002F4F46" w:rsidRDefault="005F0062">
      <w:pPr>
        <w:spacing w:after="41" w:line="259" w:lineRule="auto"/>
        <w:ind w:left="0" w:right="0" w:firstLine="0"/>
        <w:jc w:val="left"/>
      </w:pPr>
      <w:r>
        <w:t xml:space="preserve"> </w:t>
      </w:r>
    </w:p>
    <w:p w:rsidR="002F4F46" w:rsidRDefault="005F0062">
      <w:pPr>
        <w:pStyle w:val="Nagwek1"/>
        <w:ind w:left="-5" w:right="4530"/>
      </w:pPr>
      <w:r>
        <w:t>9. PODSTAWA PŁATNO</w:t>
      </w:r>
      <w:r>
        <w:t>Ś</w:t>
      </w:r>
      <w:r>
        <w:t xml:space="preserve">CI </w:t>
      </w:r>
    </w:p>
    <w:p w:rsidR="002F4F46" w:rsidRDefault="005F0062">
      <w:pPr>
        <w:ind w:left="-5" w:right="0"/>
      </w:pPr>
      <w:r>
        <w:t>Ogólne wymagania dotycz</w:t>
      </w:r>
      <w:r>
        <w:t>ą</w:t>
      </w:r>
      <w:r>
        <w:t>ce płatno</w:t>
      </w:r>
      <w:r>
        <w:t>ś</w:t>
      </w:r>
      <w:r>
        <w:t xml:space="preserve">ci podano w OST pkt.9. </w:t>
      </w:r>
    </w:p>
    <w:p w:rsidR="002F4F46" w:rsidRDefault="005F0062">
      <w:pPr>
        <w:ind w:left="-5" w:right="0"/>
      </w:pPr>
      <w:r>
        <w:t xml:space="preserve">Cena obejmuje: </w:t>
      </w:r>
    </w:p>
    <w:p w:rsidR="002F4F46" w:rsidRDefault="005F0062">
      <w:pPr>
        <w:tabs>
          <w:tab w:val="center" w:pos="415"/>
          <w:tab w:val="center" w:pos="2247"/>
        </w:tabs>
        <w:spacing w:after="1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prace pomiarowe i technologiczne, </w:t>
      </w:r>
    </w:p>
    <w:p w:rsidR="002F4F46" w:rsidRDefault="005F0062">
      <w:pPr>
        <w:tabs>
          <w:tab w:val="center" w:pos="415"/>
          <w:tab w:val="center" w:pos="1875"/>
        </w:tabs>
        <w:spacing w:after="14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zakup i dowóz materiałów, </w:t>
      </w:r>
    </w:p>
    <w:p w:rsidR="002F4F46" w:rsidRDefault="005F0062">
      <w:pPr>
        <w:spacing w:after="16"/>
        <w:ind w:left="370" w:right="5201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wykonanie wszystkich elementów robót,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kontrol</w:t>
      </w:r>
      <w:r>
        <w:t>ę</w:t>
      </w:r>
      <w:r>
        <w:t xml:space="preserve"> prawidłowo</w:t>
      </w:r>
      <w:r>
        <w:t>ś</w:t>
      </w:r>
      <w:r>
        <w:t xml:space="preserve">ci wykonanych robót. </w:t>
      </w:r>
    </w:p>
    <w:p w:rsidR="002F4F46" w:rsidRDefault="005F0062">
      <w:pPr>
        <w:spacing w:after="4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2F4F46" w:rsidRDefault="005F0062">
      <w:pPr>
        <w:pStyle w:val="Nagwek1"/>
        <w:ind w:left="-5" w:right="4530"/>
      </w:pPr>
      <w:r>
        <w:t>10. PRZEPISY ZWI</w:t>
      </w:r>
      <w:r>
        <w:t>Ą</w:t>
      </w:r>
      <w:r>
        <w:t xml:space="preserve">ZANE </w:t>
      </w:r>
    </w:p>
    <w:p w:rsidR="002F4F46" w:rsidRDefault="005F0062">
      <w:pPr>
        <w:pStyle w:val="Nagwek2"/>
        <w:ind w:left="-5" w:right="4530"/>
      </w:pPr>
      <w:r>
        <w:t>1</w:t>
      </w:r>
      <w:r>
        <w:t xml:space="preserve">0.1. Normy </w:t>
      </w:r>
    </w:p>
    <w:p w:rsidR="002F4F46" w:rsidRDefault="005F0062">
      <w:pPr>
        <w:ind w:left="-5" w:right="0"/>
      </w:pPr>
      <w:r>
        <w:t>PN-EN 13300:2002P Farby i lakiery. Wodne wyroby lakierowe i systemy powłokowe na wewn</w:t>
      </w:r>
      <w:r>
        <w:t>ę</w:t>
      </w:r>
      <w:r>
        <w:t xml:space="preserve">trzne </w:t>
      </w:r>
      <w:r>
        <w:t>ś</w:t>
      </w:r>
      <w:r>
        <w:t xml:space="preserve">ciany i sufity. Klasyfikacja. </w:t>
      </w:r>
    </w:p>
    <w:p w:rsidR="002F4F46" w:rsidRDefault="005F0062">
      <w:pPr>
        <w:ind w:left="-5" w:right="0"/>
      </w:pPr>
      <w:r>
        <w:t>PN-EN 1008:2004 Woda zarobowa do betonu -- Specyfikacja pobierania próbek, badanie i ocena przydatno</w:t>
      </w:r>
      <w:r>
        <w:t>ś</w:t>
      </w:r>
      <w:r>
        <w:t>ci wody zarobowej d</w:t>
      </w:r>
      <w:r>
        <w:t xml:space="preserve">o betonu, w tym wody odzyskanej z procesów produkcji betonu. </w:t>
      </w:r>
    </w:p>
    <w:p w:rsidR="002F4F46" w:rsidRDefault="005F0062">
      <w:pPr>
        <w:pStyle w:val="Nagwek2"/>
        <w:ind w:left="-5" w:right="4530"/>
      </w:pPr>
      <w:r>
        <w:t xml:space="preserve">10.2. Inne dokumenty i instrukcje </w:t>
      </w:r>
    </w:p>
    <w:p w:rsidR="002F4F46" w:rsidRDefault="005F0062">
      <w:pPr>
        <w:ind w:left="-5" w:right="0"/>
      </w:pPr>
      <w:r>
        <w:t>Warunki techniczne wykonania i odbioru robót budowlanych ITB cz</w:t>
      </w:r>
      <w:r>
        <w:t>ęść</w:t>
      </w:r>
      <w:r>
        <w:t xml:space="preserve"> B: Roboty wyko</w:t>
      </w:r>
      <w:r>
        <w:t>ń</w:t>
      </w:r>
      <w:r>
        <w:t>czeniowe. Zeszyt 4: Powłoki malarskie zewn</w:t>
      </w:r>
      <w:r>
        <w:t>ę</w:t>
      </w:r>
      <w:r>
        <w:t>trzne i wewn</w:t>
      </w:r>
      <w:r>
        <w:t>ę</w:t>
      </w:r>
      <w:r>
        <w:t xml:space="preserve">trzne. Warszawa 2003 </w:t>
      </w:r>
      <w:r>
        <w:t xml:space="preserve">r. OWEOB Promocja – 2005 r. </w:t>
      </w:r>
    </w:p>
    <w:p w:rsidR="002F4F46" w:rsidRDefault="005F0062">
      <w:pPr>
        <w:spacing w:after="125" w:line="259" w:lineRule="auto"/>
        <w:ind w:left="0" w:right="0" w:firstLine="0"/>
        <w:jc w:val="left"/>
      </w:pPr>
      <w:r>
        <w:t xml:space="preserve"> </w:t>
      </w:r>
    </w:p>
    <w:p w:rsidR="002F4F46" w:rsidRDefault="005F0062">
      <w:pPr>
        <w:spacing w:after="0" w:line="259" w:lineRule="auto"/>
        <w:ind w:left="53" w:right="0" w:firstLine="0"/>
        <w:jc w:val="center"/>
      </w:pPr>
      <w:r>
        <w:rPr>
          <w:rFonts w:ascii="Arial Unicode MS" w:eastAsia="Arial Unicode MS" w:hAnsi="Arial Unicode MS" w:cs="Arial Unicode MS"/>
        </w:rPr>
        <w:t xml:space="preserve"> </w:t>
      </w:r>
    </w:p>
    <w:sectPr w:rsidR="002F4F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839" w:right="1126" w:bottom="1703" w:left="1133" w:header="1174" w:footer="11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062" w:rsidRDefault="005F0062">
      <w:pPr>
        <w:spacing w:after="0" w:line="240" w:lineRule="auto"/>
      </w:pPr>
      <w:r>
        <w:separator/>
      </w:r>
    </w:p>
  </w:endnote>
  <w:endnote w:type="continuationSeparator" w:id="0">
    <w:p w:rsidR="005F0062" w:rsidRDefault="005F0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F46" w:rsidRDefault="005F0062">
    <w:pPr>
      <w:spacing w:after="0" w:line="259" w:lineRule="auto"/>
      <w:ind w:left="0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F46" w:rsidRDefault="005F0062">
    <w:pPr>
      <w:spacing w:after="0" w:line="259" w:lineRule="auto"/>
      <w:ind w:left="0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F46" w:rsidRDefault="005F0062">
    <w:pPr>
      <w:spacing w:after="0" w:line="259" w:lineRule="auto"/>
      <w:ind w:left="0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062" w:rsidRDefault="005F0062">
      <w:pPr>
        <w:spacing w:after="0" w:line="240" w:lineRule="auto"/>
      </w:pPr>
      <w:r>
        <w:separator/>
      </w:r>
    </w:p>
  </w:footnote>
  <w:footnote w:type="continuationSeparator" w:id="0">
    <w:p w:rsidR="005F0062" w:rsidRDefault="005F0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F46" w:rsidRDefault="005F0062">
    <w:pPr>
      <w:spacing w:after="0" w:line="244" w:lineRule="auto"/>
      <w:ind w:left="4820" w:right="222" w:hanging="4558"/>
      <w:jc w:val="left"/>
    </w:pPr>
    <w:r>
      <w:rPr>
        <w:sz w:val="16"/>
      </w:rPr>
      <w:t>SST 02.08.00. – Budowa budynku handlowo-usługowego i parkingu podziemnego wraz z infrastruktur</w:t>
    </w:r>
    <w:r>
      <w:rPr>
        <w:sz w:val="16"/>
      </w:rPr>
      <w:t>ą</w:t>
    </w:r>
    <w:r>
      <w:rPr>
        <w:sz w:val="16"/>
      </w:rPr>
      <w:t xml:space="preserve"> towarzysz</w:t>
    </w:r>
    <w:r>
      <w:rPr>
        <w:sz w:val="16"/>
      </w:rPr>
      <w:t>ą</w:t>
    </w:r>
    <w:r>
      <w:rPr>
        <w:sz w:val="16"/>
      </w:rPr>
      <w:t>c</w:t>
    </w:r>
    <w:r>
      <w:rPr>
        <w:sz w:val="16"/>
      </w:rPr>
      <w:t>ą</w:t>
    </w:r>
    <w:r>
      <w:rPr>
        <w:sz w:val="16"/>
      </w:rPr>
      <w:t xml:space="preserve"> w Zielonce 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F46" w:rsidRDefault="005F0062">
    <w:pPr>
      <w:spacing w:after="0" w:line="244" w:lineRule="auto"/>
      <w:ind w:left="4820" w:right="222" w:hanging="4558"/>
      <w:jc w:val="left"/>
    </w:pPr>
    <w:r>
      <w:rPr>
        <w:sz w:val="16"/>
      </w:rPr>
      <w:t xml:space="preserve">SST 02.08.00. – </w:t>
    </w:r>
    <w:r w:rsidR="00BB5603">
      <w:rPr>
        <w:sz w:val="16"/>
      </w:rPr>
      <w:t>TERMOMODERNIZACJA BUDYNKU URZĘDU GMINY W CIASNEJ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4F46" w:rsidRDefault="005F0062">
    <w:pPr>
      <w:spacing w:after="0" w:line="244" w:lineRule="auto"/>
      <w:ind w:left="4820" w:right="222" w:hanging="4558"/>
      <w:jc w:val="left"/>
    </w:pPr>
    <w:r>
      <w:rPr>
        <w:sz w:val="16"/>
      </w:rPr>
      <w:t>SST 02.08.00. – Budowa budynku handlowo-usługowego i parkingu podziemnego wraz z infrastruktur</w:t>
    </w:r>
    <w:r>
      <w:rPr>
        <w:sz w:val="16"/>
      </w:rPr>
      <w:t>ą</w:t>
    </w:r>
    <w:r>
      <w:rPr>
        <w:sz w:val="16"/>
      </w:rPr>
      <w:t xml:space="preserve"> towarzysz</w:t>
    </w:r>
    <w:r>
      <w:rPr>
        <w:sz w:val="16"/>
      </w:rPr>
      <w:t>ą</w:t>
    </w:r>
    <w:r>
      <w:rPr>
        <w:sz w:val="16"/>
      </w:rPr>
      <w:t>c</w:t>
    </w:r>
    <w:r>
      <w:rPr>
        <w:sz w:val="16"/>
      </w:rPr>
      <w:t>ą</w:t>
    </w:r>
    <w:r>
      <w:rPr>
        <w:sz w:val="16"/>
      </w:rPr>
      <w:t xml:space="preserve"> w Zielonce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D0CAA"/>
    <w:multiLevelType w:val="hybridMultilevel"/>
    <w:tmpl w:val="2C68E07A"/>
    <w:lvl w:ilvl="0" w:tplc="334C6564">
      <w:start w:val="1"/>
      <w:numFmt w:val="decimal"/>
      <w:lvlText w:val="%1.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D8EF20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5C61E8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CECA46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E251D4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3EEB48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967A3A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F2B6A2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9A4BB2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F46"/>
    <w:rsid w:val="002F4F46"/>
    <w:rsid w:val="005F0062"/>
    <w:rsid w:val="00BB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6DE01"/>
  <w15:docId w15:val="{A065AA8F-50BA-4FDC-AD8C-F3E3193D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49" w:line="249" w:lineRule="auto"/>
      <w:ind w:left="10" w:right="3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3"/>
      <w:ind w:left="10" w:right="7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3"/>
      <w:ind w:left="10" w:right="7" w:hanging="10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02.08.00-Rob.malarskie.Zielonka.</vt:lpstr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02.08.00-Rob.malarskie.Zielonka.</dc:title>
  <dc:subject/>
  <dc:creator>Ania</dc:creator>
  <cp:keywords/>
  <cp:lastModifiedBy>Anna Adamiec</cp:lastModifiedBy>
  <cp:revision>2</cp:revision>
  <dcterms:created xsi:type="dcterms:W3CDTF">2018-08-09T10:07:00Z</dcterms:created>
  <dcterms:modified xsi:type="dcterms:W3CDTF">2018-08-09T10:07:00Z</dcterms:modified>
</cp:coreProperties>
</file>