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FB6CB2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B6CB2">
        <w:rPr>
          <w:rFonts w:cstheme="minorHAnsi"/>
          <w:b/>
          <w:bCs/>
          <w:sz w:val="28"/>
          <w:szCs w:val="28"/>
        </w:rPr>
        <w:t>B-01.01.0</w:t>
      </w:r>
      <w:r w:rsidR="00FC2821">
        <w:rPr>
          <w:rFonts w:cstheme="minorHAnsi"/>
          <w:b/>
          <w:bCs/>
          <w:sz w:val="28"/>
          <w:szCs w:val="28"/>
        </w:rPr>
        <w:t>1</w:t>
      </w:r>
      <w:r w:rsidRPr="00FB6CB2">
        <w:rPr>
          <w:rFonts w:cstheme="minorHAnsi"/>
          <w:b/>
          <w:bCs/>
          <w:sz w:val="28"/>
          <w:szCs w:val="28"/>
        </w:rPr>
        <w:t>.</w:t>
      </w: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highlight w:val="yellow"/>
        </w:rPr>
      </w:pPr>
    </w:p>
    <w:p w:rsidR="00FC2821" w:rsidRPr="00335F2D" w:rsidRDefault="00FC2821" w:rsidP="00FC28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335F2D">
        <w:rPr>
          <w:rFonts w:cstheme="minorHAnsi"/>
          <w:b/>
          <w:bCs/>
          <w:sz w:val="28"/>
          <w:szCs w:val="24"/>
        </w:rPr>
        <w:t>Kod CPV 45262310-7</w:t>
      </w:r>
    </w:p>
    <w:p w:rsidR="00FC2821" w:rsidRPr="00335F2D" w:rsidRDefault="00FC2821" w:rsidP="00FC28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335F2D">
        <w:rPr>
          <w:rFonts w:cstheme="minorHAnsi"/>
          <w:b/>
          <w:bCs/>
          <w:sz w:val="28"/>
          <w:szCs w:val="24"/>
        </w:rPr>
        <w:t>ZBROJENIE</w:t>
      </w:r>
    </w:p>
    <w:p w:rsidR="00895916" w:rsidRPr="00335F2D" w:rsidRDefault="00FC2821" w:rsidP="00FC282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6"/>
        </w:rPr>
      </w:pPr>
      <w:r w:rsidRPr="00335F2D">
        <w:rPr>
          <w:rFonts w:cstheme="minorHAnsi"/>
          <w:b/>
          <w:bCs/>
          <w:szCs w:val="20"/>
        </w:rPr>
        <w:t>(Przygotowanie i montaż zbrojenia)</w:t>
      </w:r>
    </w:p>
    <w:p w:rsidR="00EA077B" w:rsidRPr="00FC282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8"/>
          <w:szCs w:val="16"/>
          <w:highlight w:val="yellow"/>
        </w:rPr>
      </w:pPr>
      <w:bookmarkStart w:id="0" w:name="_GoBack"/>
      <w:bookmarkEnd w:id="0"/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  <w:highlight w:val="yellow"/>
        </w:rPr>
      </w:pP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FB6CB2" w:rsidRPr="00FB6CB2" w:rsidRDefault="00EA077B" w:rsidP="00FB6CB2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="00FB6CB2" w:rsidRPr="00FB6CB2">
        <w:rPr>
          <w:rFonts w:asciiTheme="minorHAnsi" w:hAnsiTheme="minorHAnsi" w:cstheme="minorHAnsi"/>
        </w:rPr>
        <w:lastRenderedPageBreak/>
        <w:t>WSTĘP</w:t>
      </w:r>
    </w:p>
    <w:p w:rsidR="00FB6CB2" w:rsidRPr="00FB6CB2" w:rsidRDefault="00FB6CB2" w:rsidP="00FB6CB2">
      <w:pPr>
        <w:pStyle w:val="Nagwek2"/>
        <w:rPr>
          <w:rFonts w:asciiTheme="minorHAnsi" w:hAnsiTheme="minorHAnsi" w:cstheme="minorHAnsi"/>
        </w:rPr>
      </w:pPr>
      <w:r w:rsidRPr="00FB6CB2">
        <w:rPr>
          <w:rFonts w:asciiTheme="minorHAnsi" w:hAnsiTheme="minorHAnsi" w:cstheme="minorHAnsi"/>
        </w:rPr>
        <w:t>Przedmiot SST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Przedmiotem niniejszej Szczegółowej Specyfikacji Technicznej (SST) są wymagania dotyczące</w:t>
      </w:r>
    </w:p>
    <w:p w:rsidR="00B35543" w:rsidRPr="00B35543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przygotowania i montażu zbrojenia konstrukcji jako elementu robót zadania</w:t>
      </w:r>
      <w:r w:rsidRPr="00B35543">
        <w:rPr>
          <w:rFonts w:cstheme="minorHAnsi"/>
          <w:color w:val="000000"/>
          <w:sz w:val="20"/>
          <w:szCs w:val="20"/>
        </w:rPr>
        <w:t xml:space="preserve"> </w:t>
      </w:r>
      <w:r w:rsidR="00B35543" w:rsidRPr="00B35543">
        <w:rPr>
          <w:rFonts w:cstheme="minorHAnsi"/>
          <w:color w:val="000000"/>
          <w:sz w:val="20"/>
          <w:szCs w:val="20"/>
        </w:rPr>
        <w:t>„Termomodernizacji budynku Urzędu Gminy w Ciasna.”</w:t>
      </w:r>
    </w:p>
    <w:p w:rsidR="00FC2821" w:rsidRPr="00FC2821" w:rsidRDefault="00FC2821" w:rsidP="00FC2821">
      <w:pPr>
        <w:pStyle w:val="Nagwek2"/>
      </w:pPr>
      <w:r w:rsidRPr="00FC2821">
        <w:t>Zakres stosowania SST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Niniejsza specyfikacja będzie stosowana jako dokument przetargowy i kontraktowy przy zlecaniu i realizacji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robót wymienionych w punkcie 1.1.</w:t>
      </w:r>
    </w:p>
    <w:p w:rsidR="00FC2821" w:rsidRPr="00FC2821" w:rsidRDefault="00FC2821" w:rsidP="00FC2821">
      <w:pPr>
        <w:pStyle w:val="Nagwek2"/>
      </w:pPr>
      <w:r w:rsidRPr="00FC2821">
        <w:t>Zakres robót objętych SST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Roboty, których dotyczy specyfikacja, obejmują wszystkie czynności umożliwiające i mające na celu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wykonanie: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Roboty przygotowawcze.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Montaż zbrojenia.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Kontrola jakości robót i materiałów.</w:t>
      </w:r>
    </w:p>
    <w:p w:rsidR="00FC2821" w:rsidRPr="00FC2821" w:rsidRDefault="00FC2821" w:rsidP="00FC2821">
      <w:pPr>
        <w:pStyle w:val="Nagwek2"/>
      </w:pPr>
      <w:r w:rsidRPr="00FC2821">
        <w:t>Określenia podstawowe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Określenia podstawowe podano w OST pkt. 1.4.</w:t>
      </w:r>
    </w:p>
    <w:p w:rsidR="00FC2821" w:rsidRPr="00FC2821" w:rsidRDefault="00FC2821" w:rsidP="00FC2821">
      <w:pPr>
        <w:pStyle w:val="Nagwek2"/>
      </w:pPr>
      <w:r w:rsidRPr="00FC2821">
        <w:t>Ogólne wymagania dotyczące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wymagania dotyczące robót podano w OST pkt. 1.6.</w:t>
      </w:r>
    </w:p>
    <w:p w:rsidR="00FC2821" w:rsidRPr="00FC2821" w:rsidRDefault="00FC2821" w:rsidP="00FC2821">
      <w:pPr>
        <w:pStyle w:val="Nagwek1"/>
      </w:pPr>
      <w:r w:rsidRPr="00FC2821">
        <w:t>MATERIAŁY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wymagania dotyczące materiałów podano w OST pkt. 2.</w:t>
      </w:r>
    </w:p>
    <w:p w:rsidR="00FC2821" w:rsidRPr="00FC2821" w:rsidRDefault="00FC2821" w:rsidP="00FC2821">
      <w:pPr>
        <w:pStyle w:val="Nagwek2"/>
      </w:pPr>
      <w:r w:rsidRPr="00FC2821">
        <w:t>Stal zbrojeniowa</w:t>
      </w:r>
    </w:p>
    <w:p w:rsidR="00FC2821" w:rsidRPr="00FC2821" w:rsidRDefault="00FC2821" w:rsidP="00FC2821">
      <w:pPr>
        <w:pStyle w:val="Nagwek3"/>
      </w:pPr>
      <w:r w:rsidRPr="00FC2821">
        <w:t>Zbrojenie konstrukcji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Stal zbrojeniowa B500A/B/C</w:t>
      </w:r>
    </w:p>
    <w:p w:rsidR="00FC2821" w:rsidRPr="00FC2821" w:rsidRDefault="00FC2821" w:rsidP="00FC2821">
      <w:pPr>
        <w:pStyle w:val="Nagwek3"/>
      </w:pPr>
      <w:r w:rsidRPr="00FC2821">
        <w:t>Wymagania przy odbiorze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Przeznaczona do odbioru na budowie partia prętów musi być zaopatrzona w atest, w którym mają być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podane: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nazwa wytwórcy, oznaczenie wyrobu wg normy PN-H-93215, numer wytopu lub numer partii,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wszystkie wyniki przeprowadzonych badań oraz skład chemiczny według analizy wytopowej, masa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partii, rodzaj obróbki cieplnej.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Na przywieszkach metalowych przymocowanych do każdej wiązki prętów lub kręgu prętów (po dwie do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każdej wiązki) muszą znajdować się następujące informacje: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znak wytwórcy, średnica nominalna, znak stali, numer wytopu lub numer partii, znak obróbki cieplnej.</w:t>
      </w:r>
    </w:p>
    <w:p w:rsidR="00FC2821" w:rsidRPr="00FC2821" w:rsidRDefault="00FC2821" w:rsidP="00FC2821">
      <w:pPr>
        <w:pStyle w:val="Nagwek3"/>
      </w:pPr>
      <w:r w:rsidRPr="00FC2821">
        <w:t>Drut montażowy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Do montażu prętów zbrojenia należy używać wyżarzonego drutu stalowego, tzw. wiązałkowego.</w:t>
      </w:r>
    </w:p>
    <w:p w:rsidR="00FC2821" w:rsidRPr="00FC2821" w:rsidRDefault="00FC2821" w:rsidP="00FC2821">
      <w:pPr>
        <w:pStyle w:val="Nagwek3"/>
      </w:pPr>
      <w:r w:rsidRPr="00FC2821">
        <w:t>Podkładki dystansowe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Stosowanie stabilizatorów i podkładek dystansowych zgodnie z projektem. Podkładki dystansowe muszą być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przymocowane do prętów.</w:t>
      </w:r>
    </w:p>
    <w:p w:rsidR="00FC2821" w:rsidRDefault="00FC2821" w:rsidP="00FC2821">
      <w:pPr>
        <w:pStyle w:val="Nagwek3"/>
      </w:pPr>
      <w:r w:rsidRPr="00FC2821">
        <w:t>Dodatkowe elementy zbrojenia wg projektu.</w:t>
      </w:r>
    </w:p>
    <w:p w:rsidR="00BB50C1" w:rsidRPr="00BB50C1" w:rsidRDefault="00BB50C1" w:rsidP="00BB50C1">
      <w:pPr>
        <w:rPr>
          <w:lang w:val="x-none"/>
        </w:rPr>
      </w:pPr>
    </w:p>
    <w:p w:rsidR="00FC2821" w:rsidRPr="00FC2821" w:rsidRDefault="00FC2821" w:rsidP="00FC2821">
      <w:pPr>
        <w:pStyle w:val="Nagwek1"/>
      </w:pPr>
      <w:r w:rsidRPr="00FC2821">
        <w:lastRenderedPageBreak/>
        <w:t>SPRZĘT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wymagania dotyczące sprzętu podano w OST pkt. 3.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Sprzęt używany przy przygotowaniu i montażu zbrojenia wiotkiego w konstrukcjach budowlanych powinien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spełniać wymagania obowiązujące w budownictwie ogólnym. W szczególności wszystkie rodzaje sprzętu jak: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giętarki, prościarki, zgrzewarki, spawarki powinny być sprawne oraz posiadać fabryczną gwarancję i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instrukcję obsługi. Sprzęt powinien spełniać wymagania BHP, jak przykładowo osłony zębatych i pasowych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urządzeń mechanicznych. Miejsca lub elementy szczególnie niebezpieczne dla obsługi powinny być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specjalnie oznaczone. Sprzęt ten powinien podlegać kontroli osoby odpowiedzialnej za BHP na budowie.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Osoby obsługujące sprzęt powinny być odpowiednio przeszkolone.</w:t>
      </w:r>
    </w:p>
    <w:p w:rsidR="00FC2821" w:rsidRPr="00FC2821" w:rsidRDefault="00FC2821" w:rsidP="00FC2821">
      <w:pPr>
        <w:pStyle w:val="Nagwek1"/>
      </w:pPr>
      <w:r w:rsidRPr="00FC2821">
        <w:t>TRANSPORT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wymagania dotyczące transportu podano w OST pkt. 4.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Pręty do zbrojenia powinny być przewożone odpowiednimi środkami transportu, w sposób zapewniający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uniknięcie trwałych odkształceń oraz zgodnie z przepisami BHP i ruchu drogowego.</w:t>
      </w:r>
    </w:p>
    <w:p w:rsidR="00FC2821" w:rsidRPr="00FC2821" w:rsidRDefault="00FC2821" w:rsidP="00FC2821">
      <w:pPr>
        <w:pStyle w:val="Nagwek1"/>
      </w:pPr>
      <w:r w:rsidRPr="00FC2821">
        <w:t>WYKONANIE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zasady wykonania robót podano w OST pkt. 5.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Przy konstruowaniu i montażu zbrojenia należy przestrzegać zasad ujętych w normie PN-B-03264:2002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„Konstrukcje betonowe, żelbetowe i sprężone. Projektowanie” oraz Warunkach technicznych wykonaniu i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odbioru robót budowlanych.</w:t>
      </w:r>
    </w:p>
    <w:p w:rsidR="00FC2821" w:rsidRPr="00FC2821" w:rsidRDefault="00FC2821" w:rsidP="00FC2821">
      <w:pPr>
        <w:pStyle w:val="Nagwek2"/>
      </w:pPr>
      <w:r w:rsidRPr="00FC2821">
        <w:t>Organizacja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Wykonawca przedstawi Inspektorowi nadzoru do akceptacji projekt organizacji i harmonogram robót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uwzględniający wszystkie warunki, w jakich będą wykonywane roboty zbrojarskie.</w:t>
      </w:r>
    </w:p>
    <w:p w:rsidR="00FC2821" w:rsidRPr="00FC2821" w:rsidRDefault="00FC2821" w:rsidP="00FC2821">
      <w:pPr>
        <w:pStyle w:val="Nagwek2"/>
      </w:pPr>
      <w:r w:rsidRPr="00FC2821">
        <w:t>Wymagania ogólne</w:t>
      </w:r>
    </w:p>
    <w:p w:rsidR="00FC2821" w:rsidRPr="00BB50C1" w:rsidRDefault="00FC2821" w:rsidP="00BB50C1">
      <w:pPr>
        <w:pStyle w:val="Nagwek3"/>
      </w:pPr>
      <w:r w:rsidRPr="00BB50C1">
        <w:t>Przygotowanie, montaż i odbiór zbrojenia powinien odpowiadać wymaganiom norm, a klasy i gatunki</w:t>
      </w:r>
      <w:r w:rsidR="00BB50C1" w:rsidRPr="00BB50C1">
        <w:rPr>
          <w:lang w:val="pl-PL"/>
        </w:rPr>
        <w:t xml:space="preserve"> </w:t>
      </w:r>
      <w:r w:rsidRPr="00BB50C1">
        <w:t>stali winny być</w:t>
      </w:r>
      <w:r w:rsidR="00BB50C1">
        <w:rPr>
          <w:lang w:val="pl-PL"/>
        </w:rPr>
        <w:t xml:space="preserve"> </w:t>
      </w:r>
      <w:r w:rsidRPr="00BB50C1">
        <w:t>zgodne z dokumentacją projektową.</w:t>
      </w:r>
    </w:p>
    <w:p w:rsidR="00FC2821" w:rsidRPr="00FC2821" w:rsidRDefault="00FC2821" w:rsidP="00FC2821">
      <w:pPr>
        <w:pStyle w:val="Nagwek3"/>
      </w:pPr>
      <w:r w:rsidRPr="00FC2821">
        <w:t>Czyszczenie prętów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Pręty przed ich użyciem do zbrojenia konstrukcji należy oczyścić z zendry, luźnych płatków rdzy, kurzu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i błota. Pręty zbrojenia zatłuszczone lub zabrudzone farbą olejną można opalać lampami benzynowymi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lub czyścić preparatami rozpuszczającymi tłuszcze.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Stal narażoną na choćby chwilowe działanie słonej wody należy zmyć wodą słodką.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Stal pokrytą łuszczącą się rdzą i zabłoconą oczyszcza się szczotkami drucianymi ręcznie lub mechanicznie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bądź też przez piaskowanie. Po oczyszczeniu należy sprawdzić wymiary przekroju poprzecznego prętów.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Stal tylko zabrudzoną można zmyć strumieniem wody. Pręty oblodzone odmraża się strumieniem ciepłej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wody.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Możliwe są również inne sposoby czyszczenia stali zbrojeniowej akceptowane przez Inspektora nadzoru.</w:t>
      </w:r>
    </w:p>
    <w:p w:rsidR="00FC2821" w:rsidRPr="00FC2821" w:rsidRDefault="00FC2821" w:rsidP="00FC2821">
      <w:pPr>
        <w:pStyle w:val="Nagwek3"/>
      </w:pPr>
      <w:r w:rsidRPr="00FC2821">
        <w:t>Prostowanie prętów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Dopuszcza się prostowanie prętów za pomocą kluczy, młotków, ścianek. Dopuszczalna wielkość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miejscowego odchylenia od linii prostej wynosi 4mm, w przypadku większych odchyłek stal zbrojeniową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należy prostować.</w:t>
      </w:r>
    </w:p>
    <w:p w:rsidR="00FC2821" w:rsidRPr="00FC2821" w:rsidRDefault="00FC2821" w:rsidP="00FC2821">
      <w:pPr>
        <w:pStyle w:val="Nagwek3"/>
      </w:pPr>
      <w:r w:rsidRPr="00FC2821">
        <w:t>Cięcie prętów zbrojeniowych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Cięcie prętów należy wykonywać przy maksymalnym wykorzystaniu materiału. Wskazane jest sporządzenie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w tym celu planu cięcia. Cięcia przeprowadza się przy użyciu mechanicznych noży. Dopuszcza się również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cięcie palnikiem acetylenowym.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Pręty ucina się z dokładnością do 1 cm.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Haki, odgięcia i rozmieszczenie zbrojenia należy wykonywać wg dokumentacji projektowej oraz normy PNB-03264:2002. Gięcie prętów należy wykonać zgodnie z dokumentacją projektową.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Należy zwrócić uwagę przy odbiorze haków i odgięć na ich zewnętrzną stronę.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Niedopuszczalne są tam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pęknięcia powstałe podczas wyginania.</w:t>
      </w:r>
    </w:p>
    <w:p w:rsidR="00FC2821" w:rsidRPr="00FC2821" w:rsidRDefault="00FC2821" w:rsidP="00FC2821">
      <w:pPr>
        <w:pStyle w:val="Nagwek3"/>
      </w:pPr>
      <w:r w:rsidRPr="00FC2821">
        <w:lastRenderedPageBreak/>
        <w:t>Przygotowanie zbrojenia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Pręty stalowe użyte do wykonania wkładek zbrojeniowych powinny być wyprostowane. Haki, odgięcia i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rozmieszczenie zbrojenia należy wykonywać wg projektu z równoczesnym zachowaniem postanowień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normy PN-B-03264:2002.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Łączenie prętów należy wykonywać zgodnie z postanowieniami normy PN-B-03264:2002.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Skrzyżowania prętów należy wiązać drutem miękkim, spawać lub łączyć specjalnymi zaciskami.</w:t>
      </w:r>
    </w:p>
    <w:p w:rsidR="00FC2821" w:rsidRPr="00FC2821" w:rsidRDefault="00FC2821" w:rsidP="00FC2821">
      <w:pPr>
        <w:pStyle w:val="Nagwek2"/>
      </w:pPr>
      <w:r w:rsidRPr="00FC2821">
        <w:t>Montaż zbrojenia</w:t>
      </w:r>
    </w:p>
    <w:p w:rsidR="00FC2821" w:rsidRPr="00FC2821" w:rsidRDefault="00FC2821" w:rsidP="00FC2821">
      <w:pPr>
        <w:pStyle w:val="Nagwek3"/>
      </w:pPr>
      <w:r w:rsidRPr="00FC2821">
        <w:t>Wymagania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Układ zbrojenia w konstrukcji musi umożliwiać jego dokładne otoczenie przez jednorodny beton. Po ułożeniu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zbrojenia w deskowaniu rozmieszczenie prętów względem siebie i względem deskowania nie może ulec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zmianie. W konstrukcję można wbudować stal pokrytą co najwyżej nalotem niełuszczącej się rdzy.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Nie można wbudować stali zatłuszczonej smarami lub innymi środkami chemicznymi, zabrudzonej farbami,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zabłoconej i oblodzonej, stali, która była wystawiona na działanie słonej wody.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Dla zachowania właściwej otuliny należy układane w deskowaniu zbrojenie podpierać podkładkami o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grubości równej otulenia. Stosowanie innych sposobów zapewnienia otuliny, a szczególnie podkładek z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prętów stalowych jest niedopuszczalne.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Rodzaj podkładek dystansowych podlega akceptacji przez Inspektora nadzoru.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Minimalna grubość otuliny zewnętrznej w świetle prętów i powierzchni przekroju elementu żelbetowego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podana w projekcie konstrukcji.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Układanie zbrojenia bezpośrednio na deskowaniu i podnoszenie na odpowiednią wysokość w trakcie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betonowania jest niedopuszczalne. Niedopuszczane jest chodzenie po wykonanym szkielecie zbrojeniowym.</w:t>
      </w:r>
    </w:p>
    <w:p w:rsidR="00FC2821" w:rsidRPr="00FC2821" w:rsidRDefault="00FC2821" w:rsidP="00FC2821">
      <w:pPr>
        <w:pStyle w:val="Nagwek3"/>
      </w:pPr>
      <w:r w:rsidRPr="00FC2821">
        <w:t>Montowanie zbrojenia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Tolerancje odchyłek, gabarytów oraz rozstawienie i usytuowanie zbrojenia powinny być zgodne aktualnie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obowiązującymi normami i instrukcjami. Siatki i szkielety zbrojeniowe powinny być trwale ustabilizowane w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formach za pomocą prętów stabilizujących i podkładek dystansowych w sposób uniemożliwiający ich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przesunięcie podczas układania oraz zagęszczania mieszanki betonowej.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Zbrojenie należy układać po sprawdzeniu i odbiorze deskowań.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Nie należy podwieszać i mocować do zbrojenia deskowań, pomostów transportowych, urządzeń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wytwórczych i montażowych.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Montaż zbrojenia z pojedynczych prętów powinien być dokonywany bezpośrednio w deskowaniu.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Montaż</w:t>
      </w:r>
      <w:r w:rsidR="00BB50C1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zbrojenia bezpośrednio w deskowaniu zaleca się wykonywać przed ustawieniem szalowania bocznego.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Pręty zbrojenia należy łączyć w sposób określony w dokumentacji projektowej.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Skrzyżowania prętów należy wiązać drutem wiązałkowym, zgrzewać lub łączyć tzw. słupkami dystansowymi.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Drut wiązałkowy, wyżarzony o średnicy 1 mm, używa się do łączenia prętów o średnicy do 12 mm, przy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średnicach większych należy stosować drut o średnicy 1,5 mm.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Łączenie prętów należy wykonywać zgodnie z PN-B-03264. Do zgrzewania i spawania prętów mogą być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dopuszczeni tylko spawacze mający odpowiednie uprawnienia.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Skrzyżowania prętów należy wiązać miękkim drutem lub spawać w ilości min 30 % skrzyżowań.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W szkieletach zbrojenia belek i słupów należy łączyć wszystkie skrzyżowania prętów narożnych ze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strzemionami, a pozostałych prętów – na przemian.</w:t>
      </w:r>
    </w:p>
    <w:p w:rsidR="00FC2821" w:rsidRPr="00FC2821" w:rsidRDefault="00FC2821" w:rsidP="00FC2821">
      <w:pPr>
        <w:pStyle w:val="Nagwek1"/>
      </w:pPr>
      <w:r w:rsidRPr="00FC2821">
        <w:t>KONTROLA JAKOŚCI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zasady kontroli jakości robót podano w OST pkt. 6.</w:t>
      </w:r>
    </w:p>
    <w:p w:rsidR="00FC2821" w:rsidRPr="00FC2821" w:rsidRDefault="00FC2821" w:rsidP="00FC2821">
      <w:pPr>
        <w:pStyle w:val="Nagwek2"/>
      </w:pPr>
      <w:r w:rsidRPr="00FC2821">
        <w:t>Kontrola jakości materiałów.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Zamawiający może dopuścić do użycia tylko te materiały, które posiadają:</w:t>
      </w:r>
    </w:p>
    <w:p w:rsidR="00FC2821" w:rsidRPr="00931012" w:rsidRDefault="00FC2821" w:rsidP="00FC28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Certyfikat na znak bezpieczeństwa, wykazujący że zapewniono zgodność z kryteriami technicznymi</w:t>
      </w:r>
      <w:r w:rsidR="00931012">
        <w:rPr>
          <w:rFonts w:cstheme="minorHAnsi"/>
          <w:sz w:val="20"/>
          <w:szCs w:val="20"/>
        </w:rPr>
        <w:t xml:space="preserve"> </w:t>
      </w:r>
      <w:r w:rsidRPr="00931012">
        <w:rPr>
          <w:rFonts w:cstheme="minorHAnsi"/>
          <w:sz w:val="20"/>
          <w:szCs w:val="20"/>
        </w:rPr>
        <w:t>określonymi na podstawie Polskich Norm, aprobat technicznych oraz odpowiednich przepisów i</w:t>
      </w:r>
      <w:r w:rsidR="00931012">
        <w:rPr>
          <w:rFonts w:cstheme="minorHAnsi"/>
          <w:sz w:val="20"/>
          <w:szCs w:val="20"/>
        </w:rPr>
        <w:t xml:space="preserve"> </w:t>
      </w:r>
      <w:r w:rsidRPr="00931012">
        <w:rPr>
          <w:rFonts w:cstheme="minorHAnsi"/>
          <w:sz w:val="20"/>
          <w:szCs w:val="20"/>
        </w:rPr>
        <w:t>dokumentów technicznych.</w:t>
      </w:r>
    </w:p>
    <w:p w:rsidR="00FC2821" w:rsidRPr="00931012" w:rsidRDefault="00FC2821" w:rsidP="00FC28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Deklarację Zgodności lub Certyfikat Zgodności z Polską Normą lub Aprobatą Techniczną a w</w:t>
      </w:r>
      <w:r w:rsidR="00931012">
        <w:rPr>
          <w:rFonts w:cstheme="minorHAnsi"/>
          <w:sz w:val="20"/>
          <w:szCs w:val="20"/>
        </w:rPr>
        <w:t xml:space="preserve"> </w:t>
      </w:r>
      <w:r w:rsidRPr="00931012">
        <w:rPr>
          <w:rFonts w:cstheme="minorHAnsi"/>
          <w:sz w:val="20"/>
          <w:szCs w:val="20"/>
        </w:rPr>
        <w:t>przypadku wyrobów dla których nie ustanowiono Polskiej Normy odpowiadający dokument EN.</w:t>
      </w:r>
    </w:p>
    <w:p w:rsidR="00FC2821" w:rsidRPr="00FC2821" w:rsidRDefault="00FC2821" w:rsidP="00FC2821">
      <w:pPr>
        <w:pStyle w:val="Nagwek2"/>
      </w:pPr>
      <w:r w:rsidRPr="00FC2821">
        <w:t>Kontrola jakości wykonania robót.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Kontrola jakości robót wykonania zbrojenia polega na sprawdzeniu zgodności z dokumentacją projektową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oraz z podanymi wyżej wymaganiami. Zbrojenie podlega odbiorowi przed betonowaniem.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Przy odbiorze stali dostarczonej na budowę należy przeprowadzić następujące badania: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sprawdzenie zgodności przywieszek z zamówieniem,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sprawdzenie stanu powierzchni wg normy PN-H 93215,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lastRenderedPageBreak/>
        <w:t>- sprawdzenie wymiarów wg normy PN-H 93215,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sprawdzenie masy wg normy PN-H 93215,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próba rozciągania wg normy PN-EN ISO 6892-1:2009,</w:t>
      </w:r>
    </w:p>
    <w:p w:rsid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próba zginania na zimno wg normy PN-EN ISO 7438:2012.</w:t>
      </w:r>
    </w:p>
    <w:p w:rsidR="00931012" w:rsidRPr="00FC2821" w:rsidRDefault="00931012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Do badania należy pobrać minimum 3 próbki z każdego kręgu lub wiązki. Próbki należy pobrać z różnych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miejsc kręgu.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Jakość prętów należy ocenić pozytywnie, jeżeli wszystkie badania odbiorcze dadzą wynik pozytywny.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Dopuszczalne tolerancje wymiarów w zakresie cięcia, gięcia i rozmieszczenia zbrojenia podano poniżej.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Usytuowanie prętów: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otulenie wkładek wg projektu,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rozstaw prętów w świetle: 10 mm,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odstęp od czoła elementu lub konstrukcji: ±10 mm,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długość pręta między odgięciami:±10 mm,</w:t>
      </w:r>
    </w:p>
    <w:p w:rsid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miejscowe wykrzywienie: ±5 mm.</w:t>
      </w:r>
    </w:p>
    <w:p w:rsidR="00931012" w:rsidRPr="00FC2821" w:rsidRDefault="00931012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Niezależnie od tolerancji podanych powyżej obowiązują następujące wymagania: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dopuszczalne odchylenie strzemion od linii prostopadłej do zbrojenia głównego nie powinna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przekraczać 3%,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liczba uszkodzonych skrzyżowań na jednym pręcie nie może przekraczać 25% ogólnej ich liczby na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tym pręcie,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różnica w rozstawie między prętami głównymi nie powinna przekraczać ±5 mm,</w:t>
      </w:r>
    </w:p>
    <w:p w:rsid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różnica w rozstawie strzemion nie powinna przekraczać ±2 mm.</w:t>
      </w:r>
    </w:p>
    <w:p w:rsidR="00931012" w:rsidRPr="00FC2821" w:rsidRDefault="00931012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Kontrola zbrojenia obejmuje: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oględziny,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badanie zgodności wykonania zbrojenia z obowiązującymi przepisami,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badanie zgodności wymiarów zbrojenia z projektem,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badanie zgodności usytuowania zbrojenia z projektem,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badanie jakości połączeń zgrzewanych wykonywanych na placu budowy,</w:t>
      </w:r>
    </w:p>
    <w:p w:rsidR="00FC2821" w:rsidRPr="00FC2821" w:rsidRDefault="00FC2821" w:rsidP="00FC2821">
      <w:pPr>
        <w:pStyle w:val="Nagwek1"/>
      </w:pPr>
      <w:r w:rsidRPr="00FC2821">
        <w:t>OBMIAR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zasady dokonywania obmiarów robót podano w OST pkt. 7.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Jednostką obmiarową jest: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[ t ] – przygotowania i montażu zbrojenia,</w:t>
      </w:r>
    </w:p>
    <w:p w:rsidR="00FC2821" w:rsidRPr="00FC2821" w:rsidRDefault="00FC2821" w:rsidP="00FC2821">
      <w:pPr>
        <w:pStyle w:val="Nagwek1"/>
      </w:pPr>
      <w:r w:rsidRPr="00FC2821">
        <w:t>ODBIÓR ROBÓT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zasady odbiorów robót podano w OST pkt. 8.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Roboty powinny być wykonane zgodnie z dokumentacją projektową i SST oraz pisemnymi poleceniami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Inspektora nadzoru.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Odbiór powinien polegać na sprawdzeniu: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zgodności wykonania zbrojenia z dokumentacją projektową,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zgodności z dokumentacją projektową liczby prętów w poszczególnych przekrojach,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rozstawu strzemion,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prawidłowości wykonania haków, złącz i długości zakotwień prętów,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- zachowania wymaganej projektem otuliny zbrojenia.</w:t>
      </w:r>
    </w:p>
    <w:p w:rsidR="00FC2821" w:rsidRPr="00FC2821" w:rsidRDefault="00FC2821" w:rsidP="00FC2821">
      <w:pPr>
        <w:pStyle w:val="Nagwek1"/>
      </w:pPr>
      <w:r w:rsidRPr="00FC2821">
        <w:t>PODSTAWA PŁATNOŚCI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Ogólne wymagania dotyczące płatności podano w OST pkt. 9.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Zasady rozliczania i płatności za wykonane roboty określa umowa zawarta pomiędzy Zamawiającym</w:t>
      </w:r>
      <w:r w:rsidR="00931012">
        <w:rPr>
          <w:rFonts w:cstheme="minorHAnsi"/>
          <w:sz w:val="20"/>
          <w:szCs w:val="20"/>
        </w:rPr>
        <w:t xml:space="preserve"> </w:t>
      </w:r>
      <w:r w:rsidRPr="00FC2821">
        <w:rPr>
          <w:rFonts w:cstheme="minorHAnsi"/>
          <w:sz w:val="20"/>
          <w:szCs w:val="20"/>
        </w:rPr>
        <w:t>a Wykonawcą.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Cena jednostkowa obejmuje: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prace pomiarowe i technologiczne,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zakup i dowóz materiałów,</w:t>
      </w:r>
    </w:p>
    <w:p w:rsidR="00FC2821" w:rsidRP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wykonanie elementów robót,</w:t>
      </w:r>
    </w:p>
    <w:p w:rsidR="00FC2821" w:rsidRDefault="00FC2821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– kontrolę prawidłowości wykonanych robót.</w:t>
      </w:r>
    </w:p>
    <w:p w:rsidR="00931012" w:rsidRPr="00FC2821" w:rsidRDefault="00931012" w:rsidP="00FC2821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C2821" w:rsidRPr="00FC2821" w:rsidRDefault="00FC2821" w:rsidP="00FC2821">
      <w:pPr>
        <w:pStyle w:val="Nagwek1"/>
      </w:pPr>
      <w:r w:rsidRPr="00FC2821">
        <w:lastRenderedPageBreak/>
        <w:t>PRZEPISY ZWIĄZANE</w:t>
      </w:r>
    </w:p>
    <w:p w:rsidR="00FC2821" w:rsidRPr="00FC2821" w:rsidRDefault="00FC2821" w:rsidP="00FC2821">
      <w:pPr>
        <w:pStyle w:val="Nagwek2"/>
      </w:pPr>
      <w:r w:rsidRPr="00FC2821">
        <w:t>Normy</w:t>
      </w:r>
    </w:p>
    <w:p w:rsidR="00FC2821" w:rsidRPr="00931012" w:rsidRDefault="00FC2821" w:rsidP="00FC282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PN-H-93220:2006 Stal B500SP o podwyższonej ciągliwości do zbrojenia betonu. Pręty i walcówka</w:t>
      </w:r>
      <w:r w:rsidR="00931012">
        <w:rPr>
          <w:rFonts w:cstheme="minorHAnsi"/>
          <w:sz w:val="20"/>
          <w:szCs w:val="20"/>
        </w:rPr>
        <w:t xml:space="preserve"> </w:t>
      </w:r>
      <w:r w:rsidRPr="00931012">
        <w:rPr>
          <w:rFonts w:cstheme="minorHAnsi"/>
          <w:sz w:val="20"/>
          <w:szCs w:val="20"/>
        </w:rPr>
        <w:t>żebrowana.</w:t>
      </w:r>
    </w:p>
    <w:p w:rsidR="00FC2821" w:rsidRPr="00931012" w:rsidRDefault="00FC2821" w:rsidP="00FC282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PN-EN 1992-1-2:2008 Eurokod 2: Projektowanie konstrukcji z betonu – Część 1-2: Reguły ogólne –Projektowanie z uwagi na warunki pożarowe.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PN-EN ISO 7438:2016-03 Metale -- Próba zginania.</w:t>
      </w:r>
    </w:p>
    <w:p w:rsidR="00FC2821" w:rsidRPr="00931012" w:rsidRDefault="00FC2821" w:rsidP="00FC282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PN-EN ISO 6892-1:2016-09Metale -- Próba rozciągania -- Część 1: Metoda badania w temperaturze</w:t>
      </w:r>
      <w:r w:rsidR="00931012">
        <w:rPr>
          <w:rFonts w:cstheme="minorHAnsi"/>
          <w:sz w:val="20"/>
          <w:szCs w:val="20"/>
        </w:rPr>
        <w:t xml:space="preserve"> </w:t>
      </w:r>
      <w:r w:rsidRPr="00931012">
        <w:rPr>
          <w:rFonts w:cstheme="minorHAnsi"/>
          <w:sz w:val="20"/>
          <w:szCs w:val="20"/>
        </w:rPr>
        <w:t>pokojowej.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PN-EN 10080:2007 Stal do zbrojenia betonu -- Spajalna stal zbrojeniowa -- Postanowienia ogólne.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PN-B-03264:2002 Konstrukcje betonowe, żelbetowe i sprężone -- Obliczenia statyczne i projektowanie.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PN-ISO 6935-1:1998+Ak:1998 Stal do zbrojenia betonu. Pręty gładkie.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PN-ISO 6935-2:1998+Ak:1998+Ap1:1999 Stal do zbrojenia betonu. Pręty żebrowane.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PN-H-93220:2006 Stal o podwyższonej ciągliwości do zbrojenia betonu -- Pręty i walcówka żebrowana.</w:t>
      </w:r>
    </w:p>
    <w:p w:rsidR="00FC2821" w:rsidRPr="00931012" w:rsidRDefault="00FC2821" w:rsidP="009310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31012">
        <w:rPr>
          <w:rFonts w:cstheme="minorHAnsi"/>
          <w:sz w:val="20"/>
          <w:szCs w:val="20"/>
        </w:rPr>
        <w:t>PN 82/H-93215 Walcówka i pręty stalowe do zbrojenia betonu.</w:t>
      </w:r>
    </w:p>
    <w:p w:rsidR="00FC2821" w:rsidRPr="00FC2821" w:rsidRDefault="00FC2821" w:rsidP="00FC2821">
      <w:pPr>
        <w:pStyle w:val="Nagwek2"/>
      </w:pPr>
      <w:r w:rsidRPr="00FC2821">
        <w:t>Inne dokumenty i instrukcje</w:t>
      </w:r>
    </w:p>
    <w:p w:rsidR="00675C89" w:rsidRPr="00FC2821" w:rsidRDefault="00FC2821" w:rsidP="00FC2821">
      <w:pPr>
        <w:pStyle w:val="Bezodstpw"/>
        <w:rPr>
          <w:rFonts w:cstheme="minorHAnsi"/>
          <w:sz w:val="20"/>
          <w:szCs w:val="20"/>
        </w:rPr>
      </w:pPr>
      <w:r w:rsidRPr="00FC2821">
        <w:rPr>
          <w:rFonts w:cstheme="minorHAnsi"/>
          <w:sz w:val="20"/>
          <w:szCs w:val="20"/>
        </w:rPr>
        <w:t>Dokumentacja projektowa.</w:t>
      </w:r>
    </w:p>
    <w:sectPr w:rsidR="00675C89" w:rsidRPr="00FC2821" w:rsidSect="00EA07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09A" w:rsidRDefault="00B7509A" w:rsidP="00EA077B">
      <w:pPr>
        <w:spacing w:after="0" w:line="240" w:lineRule="auto"/>
      </w:pPr>
      <w:r>
        <w:separator/>
      </w:r>
    </w:p>
  </w:endnote>
  <w:endnote w:type="continuationSeparator" w:id="0">
    <w:p w:rsidR="00B7509A" w:rsidRDefault="00B7509A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0E" w:rsidRDefault="00C9530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F2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5F2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0E" w:rsidRDefault="00C953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09A" w:rsidRDefault="00B7509A" w:rsidP="00EA077B">
      <w:pPr>
        <w:spacing w:after="0" w:line="240" w:lineRule="auto"/>
      </w:pPr>
      <w:r>
        <w:separator/>
      </w:r>
    </w:p>
  </w:footnote>
  <w:footnote w:type="continuationSeparator" w:id="0">
    <w:p w:rsidR="00B7509A" w:rsidRDefault="00B7509A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0E" w:rsidRDefault="00C9530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</w:t>
    </w:r>
    <w:r w:rsidR="00FB6CB2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>.01.0</w:t>
    </w:r>
    <w:r w:rsidR="00C9530E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 xml:space="preserve">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0E" w:rsidRDefault="00C9530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43"/>
    <w:multiLevelType w:val="hybridMultilevel"/>
    <w:tmpl w:val="E2209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A4875"/>
    <w:multiLevelType w:val="hybridMultilevel"/>
    <w:tmpl w:val="A334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5057"/>
    <w:multiLevelType w:val="hybridMultilevel"/>
    <w:tmpl w:val="29504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C1F1A"/>
    <w:multiLevelType w:val="hybridMultilevel"/>
    <w:tmpl w:val="4062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03F27"/>
    <w:multiLevelType w:val="hybridMultilevel"/>
    <w:tmpl w:val="2786A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FA40F6"/>
    <w:multiLevelType w:val="hybridMultilevel"/>
    <w:tmpl w:val="A8042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E4ACA"/>
    <w:multiLevelType w:val="hybridMultilevel"/>
    <w:tmpl w:val="81F07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B71490"/>
    <w:multiLevelType w:val="hybridMultilevel"/>
    <w:tmpl w:val="D9B8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236A23"/>
    <w:rsid w:val="002B271D"/>
    <w:rsid w:val="00335F2D"/>
    <w:rsid w:val="004509CB"/>
    <w:rsid w:val="00584568"/>
    <w:rsid w:val="00675C89"/>
    <w:rsid w:val="00895916"/>
    <w:rsid w:val="00897B4C"/>
    <w:rsid w:val="00931012"/>
    <w:rsid w:val="00995389"/>
    <w:rsid w:val="009B0355"/>
    <w:rsid w:val="009F31E8"/>
    <w:rsid w:val="00A852AE"/>
    <w:rsid w:val="00A91EF1"/>
    <w:rsid w:val="00AF1E12"/>
    <w:rsid w:val="00B35543"/>
    <w:rsid w:val="00B41603"/>
    <w:rsid w:val="00B7509A"/>
    <w:rsid w:val="00BB50C1"/>
    <w:rsid w:val="00BF6BB0"/>
    <w:rsid w:val="00C9530E"/>
    <w:rsid w:val="00D22415"/>
    <w:rsid w:val="00D41FD8"/>
    <w:rsid w:val="00EA077B"/>
    <w:rsid w:val="00ED78B4"/>
    <w:rsid w:val="00EE37A3"/>
    <w:rsid w:val="00FB6CB2"/>
    <w:rsid w:val="00FC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1836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2018-08-07T14:47:00Z</dcterms:created>
  <dcterms:modified xsi:type="dcterms:W3CDTF">2018-08-07T18:34:00Z</dcterms:modified>
</cp:coreProperties>
</file>