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183E27CE" w14:textId="3CC63D71" w:rsidR="004E098C" w:rsidRPr="00DC7DE4" w:rsidRDefault="004E098C" w:rsidP="00A857ED">
      <w:pPr>
        <w:spacing w:line="276" w:lineRule="auto"/>
        <w:ind w:left="284" w:hanging="284"/>
        <w:jc w:val="both"/>
        <w:rPr>
          <w:i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</w:t>
      </w:r>
      <w:r w:rsidR="00C566C7">
        <w:t xml:space="preserve">branży </w:t>
      </w:r>
      <w:r w:rsidR="00B81142">
        <w:t>elektrycznej</w:t>
      </w:r>
      <w:r w:rsidR="00C566C7">
        <w:t xml:space="preserve"> </w:t>
      </w:r>
      <w:r w:rsidR="00AE232B" w:rsidRPr="00DC7DE4">
        <w:t>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A857ED" w:rsidRPr="00A857ED">
        <w:rPr>
          <w:rFonts w:cs="Arial"/>
          <w:b/>
        </w:rPr>
        <w:t>"Przebudowa ul. Górnej w miejscowości Glinica w Gminie Ciasna"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lastRenderedPageBreak/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lastRenderedPageBreak/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lastRenderedPageBreak/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3DCC57FA" w14:textId="77777777" w:rsidR="00A857ED" w:rsidRPr="00DC7DE4" w:rsidRDefault="00A857ED" w:rsidP="005210E6">
      <w:pPr>
        <w:tabs>
          <w:tab w:val="left" w:pos="720"/>
          <w:tab w:val="right" w:pos="8582"/>
        </w:tabs>
        <w:spacing w:line="276" w:lineRule="auto"/>
      </w:pP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4A8B06D9" w14:textId="52929E34" w:rsidR="00C566C7" w:rsidRDefault="00C566C7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5DCC15E4" w14:textId="77777777" w:rsidR="00C566C7" w:rsidRDefault="00C566C7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lastRenderedPageBreak/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headerReference w:type="default" r:id="rId7"/>
      <w:foot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D34AC" w14:textId="77777777" w:rsidR="005B6D04" w:rsidRDefault="005B6D04" w:rsidP="001F705F">
      <w:r>
        <w:separator/>
      </w:r>
    </w:p>
  </w:endnote>
  <w:endnote w:type="continuationSeparator" w:id="0">
    <w:p w14:paraId="56D5BA6C" w14:textId="77777777" w:rsidR="005B6D04" w:rsidRDefault="005B6D04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73A2F" w14:textId="77777777" w:rsidR="005B6D04" w:rsidRDefault="005B6D04" w:rsidP="001F705F">
      <w:r>
        <w:separator/>
      </w:r>
    </w:p>
  </w:footnote>
  <w:footnote w:type="continuationSeparator" w:id="0">
    <w:p w14:paraId="1EC8A44E" w14:textId="77777777" w:rsidR="005B6D04" w:rsidRDefault="005B6D04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103D2" w14:textId="7BD7CDA6" w:rsidR="00C566C7" w:rsidRDefault="00C566C7" w:rsidP="00C566C7">
    <w:pPr>
      <w:pStyle w:val="Nagwek"/>
      <w:tabs>
        <w:tab w:val="clear" w:pos="4536"/>
        <w:tab w:val="clear" w:pos="9072"/>
        <w:tab w:val="left" w:pos="5445"/>
      </w:tabs>
    </w:pPr>
    <w:r>
      <w:rPr>
        <w:noProof/>
      </w:rPr>
      <w:drawing>
        <wp:inline distT="0" distB="0" distL="0" distR="0" wp14:anchorId="07289A5D" wp14:editId="3BB6988F">
          <wp:extent cx="843677" cy="53708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487" cy="5516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</w:t>
    </w:r>
    <w:r>
      <w:rPr>
        <w:noProof/>
      </w:rPr>
      <w:drawing>
        <wp:inline distT="0" distB="0" distL="0" distR="0" wp14:anchorId="67077752" wp14:editId="247968AC">
          <wp:extent cx="429126" cy="533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52" cy="54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60B146D4" wp14:editId="0BF723A3">
          <wp:extent cx="1085215" cy="707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14:paraId="545C8B98" w14:textId="77777777" w:rsidR="00C566C7" w:rsidRDefault="00C566C7" w:rsidP="00C566C7">
    <w:pPr>
      <w:pStyle w:val="Nagwek"/>
      <w:tabs>
        <w:tab w:val="clear" w:pos="4536"/>
        <w:tab w:val="clear" w:pos="9072"/>
        <w:tab w:val="left" w:pos="5445"/>
      </w:tabs>
    </w:pPr>
  </w:p>
  <w:p w14:paraId="7D642D3E" w14:textId="77777777" w:rsidR="00C566C7" w:rsidRDefault="00C566C7" w:rsidP="00C566C7">
    <w:pPr>
      <w:pStyle w:val="Nagwek"/>
      <w:tabs>
        <w:tab w:val="clear" w:pos="4536"/>
        <w:tab w:val="clear" w:pos="9072"/>
        <w:tab w:val="left" w:pos="5445"/>
      </w:tabs>
    </w:pPr>
    <w:r w:rsidRPr="007C685B">
      <w:t>Europejski Fundusz Rolny na rzecz Rozwoju Obszarów Wiejskich: Europa inwestująca w obszary wiejskie”</w:t>
    </w:r>
  </w:p>
  <w:p w14:paraId="7F3C8869" w14:textId="707B1170" w:rsidR="00655299" w:rsidRDefault="00655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757A7"/>
    <w:rsid w:val="00577560"/>
    <w:rsid w:val="005A1575"/>
    <w:rsid w:val="005B6D04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15</cp:revision>
  <cp:lastPrinted>2018-12-19T08:16:00Z</cp:lastPrinted>
  <dcterms:created xsi:type="dcterms:W3CDTF">2018-12-19T07:54:00Z</dcterms:created>
  <dcterms:modified xsi:type="dcterms:W3CDTF">2021-02-24T08:43:00Z</dcterms:modified>
</cp:coreProperties>
</file>