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DAF1A" w14:textId="77777777" w:rsidR="00F54970" w:rsidRDefault="00F54970" w:rsidP="00F54970">
      <w:pPr>
        <w:ind w:firstLine="4820"/>
        <w:jc w:val="right"/>
        <w:rPr>
          <w:rFonts w:ascii="Times New Roman" w:hAnsi="Times New Roman" w:cs="Times New Roman"/>
          <w:b/>
          <w:bCs/>
          <w:i/>
          <w:iCs/>
        </w:rPr>
      </w:pPr>
      <w:r w:rsidRPr="00B22F67">
        <w:rPr>
          <w:rFonts w:ascii="Times New Roman" w:hAnsi="Times New Roman" w:cs="Times New Roman"/>
          <w:b/>
          <w:bCs/>
          <w:i/>
          <w:iCs/>
        </w:rPr>
        <w:t>Projekt</w:t>
      </w:r>
    </w:p>
    <w:p w14:paraId="07135882" w14:textId="77777777" w:rsidR="00F54970" w:rsidRPr="00B22F67" w:rsidRDefault="00F54970" w:rsidP="00F54970">
      <w:pPr>
        <w:ind w:firstLine="4820"/>
        <w:rPr>
          <w:rFonts w:ascii="Times New Roman" w:hAnsi="Times New Roman" w:cs="Times New Roman"/>
          <w:b/>
          <w:bCs/>
          <w:i/>
          <w:iCs/>
        </w:rPr>
      </w:pPr>
    </w:p>
    <w:p w14:paraId="0C372176" w14:textId="77777777" w:rsidR="00F54970" w:rsidRPr="00B22F67" w:rsidRDefault="00F54970" w:rsidP="00F54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UCHWAŁA NR </w:t>
      </w:r>
      <w:r w:rsidRPr="00774FC5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l-PL"/>
        </w:rPr>
        <w:t>…</w:t>
      </w:r>
    </w:p>
    <w:p w14:paraId="3A0B621E" w14:textId="114DA3C2" w:rsidR="00F54970" w:rsidRPr="00B22F67" w:rsidRDefault="00F54970" w:rsidP="00F54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33E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RADY MIEJSKIEJ </w:t>
      </w:r>
      <w:r w:rsidR="00E24CAB" w:rsidRPr="00133E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BOBROWNIKI</w:t>
      </w:r>
    </w:p>
    <w:p w14:paraId="61BFDFDB" w14:textId="77777777" w:rsidR="00F54970" w:rsidRPr="00B22F67" w:rsidRDefault="00F54970" w:rsidP="00F54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 dnia </w:t>
      </w:r>
      <w:r w:rsidRPr="00774FC5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l-PL"/>
        </w:rPr>
        <w:t>…</w:t>
      </w:r>
    </w:p>
    <w:p w14:paraId="18FBAEED" w14:textId="77777777" w:rsidR="00F54970" w:rsidRPr="00B22F67" w:rsidRDefault="00F54970" w:rsidP="00F5497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A726FD3" w14:textId="77777777" w:rsidR="00F54970" w:rsidRPr="00B22F67" w:rsidRDefault="00F54970" w:rsidP="00F54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22F67">
        <w:rPr>
          <w:rFonts w:ascii="Times New Roman" w:eastAsia="Times New Roman" w:hAnsi="Times New Roman" w:cs="Times New Roman"/>
          <w:b/>
          <w:bCs/>
          <w:lang w:eastAsia="pl-PL"/>
        </w:rPr>
        <w:t>w sprawie wyznaczenia obszaru zdegradowanego i obszaru rewitalizacji na terenie</w:t>
      </w:r>
    </w:p>
    <w:p w14:paraId="6338AE31" w14:textId="2EB47815" w:rsidR="00F54970" w:rsidRPr="00B22F67" w:rsidRDefault="00F54970" w:rsidP="00F54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33EE1">
        <w:rPr>
          <w:rFonts w:ascii="Times New Roman" w:eastAsia="Times New Roman" w:hAnsi="Times New Roman" w:cs="Times New Roman"/>
          <w:b/>
          <w:bCs/>
          <w:lang w:eastAsia="pl-PL"/>
        </w:rPr>
        <w:t xml:space="preserve">Gminy </w:t>
      </w:r>
      <w:r w:rsidR="00E24CAB" w:rsidRPr="00133EE1">
        <w:rPr>
          <w:rFonts w:ascii="Times New Roman" w:eastAsia="Times New Roman" w:hAnsi="Times New Roman" w:cs="Times New Roman"/>
          <w:b/>
          <w:bCs/>
          <w:lang w:eastAsia="pl-PL"/>
        </w:rPr>
        <w:t>Bobrowniki</w:t>
      </w:r>
    </w:p>
    <w:p w14:paraId="107F8504" w14:textId="77777777" w:rsidR="00F54970" w:rsidRPr="00B22F67" w:rsidRDefault="00F54970" w:rsidP="00F5497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71E9D8F" w14:textId="2063B0FE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p0"/>
      <w:bookmarkEnd w:id="0"/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art. 18 ust. 2 pkt 15 ustawy z dnia 8 marca 1990 r. o samorządzie gminnym </w:t>
      </w:r>
      <w:r w:rsidRPr="0003098F">
        <w:rPr>
          <w:rFonts w:ascii="Times New Roman" w:eastAsia="Times New Roman" w:hAnsi="Times New Roman" w:cs="Times New Roman"/>
          <w:color w:val="000000"/>
          <w:lang w:eastAsia="pl-PL"/>
        </w:rPr>
        <w:t>(</w:t>
      </w:r>
      <w:proofErr w:type="spellStart"/>
      <w:r w:rsidRPr="0003098F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03098F">
        <w:rPr>
          <w:rFonts w:ascii="Times New Roman" w:eastAsia="Times New Roman" w:hAnsi="Times New Roman" w:cs="Times New Roman"/>
          <w:color w:val="000000"/>
          <w:lang w:eastAsia="pl-PL"/>
        </w:rPr>
        <w:t xml:space="preserve">. Dz. U. </w:t>
      </w:r>
      <w:r w:rsidR="00B32B5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03098F">
        <w:rPr>
          <w:rFonts w:ascii="Times New Roman" w:eastAsia="Times New Roman" w:hAnsi="Times New Roman" w:cs="Times New Roman"/>
          <w:color w:val="000000"/>
          <w:lang w:eastAsia="pl-PL"/>
        </w:rPr>
        <w:t>z 202</w:t>
      </w:r>
      <w:r w:rsidR="00133EE1" w:rsidRPr="0003098F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03098F">
        <w:rPr>
          <w:rFonts w:ascii="Times New Roman" w:eastAsia="Times New Roman" w:hAnsi="Times New Roman" w:cs="Times New Roman"/>
          <w:color w:val="000000"/>
          <w:lang w:eastAsia="pl-PL"/>
        </w:rPr>
        <w:t xml:space="preserve"> r. poz. </w:t>
      </w:r>
      <w:r w:rsidR="00133EE1" w:rsidRPr="0003098F">
        <w:rPr>
          <w:rFonts w:ascii="Times New Roman" w:eastAsia="Times New Roman" w:hAnsi="Times New Roman" w:cs="Times New Roman"/>
          <w:color w:val="000000"/>
          <w:lang w:eastAsia="pl-PL"/>
        </w:rPr>
        <w:t>609</w:t>
      </w:r>
      <w:r w:rsidRPr="0003098F">
        <w:rPr>
          <w:rFonts w:ascii="Times New Roman" w:eastAsia="Times New Roman" w:hAnsi="Times New Roman" w:cs="Times New Roman"/>
          <w:color w:val="000000"/>
          <w:lang w:eastAsia="pl-PL"/>
        </w:rPr>
        <w:t>) oraz art. 8 ust. 1 ustawy z dnia 9 października 2015 r. o rewitalizacji (</w:t>
      </w:r>
      <w:proofErr w:type="spellStart"/>
      <w:r w:rsidRPr="0003098F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03098F">
        <w:rPr>
          <w:rFonts w:ascii="Times New Roman" w:eastAsia="Times New Roman" w:hAnsi="Times New Roman" w:cs="Times New Roman"/>
          <w:color w:val="000000"/>
          <w:lang w:eastAsia="pl-PL"/>
        </w:rPr>
        <w:t xml:space="preserve">. Dz. U. z </w:t>
      </w:r>
      <w:r w:rsidR="0003098F" w:rsidRPr="0003098F">
        <w:rPr>
          <w:rFonts w:ascii="Times New Roman" w:eastAsia="Times New Roman" w:hAnsi="Times New Roman" w:cs="Times New Roman"/>
          <w:color w:val="000000"/>
          <w:lang w:eastAsia="pl-PL"/>
        </w:rPr>
        <w:t>2024 poz. 278</w:t>
      </w:r>
      <w:r w:rsidR="009108F3">
        <w:rPr>
          <w:rFonts w:ascii="Times New Roman" w:eastAsia="Times New Roman" w:hAnsi="Times New Roman" w:cs="Times New Roman"/>
          <w:color w:val="000000"/>
          <w:lang w:eastAsia="pl-PL"/>
        </w:rPr>
        <w:t xml:space="preserve">) </w:t>
      </w:r>
      <w:r w:rsidRPr="0003098F">
        <w:rPr>
          <w:rFonts w:ascii="Times New Roman" w:eastAsia="Times New Roman" w:hAnsi="Times New Roman" w:cs="Times New Roman"/>
          <w:color w:val="000000"/>
          <w:lang w:eastAsia="pl-PL"/>
        </w:rPr>
        <w:t xml:space="preserve">Rada Miejska </w:t>
      </w:r>
      <w:r w:rsidR="0003098F" w:rsidRPr="0003098F">
        <w:rPr>
          <w:rFonts w:ascii="Times New Roman" w:eastAsia="Times New Roman" w:hAnsi="Times New Roman" w:cs="Times New Roman"/>
          <w:color w:val="000000"/>
          <w:lang w:eastAsia="pl-PL"/>
        </w:rPr>
        <w:t>Bobrowniki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uchwala, co następuje:</w:t>
      </w:r>
    </w:p>
    <w:p w14:paraId="3C8F25C8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AA93149" w14:textId="77777777" w:rsidR="00F54970" w:rsidRPr="00B22F67" w:rsidRDefault="00F54970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>§ 1</w:t>
      </w:r>
    </w:p>
    <w:p w14:paraId="27D4B03D" w14:textId="1CDCAA59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1" w:name="z1"/>
      <w:bookmarkEnd w:id="1"/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Wyznacza się obszar zdegradowany i obszar rewitalizacji na </w:t>
      </w:r>
      <w:r w:rsidRPr="00E24CAB">
        <w:rPr>
          <w:rFonts w:ascii="Times New Roman" w:eastAsia="Times New Roman" w:hAnsi="Times New Roman" w:cs="Times New Roman"/>
          <w:color w:val="000000"/>
          <w:lang w:eastAsia="pl-PL"/>
        </w:rPr>
        <w:t xml:space="preserve">terenie Gminy </w:t>
      </w:r>
      <w:r w:rsidR="00E24CAB" w:rsidRPr="00E24CAB">
        <w:rPr>
          <w:rFonts w:ascii="Times New Roman" w:eastAsia="Times New Roman" w:hAnsi="Times New Roman" w:cs="Times New Roman"/>
          <w:color w:val="000000"/>
          <w:lang w:eastAsia="pl-PL"/>
        </w:rPr>
        <w:t>Bobrowniki</w:t>
      </w:r>
      <w:r w:rsidRPr="00E24CAB">
        <w:rPr>
          <w:rFonts w:ascii="Times New Roman" w:eastAsia="Times New Roman" w:hAnsi="Times New Roman" w:cs="Times New Roman"/>
          <w:color w:val="000000"/>
          <w:lang w:eastAsia="pl-PL"/>
        </w:rPr>
        <w:t>, w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granicach określonych w załączniku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graficznym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do niniejszej uchwały.</w:t>
      </w:r>
    </w:p>
    <w:p w14:paraId="7FE1334F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D7A6A1D" w14:textId="075482BB" w:rsidR="00F54970" w:rsidRPr="00B22F67" w:rsidRDefault="00F54970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</w:t>
      </w:r>
      <w:r w:rsidR="00A62CE4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</w:p>
    <w:p w14:paraId="5C45C3A8" w14:textId="7A63F69B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Wykonanie uchwały </w:t>
      </w:r>
      <w:r w:rsidRPr="00E24CAB">
        <w:rPr>
          <w:rFonts w:ascii="Times New Roman" w:eastAsia="Times New Roman" w:hAnsi="Times New Roman" w:cs="Times New Roman"/>
          <w:color w:val="000000"/>
          <w:lang w:eastAsia="pl-PL"/>
        </w:rPr>
        <w:t xml:space="preserve">powierza się Burmistrzowi </w:t>
      </w:r>
      <w:r w:rsidR="00E24CAB" w:rsidRPr="00E24CAB">
        <w:rPr>
          <w:rFonts w:ascii="Times New Roman" w:eastAsia="Times New Roman" w:hAnsi="Times New Roman" w:cs="Times New Roman"/>
          <w:color w:val="000000"/>
          <w:lang w:eastAsia="pl-PL"/>
        </w:rPr>
        <w:t>Bobrownik</w:t>
      </w:r>
      <w:r w:rsidRPr="00E24CAB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B6FFE3C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2794DD1" w14:textId="28AEC970" w:rsidR="00F54970" w:rsidRPr="00B22F67" w:rsidRDefault="00F54970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</w:t>
      </w:r>
      <w:r w:rsidR="00A62CE4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</w:p>
    <w:p w14:paraId="52AB14E1" w14:textId="5B3DDE46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2" w:name="z3"/>
      <w:bookmarkEnd w:id="2"/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Uchwała wchodzi w życie po upływie 14 dni od dnia ogłoszenia w Dzienniku Urzędowym </w:t>
      </w:r>
      <w:r w:rsidRPr="00E24CAB">
        <w:rPr>
          <w:rFonts w:ascii="Times New Roman" w:eastAsia="Times New Roman" w:hAnsi="Times New Roman" w:cs="Times New Roman"/>
          <w:color w:val="000000"/>
          <w:lang w:eastAsia="pl-PL"/>
        </w:rPr>
        <w:t xml:space="preserve">Województwa </w:t>
      </w:r>
      <w:r w:rsidR="00E24CAB" w:rsidRPr="00E24CAB">
        <w:rPr>
          <w:rFonts w:ascii="Times New Roman" w:eastAsia="Times New Roman" w:hAnsi="Times New Roman" w:cs="Times New Roman"/>
          <w:color w:val="000000"/>
          <w:lang w:eastAsia="pl-PL"/>
        </w:rPr>
        <w:t>Kujawsko-Pomorskiego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84CE04C" w14:textId="77777777" w:rsidR="00F54970" w:rsidRPr="00B22F67" w:rsidRDefault="00F54970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br w:type="page"/>
      </w:r>
      <w:r w:rsidRPr="00B22F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UZASADNIENIE</w:t>
      </w:r>
    </w:p>
    <w:p w14:paraId="08456DF3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A97A871" w14:textId="1B40CF76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Zasady oraz tryb przygotowywania, prowadzenia i oceny rewitalizacji określone zostały w Ustawie </w:t>
      </w:r>
      <w:r w:rsidR="00B32B5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o rewitalizacji z dnia 9 października 2015 r. Zg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od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nie z art. 3 ust. 1 ustawy przygotowanie, koordynowanie i tworzenie warunków do prowadzenia rewitalizacji, a także jej realizacja w zakresie właściwości stanowią zadania własne gminy.</w:t>
      </w:r>
    </w:p>
    <w:p w14:paraId="5725D47C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155864A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Rewitalizacja stanowi kompleksowy oraz skoordynowany proces zintegrowanych działań na rzecz lokalnej społeczności, przestrzeni i gospodarki. Proces ten, skoncentrowany terytorialnie, ma na celu wyprowadzenie ze stanu kryzysowego obszarów zdegradowanych oraz poprawę jakości życia mieszkańców. Jednym z kluczowych założeń rewitalizacji jest partycypacja społeczna zapewniająca aktywny udział interesariuszy rewitalizacji w procesie przygotowania, prowadzenia oraz oceny rewitalizacji. Podstawą działań interesariuszy jest gminny program rewitalizacji, który sporządzany jest dla obszarów zdegradowanych obejmujących obszary przewidziane do rewitalizacji.</w:t>
      </w:r>
    </w:p>
    <w:p w14:paraId="290DBEA5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F5779CA" w14:textId="4EF1546E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art. 8 ust. 1 Ustawy o rewitalizacji, rada </w:t>
      </w:r>
      <w:r w:rsidRPr="009108F3">
        <w:rPr>
          <w:rFonts w:ascii="Times New Roman" w:eastAsia="Times New Roman" w:hAnsi="Times New Roman" w:cs="Times New Roman"/>
          <w:color w:val="000000"/>
          <w:lang w:eastAsia="pl-PL"/>
        </w:rPr>
        <w:t>gminy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wyznacza w drodze uchwały obszar zdegradowany i obszar rewitalizacji, którego granice wyznacza się na załączonej mapie wykonanej </w:t>
      </w:r>
      <w:r w:rsidR="00B32B5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w skali co najmniej 1:5000. </w:t>
      </w:r>
    </w:p>
    <w:p w14:paraId="29E7F68D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2EA5398" w14:textId="1F746271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Dlatego też, działając na podstawie art. 8 ust. 1 Ustawy o </w:t>
      </w:r>
      <w:r w:rsidRPr="00133EE1">
        <w:rPr>
          <w:rFonts w:ascii="Times New Roman" w:eastAsia="Times New Roman" w:hAnsi="Times New Roman" w:cs="Times New Roman"/>
          <w:color w:val="000000"/>
          <w:lang w:eastAsia="pl-PL"/>
        </w:rPr>
        <w:t xml:space="preserve">rewitalizacji, Rada Miejska </w:t>
      </w:r>
      <w:r w:rsidR="00E24CAB">
        <w:rPr>
          <w:rFonts w:ascii="Times New Roman" w:eastAsia="Times New Roman" w:hAnsi="Times New Roman" w:cs="Times New Roman"/>
          <w:color w:val="000000"/>
          <w:lang w:eastAsia="pl-PL"/>
        </w:rPr>
        <w:t>Bobrownik</w:t>
      </w:r>
      <w:r w:rsidR="00133EE1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B32B5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w efekcie przeprowadzonych analiz, diagnoz oraz konsultacji społecznych, wyznacza obszar zdegradowany oraz obszar rewitalizacji.</w:t>
      </w:r>
    </w:p>
    <w:p w14:paraId="3295B5ED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471186B" w14:textId="7DDE24E4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Wyznaczenie obszaru zdegradowanego i obszaru rewitalizacji umożliwi opracowanie kompleksowego i zgodnego z ustawoda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stwem, Gminnego Programu </w:t>
      </w:r>
      <w:r w:rsidRPr="00E24CAB">
        <w:rPr>
          <w:rFonts w:ascii="Times New Roman" w:eastAsia="Times New Roman" w:hAnsi="Times New Roman" w:cs="Times New Roman"/>
          <w:color w:val="000000"/>
          <w:lang w:eastAsia="pl-PL"/>
        </w:rPr>
        <w:t xml:space="preserve">Rewitalizacji dla Gminy </w:t>
      </w:r>
      <w:r w:rsidR="00E24CAB" w:rsidRPr="00E24CAB">
        <w:rPr>
          <w:rFonts w:ascii="Times New Roman" w:eastAsia="Times New Roman" w:hAnsi="Times New Roman" w:cs="Times New Roman"/>
          <w:color w:val="000000"/>
          <w:lang w:eastAsia="pl-PL"/>
        </w:rPr>
        <w:t>Bobrowniki</w:t>
      </w:r>
      <w:r w:rsidRPr="00E24CAB">
        <w:rPr>
          <w:rFonts w:ascii="Times New Roman" w:eastAsia="Times New Roman" w:hAnsi="Times New Roman" w:cs="Times New Roman"/>
          <w:color w:val="000000"/>
          <w:lang w:eastAsia="pl-PL"/>
        </w:rPr>
        <w:t>, którego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treść, w tym przede wszystkim cele, kierunki i przedsięwzięcia rewitalizacyjne, a także system monitorowania i oceny programu, zapewni jego skuteczność i efektywność. Realizacja podstawowych i uzupełniających przedsięwzięć rewitalizacyjnych, przyczyni się do rozwiązania zdiagnozowanych zjawisk kryzysowych w sferze społecznej, a także związanych z nimi problemów występujących w sferze gospodarczej, środowiskowej, przestrzenno-funkcjonalnej i technicznej, co przełoży się w sposób bezpośredni na podniesienie jakości życia mieszkańców. </w:t>
      </w:r>
    </w:p>
    <w:p w14:paraId="71C29A1C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9F0AD3" w14:textId="0B999EF9" w:rsidR="00F54970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Niniejsza Uchwała w sprawie wyznaczenia obszaru zdegradowanego oraz obszaru rewitalizacji na </w:t>
      </w:r>
      <w:r w:rsidRPr="00E24CAB">
        <w:rPr>
          <w:rFonts w:ascii="Times New Roman" w:eastAsia="Times New Roman" w:hAnsi="Times New Roman" w:cs="Times New Roman"/>
          <w:color w:val="000000"/>
          <w:lang w:eastAsia="pl-PL"/>
        </w:rPr>
        <w:t xml:space="preserve">terenie Gminy </w:t>
      </w:r>
      <w:r w:rsidR="00E24CAB" w:rsidRPr="00E24CAB">
        <w:rPr>
          <w:rFonts w:ascii="Times New Roman" w:eastAsia="Times New Roman" w:hAnsi="Times New Roman" w:cs="Times New Roman"/>
          <w:color w:val="000000"/>
          <w:lang w:eastAsia="pl-PL"/>
        </w:rPr>
        <w:t>Bobrowni</w:t>
      </w:r>
      <w:r w:rsidR="00E24CAB">
        <w:rPr>
          <w:rFonts w:ascii="Times New Roman" w:eastAsia="Times New Roman" w:hAnsi="Times New Roman" w:cs="Times New Roman"/>
          <w:color w:val="000000"/>
          <w:lang w:eastAsia="pl-PL"/>
        </w:rPr>
        <w:t>ki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była poddana konsultacjom społecznym w dniach </w:t>
      </w:r>
      <w:r w:rsidRPr="00774FC5">
        <w:rPr>
          <w:rFonts w:ascii="Times New Roman" w:eastAsia="Times New Roman" w:hAnsi="Times New Roman" w:cs="Times New Roman"/>
          <w:color w:val="000000"/>
          <w:lang w:eastAsia="pl-PL"/>
        </w:rPr>
        <w:t>od</w:t>
      </w:r>
      <w:r w:rsidR="00B32B55">
        <w:rPr>
          <w:rFonts w:ascii="Times New Roman" w:eastAsia="Times New Roman" w:hAnsi="Times New Roman" w:cs="Times New Roman"/>
          <w:color w:val="000000"/>
          <w:lang w:eastAsia="pl-PL"/>
        </w:rPr>
        <w:t xml:space="preserve"> 29 sierpnia</w:t>
      </w:r>
      <w:r w:rsidRPr="00774FC5">
        <w:rPr>
          <w:rFonts w:ascii="Times New Roman" w:eastAsia="Times New Roman" w:hAnsi="Times New Roman" w:cs="Times New Roman"/>
          <w:color w:val="000000"/>
          <w:lang w:eastAsia="pl-PL"/>
        </w:rPr>
        <w:t xml:space="preserve"> do </w:t>
      </w:r>
      <w:r w:rsidR="00B32B55">
        <w:rPr>
          <w:rFonts w:ascii="Times New Roman" w:eastAsia="Times New Roman" w:hAnsi="Times New Roman" w:cs="Times New Roman"/>
          <w:color w:val="000000"/>
          <w:lang w:eastAsia="pl-PL"/>
        </w:rPr>
        <w:t>7 października 2024 roku,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które obejmowały formy: zbierania uwag w postaci papierowej i elektronicznej za pomocą formularza, ankiety on-line oraz </w:t>
      </w:r>
      <w:r w:rsidRPr="00E93A44">
        <w:rPr>
          <w:rFonts w:ascii="Times New Roman" w:eastAsia="Times New Roman" w:hAnsi="Times New Roman" w:cs="Times New Roman"/>
          <w:color w:val="000000"/>
          <w:lang w:eastAsia="pl-PL"/>
        </w:rPr>
        <w:t>spotkania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konsultacyjnego.</w:t>
      </w:r>
    </w:p>
    <w:p w14:paraId="0577D0BC" w14:textId="77777777" w:rsidR="00EF6DF1" w:rsidRDefault="00EF6DF1"/>
    <w:sectPr w:rsidR="00EF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70"/>
    <w:rsid w:val="0003098F"/>
    <w:rsid w:val="000B0B52"/>
    <w:rsid w:val="001156A5"/>
    <w:rsid w:val="00133EE1"/>
    <w:rsid w:val="00256A4F"/>
    <w:rsid w:val="002D60B6"/>
    <w:rsid w:val="0048782F"/>
    <w:rsid w:val="00736E27"/>
    <w:rsid w:val="0074438D"/>
    <w:rsid w:val="00774FC5"/>
    <w:rsid w:val="009108F3"/>
    <w:rsid w:val="009A2FFC"/>
    <w:rsid w:val="009B1BC1"/>
    <w:rsid w:val="00A62CE4"/>
    <w:rsid w:val="00B32B55"/>
    <w:rsid w:val="00C61407"/>
    <w:rsid w:val="00D5665F"/>
    <w:rsid w:val="00DB600F"/>
    <w:rsid w:val="00E1112C"/>
    <w:rsid w:val="00E24CAB"/>
    <w:rsid w:val="00EF6DF1"/>
    <w:rsid w:val="00F54970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9ABE"/>
  <w15:chartTrackingRefBased/>
  <w15:docId w15:val="{814B25C6-3B7C-4BC3-BDB6-96980F09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97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F5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97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9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98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650AD-70EC-487D-82AC-C193D924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Aleksander Orbach</cp:lastModifiedBy>
  <cp:revision>9</cp:revision>
  <dcterms:created xsi:type="dcterms:W3CDTF">2023-10-06T11:49:00Z</dcterms:created>
  <dcterms:modified xsi:type="dcterms:W3CDTF">2024-08-21T08:17:00Z</dcterms:modified>
</cp:coreProperties>
</file>