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2B6483" w:rsidRPr="005045DC" w14:paraId="0C7656ED" w14:textId="77777777" w:rsidTr="00650C22">
        <w:tc>
          <w:tcPr>
            <w:tcW w:w="9062" w:type="dxa"/>
            <w:gridSpan w:val="2"/>
          </w:tcPr>
          <w:p w14:paraId="755301BB" w14:textId="53E9113F" w:rsidR="00472B49" w:rsidRPr="00472B49" w:rsidRDefault="002B6483" w:rsidP="00472B4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="00365E4A" w:rsidRPr="005045DC">
              <w:rPr>
                <w:rFonts w:ascii="Calibri" w:hAnsi="Calibri" w:cs="Calibri"/>
                <w:b/>
                <w:bCs/>
                <w:sz w:val="18"/>
                <w:szCs w:val="18"/>
              </w:rPr>
              <w:t>LAUZULA INFORMACYJNA</w:t>
            </w:r>
            <w:r w:rsidR="00B30C35" w:rsidRPr="005045D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385BEC">
              <w:rPr>
                <w:rFonts w:ascii="Calibri" w:hAnsi="Calibri" w:cs="Calibri"/>
                <w:b/>
                <w:bCs/>
                <w:sz w:val="18"/>
                <w:szCs w:val="18"/>
              </w:rPr>
              <w:t>K13</w:t>
            </w:r>
            <w:r w:rsidR="0046492B" w:rsidRPr="005045DC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r w:rsidR="0056058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55EB3" w:rsidRPr="005045DC">
              <w:rPr>
                <w:rFonts w:ascii="Calibri" w:hAnsi="Calibri" w:cs="Calibri"/>
                <w:b/>
                <w:bCs/>
                <w:sz w:val="18"/>
                <w:szCs w:val="18"/>
              </w:rPr>
              <w:t>ZATRUDNI</w:t>
            </w:r>
            <w:r w:rsidR="00E313E7"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 w:rsidR="0056058F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  <w:r w:rsidR="00255EB3" w:rsidRPr="005045D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KODEKS PRACY</w:t>
            </w:r>
          </w:p>
        </w:tc>
      </w:tr>
      <w:tr w:rsidR="00007423" w:rsidRPr="005045DC" w14:paraId="5232723B" w14:textId="77777777" w:rsidTr="00AD35B8">
        <w:tc>
          <w:tcPr>
            <w:tcW w:w="1918" w:type="dxa"/>
          </w:tcPr>
          <w:p w14:paraId="32F17C78" w14:textId="4377C5BE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7540CE2C" w14:textId="1ABF44D8" w:rsidR="00007423" w:rsidRPr="00B60F73" w:rsidRDefault="00007423" w:rsidP="000074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60F73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r w:rsidR="00B60F73" w:rsidRPr="00B60F73">
              <w:rPr>
                <w:rFonts w:ascii="Calibri" w:eastAsia="Calibri" w:hAnsi="Calibri" w:cs="Calibri"/>
                <w:sz w:val="18"/>
                <w:szCs w:val="18"/>
              </w:rPr>
              <w:t xml:space="preserve">jest Urząd Miasta i Gminy w Białej Rawskiej </w:t>
            </w:r>
            <w:r w:rsidR="00B60F73" w:rsidRPr="00B60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ul. Jana Pawła II 57,</w:t>
            </w:r>
            <w:r w:rsidR="00B60F73" w:rsidRPr="00B60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B60F73" w:rsidRPr="00B60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96-230 Biała Rawska</w:t>
            </w:r>
            <w:r w:rsidR="00B60F73" w:rsidRPr="00B60F7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60F73" w:rsidRPr="00B60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kontakt z Administratorem: korespondencyjny na adres administratora ul. Jana Pawła II 57,96-230 Biała Rawska, telefoniczny pod numer (46) 815-93-77 lub elektronicznie na adres poczty e-mail: umig@bialarawska.pl</w:t>
            </w:r>
            <w:r w:rsidRPr="00B60F7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reprezentowany/ej/ego przez </w:t>
            </w:r>
            <w:r w:rsidR="00B60F73" w:rsidRPr="00B60F73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Burmistrza Białej Rawskiej </w:t>
            </w:r>
          </w:p>
        </w:tc>
      </w:tr>
      <w:tr w:rsidR="00007423" w:rsidRPr="005045DC" w14:paraId="092E3762" w14:textId="77777777" w:rsidTr="00AD35B8">
        <w:tc>
          <w:tcPr>
            <w:tcW w:w="1918" w:type="dxa"/>
          </w:tcPr>
          <w:p w14:paraId="74553233" w14:textId="47F294E6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0373B688" w14:textId="6A93FFFD" w:rsidR="00007423" w:rsidRPr="00007423" w:rsidRDefault="00007423" w:rsidP="000074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="00B60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Magdalena Kuszmider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8" w:history="1">
              <w:r w:rsidR="00B60F73" w:rsidRPr="005D6F91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Pr="00365E4A">
              <w:rPr>
                <w:rFonts w:ascii="Calibri" w:eastAsia="Calibri" w:hAnsi="Calibri" w:cs="Calibri"/>
                <w:sz w:val="18"/>
                <w:szCs w:val="18"/>
              </w:rPr>
              <w:t>, numerem tel.: 607770718</w:t>
            </w:r>
            <w:r w:rsidRPr="00365E4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007423" w:rsidRPr="005045DC" w14:paraId="69FD962E" w14:textId="77777777" w:rsidTr="00AD35B8">
        <w:tc>
          <w:tcPr>
            <w:tcW w:w="1918" w:type="dxa"/>
          </w:tcPr>
          <w:p w14:paraId="4D0F5203" w14:textId="050932F7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5FCA2BC2" w14:textId="378FB161" w:rsidR="00007423" w:rsidRPr="00727276" w:rsidRDefault="00007423" w:rsidP="00007423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Państwa dane osobowe przetwarzane</w:t>
            </w:r>
            <w:r w:rsid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są</w:t>
            </w:r>
            <w:r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w celach związanych z zatrudnieniem na podstawie</w:t>
            </w:r>
            <w:r w:rsid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6 ust 1 lit b RODO, kiedy </w:t>
            </w:r>
            <w:hyperlink r:id="rId9" w:history="1">
              <w:r w:rsidRPr="005045DC">
                <w:rPr>
                  <w:rStyle w:val="Hipercze"/>
                  <w:rFonts w:ascii="Calibri" w:eastAsia="NSimSun" w:hAnsi="Calibri" w:cs="Calibri"/>
                  <w:color w:val="auto"/>
                  <w:kern w:val="3"/>
                  <w:sz w:val="18"/>
                  <w:szCs w:val="18"/>
                  <w:u w:val="none"/>
                  <w:lang w:eastAsia="zh-CN" w:bidi="hi-IN"/>
                </w:rPr>
                <w:t>przetwarzanie</w:t>
              </w:r>
            </w:hyperlink>
            <w:r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jest niezbędne do wykonania umowy, której stroną jest osoba, której dane dotyczą, lub do podjęcia działań na żądanie osoby, której dane dotyczą, przed zawarciem umowy</w:t>
            </w:r>
            <w:r w:rsidR="00727276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, dalej </w:t>
            </w:r>
            <w:r w:rsid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Państwa dane osobowe przetwarzane są </w:t>
            </w:r>
            <w:r w:rsidR="00727276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na podstawie </w:t>
            </w:r>
            <w:r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art. 6 ust 1 lit c RODO, kiedy przetwarzanie jest niezbędne do wypełnienia obowiązku prawnego ciążącego na administratorze</w:t>
            </w:r>
            <w:r w:rsidR="001C1BE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,</w:t>
            </w:r>
            <w:r w:rsid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1C1BE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na podstawie </w:t>
            </w:r>
            <w:r w:rsidR="001C1BE9"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b RODO kiedy </w:t>
            </w:r>
            <w:hyperlink r:id="rId10" w:history="1">
              <w:r w:rsidR="001C1BE9" w:rsidRPr="005045DC">
                <w:rPr>
                  <w:rStyle w:val="Hipercze"/>
                  <w:rFonts w:ascii="Calibri" w:eastAsia="NSimSun" w:hAnsi="Calibri" w:cs="Calibri"/>
                  <w:color w:val="auto"/>
                  <w:kern w:val="3"/>
                  <w:sz w:val="18"/>
                  <w:szCs w:val="18"/>
                  <w:u w:val="none"/>
                  <w:lang w:eastAsia="zh-CN" w:bidi="hi-IN"/>
                </w:rPr>
                <w:t>przetwarzanie</w:t>
              </w:r>
            </w:hyperlink>
            <w:r w:rsidR="001C1BE9"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jest niezbędne do wypełnienia obowiązków i wykonywania szczególnych praw przez</w:t>
            </w:r>
            <w:hyperlink r:id="rId11" w:history="1">
              <w:r w:rsidR="001C1BE9" w:rsidRPr="005045DC">
                <w:rPr>
                  <w:rStyle w:val="Hipercze"/>
                  <w:rFonts w:ascii="Calibri" w:eastAsia="NSimSun" w:hAnsi="Calibri" w:cs="Calibri"/>
                  <w:color w:val="auto"/>
                  <w:kern w:val="3"/>
                  <w:sz w:val="18"/>
                  <w:szCs w:val="18"/>
                  <w:u w:val="none"/>
                  <w:lang w:eastAsia="zh-CN" w:bidi="hi-IN"/>
                </w:rPr>
                <w:t xml:space="preserve"> administratora</w:t>
              </w:r>
            </w:hyperlink>
            <w:r w:rsidR="001C1BE9"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lub osobę, której dane dotyczą, w dziedzinie prawa pracy, zabezpieczenia społecznego i ochrony socjalnej</w:t>
            </w:r>
            <w:r w:rsidR="001C1BE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oraz na podstawie </w:t>
            </w:r>
            <w:r w:rsidR="001C1BE9"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art. 9 ust 2 lit h RODO, kiedy przetwarzanie jest niezbędne do celów profilaktyki zdrowotnej lub medycyny pracy</w:t>
            </w:r>
            <w:r w:rsidR="001C1BE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w związku z wykonywaniem obowiązków pracodawcy w obszarze </w:t>
            </w:r>
            <w:r w:rsidR="0056058F" w:rsidRP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prawa pracy,</w:t>
            </w:r>
            <w:r w:rsidR="001C1BE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56058F" w:rsidRP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przepisów o ubezpieczeniu społecznym, ubezpieczeniu zdrowotnym, podatkach,</w:t>
            </w:r>
            <w:r w:rsid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56058F" w:rsidRP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wypadkach przy pracy, zakładowym funduszu świadczeń socjalnych, rachunkowości</w:t>
            </w:r>
            <w:r w:rsidR="001C1BE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czy</w:t>
            </w:r>
            <w:r w:rsid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56058F" w:rsidRPr="0056058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powszechnym obowiązku obrony</w:t>
            </w:r>
            <w:r w:rsidR="001C1BE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1C1BE9"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w szczególności </w:t>
            </w:r>
            <w:r w:rsidR="001C1BE9" w:rsidRPr="005045DC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w </w:t>
            </w:r>
            <w:r w:rsidR="001C1BE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1C1BE9" w:rsidRPr="005045DC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związku z Ustawą z dnia 26 czerwca 1974 r. Kodeks pracy</w:t>
            </w:r>
            <w:r w:rsidR="001C1BE9" w:rsidRPr="005045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1BE9">
              <w:rPr>
                <w:rFonts w:ascii="Calibri" w:hAnsi="Calibri" w:cs="Calibri"/>
                <w:sz w:val="18"/>
                <w:szCs w:val="18"/>
              </w:rPr>
              <w:t xml:space="preserve">i </w:t>
            </w:r>
            <w:r w:rsidR="001C1BE9" w:rsidRPr="005045DC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aktami wykonawczymi oraz innymi ustawami regulującymi kwestie ubezpieczeń społecznych, ustalenia zdolności do pracy oraz kwestie podatkowe</w:t>
            </w:r>
            <w:r w:rsidR="001C1BE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. Państwa dane osobowe przetwarzane są na podstawie </w:t>
            </w:r>
            <w:r w:rsidRPr="005045DC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6 ust 1 lit f RODO, kiedy przetwarzanie jest niezbędne do celów wynikających z prawnie uzasadnionych interesów realizowanych przez administratora lub stronę trzecią </w:t>
            </w:r>
            <w:r w:rsidRPr="005045DC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w związku z dochodzeniem/obroną roszczeń</w:t>
            </w:r>
            <w:r w:rsidR="001C1BE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. W pozostałych przypadkach otrzymają Państwo stosowne klauzule informacyjne.</w:t>
            </w:r>
          </w:p>
        </w:tc>
      </w:tr>
      <w:tr w:rsidR="00007423" w:rsidRPr="005045DC" w14:paraId="7AF4A994" w14:textId="77777777" w:rsidTr="00AD35B8">
        <w:tc>
          <w:tcPr>
            <w:tcW w:w="1918" w:type="dxa"/>
          </w:tcPr>
          <w:p w14:paraId="40774158" w14:textId="7B31FECD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1F0F7AE2" w14:textId="77777777" w:rsidR="00007423" w:rsidRPr="00B60F73" w:rsidRDefault="00007423" w:rsidP="00007423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60F73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0A6A3810" w14:textId="57AFC604" w:rsidR="00007423" w:rsidRPr="00B60F73" w:rsidRDefault="00007423" w:rsidP="00007423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60F73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księgowe w zakresie prowadzenia spraw rachunkowych, doradcze w zakresie pozyskiwania środków finansowych oraz prowadzenia projektów, organizacji wydarzeń kulturalnych, promowania oraz organizacji konkursów; rekrutacji w zakresie pozyskiwania kandydatów do pracy,</w:t>
            </w:r>
          </w:p>
          <w:p w14:paraId="3A12B69E" w14:textId="2865809F" w:rsidR="00007423" w:rsidRPr="00B60F73" w:rsidRDefault="00007423" w:rsidP="00007423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60F73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007423" w:rsidRPr="005045DC" w14:paraId="2A9D498E" w14:textId="77777777" w:rsidTr="00AD35B8">
        <w:tc>
          <w:tcPr>
            <w:tcW w:w="1918" w:type="dxa"/>
          </w:tcPr>
          <w:p w14:paraId="171A9F55" w14:textId="30DB095B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4B8A3132" w14:textId="2A7E5E23" w:rsidR="00007423" w:rsidRPr="005045DC" w:rsidRDefault="00007423" w:rsidP="00007423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0F8E2DA0" w14:textId="77777777" w:rsidR="00007423" w:rsidRPr="005045DC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C78FA29" w14:textId="77777777" w:rsidR="00007423" w:rsidRPr="005045DC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1813EA60" w14:textId="5A9EE561" w:rsidR="00007423" w:rsidRPr="005045DC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37F7C3F0" w14:textId="77777777" w:rsidR="00007423" w:rsidRPr="005045DC" w:rsidRDefault="00007423" w:rsidP="00007423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5F8F33A5" w14:textId="4C552ED1" w:rsidR="00007423" w:rsidRPr="005045DC" w:rsidRDefault="00007423" w:rsidP="00007423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045DC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04583BA9" w14:textId="0283AD14" w:rsidR="00007423" w:rsidRPr="005045DC" w:rsidRDefault="00007423" w:rsidP="00007423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5909B8B5" w14:textId="77777777" w:rsidR="00007423" w:rsidRPr="005045DC" w:rsidRDefault="00007423" w:rsidP="00007423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76D68353" w14:textId="0D73E0E7" w:rsidR="00007423" w:rsidRPr="005045DC" w:rsidRDefault="00007423" w:rsidP="00007423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735F506D" w14:textId="68B6B36F" w:rsidR="00007423" w:rsidRPr="005045DC" w:rsidRDefault="00007423" w:rsidP="00007423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007423" w:rsidRPr="005045DC" w14:paraId="70DBCAAD" w14:textId="77777777" w:rsidTr="00AD35B8">
        <w:tc>
          <w:tcPr>
            <w:tcW w:w="1918" w:type="dxa"/>
          </w:tcPr>
          <w:p w14:paraId="3119700A" w14:textId="44CC191C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</w:tcPr>
          <w:p w14:paraId="37EBEC7A" w14:textId="5DF55145" w:rsidR="00007423" w:rsidRPr="005045DC" w:rsidRDefault="00007423" w:rsidP="000074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Zgodnie z art. 77 RODO przysługuje Państwu prawo wniesienia skargi do organu nadzorczego (PUODO) jeżeli uważają Państwo, że przetwarzanie danych narusza obowiązujące przepisy.  </w:t>
            </w:r>
          </w:p>
        </w:tc>
      </w:tr>
      <w:tr w:rsidR="00007423" w:rsidRPr="005045DC" w14:paraId="1E46F161" w14:textId="77777777" w:rsidTr="00AD35B8">
        <w:tc>
          <w:tcPr>
            <w:tcW w:w="1918" w:type="dxa"/>
          </w:tcPr>
          <w:p w14:paraId="5EC48266" w14:textId="0EDE2954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14:paraId="33CB6DFA" w14:textId="7CD554F2" w:rsidR="00007423" w:rsidRPr="005045DC" w:rsidRDefault="00007423" w:rsidP="000074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007423" w:rsidRPr="005045DC" w14:paraId="20195143" w14:textId="77777777" w:rsidTr="00AD35B8">
        <w:tc>
          <w:tcPr>
            <w:tcW w:w="1918" w:type="dxa"/>
          </w:tcPr>
          <w:p w14:paraId="7161BA94" w14:textId="7BE42D31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 xml:space="preserve">OKRES ARCHIWIZACJI </w:t>
            </w:r>
          </w:p>
        </w:tc>
        <w:tc>
          <w:tcPr>
            <w:tcW w:w="7144" w:type="dxa"/>
          </w:tcPr>
          <w:p w14:paraId="4D3FB541" w14:textId="202B5286" w:rsidR="00007423" w:rsidRPr="0018256E" w:rsidRDefault="00007423" w:rsidP="0000742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8256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18256E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a</w:t>
            </w:r>
            <w:r w:rsidRPr="0018256E">
              <w:rPr>
                <w:rFonts w:ascii="Calibri" w:hAnsi="Calibri" w:cs="Calibri"/>
                <w:color w:val="000000"/>
                <w:kern w:val="0"/>
                <w:sz w:val="18"/>
                <w:szCs w:val="18"/>
              </w:rPr>
              <w:t>kt osobowych pracowników oraz dokumentacji w sprawach związanych ze stosunkiem pracy jak również dokumentacji powypadkowej przechowywana będzie 10 lat. Dokumentacja księgowo-rachunkowa oraz podatkowa przechowywana będzie 5 lat. Okres przechowywania danych osobowych przetwarzanych w celu rozpatrywania i dochodzenia ewentualnych roszczeń uzależniony jest od czasu ich wystąpienia oraz wyjaśnienia.</w:t>
            </w:r>
            <w:r w:rsidRPr="001825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270A9" w:rsidRPr="009270A9">
              <w:rPr>
                <w:rFonts w:ascii="Calibri" w:hAnsi="Calibri" w:cs="Calibri"/>
                <w:sz w:val="18"/>
                <w:szCs w:val="18"/>
              </w:rPr>
              <w:t>Kryteriami ustalania okresu archiwizacji w przypadku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007423" w:rsidRPr="005045DC" w14:paraId="1C95E887" w14:textId="77777777" w:rsidTr="00AD35B8">
        <w:tc>
          <w:tcPr>
            <w:tcW w:w="1918" w:type="dxa"/>
          </w:tcPr>
          <w:p w14:paraId="1E677FD4" w14:textId="7BA69B0C" w:rsidR="00007423" w:rsidRPr="005045DC" w:rsidRDefault="00007423" w:rsidP="0000742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039F97F9" w14:textId="77C6590F" w:rsidR="00007423" w:rsidRPr="005045DC" w:rsidRDefault="00007423" w:rsidP="000074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wymogiem ustawowym i warunkiem zawarcia umowy i jest dobrowolne, ale niezbędne do realizacji celu.</w:t>
            </w:r>
          </w:p>
        </w:tc>
      </w:tr>
      <w:tr w:rsidR="00007423" w:rsidRPr="005045DC" w14:paraId="56ECBFAF" w14:textId="77777777" w:rsidTr="00AD35B8">
        <w:tc>
          <w:tcPr>
            <w:tcW w:w="1918" w:type="dxa"/>
          </w:tcPr>
          <w:p w14:paraId="125A2BDD" w14:textId="2340F616" w:rsidR="00007423" w:rsidRPr="005045DC" w:rsidRDefault="00007423" w:rsidP="0000742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28516DC4" w14:textId="43EC5E95" w:rsidR="00007423" w:rsidRPr="005045DC" w:rsidRDefault="00007423" w:rsidP="0000742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664E256A" w14:textId="77777777" w:rsidR="003A2777" w:rsidRPr="002B6483" w:rsidRDefault="003A2777" w:rsidP="002B6483">
      <w:pPr>
        <w:rPr>
          <w:rFonts w:ascii="Calibri" w:hAnsi="Calibri" w:cs="Calibri"/>
        </w:rPr>
      </w:pPr>
    </w:p>
    <w:sectPr w:rsidR="003A2777" w:rsidRPr="002B6483" w:rsidSect="002B6483">
      <w:type w:val="continuous"/>
      <w:pgSz w:w="11906" w:h="16838"/>
      <w:pgMar w:top="1417" w:right="1417" w:bottom="1417" w:left="1417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70DC" w14:textId="77777777" w:rsidR="007360FF" w:rsidRDefault="007360FF" w:rsidP="002B6483">
      <w:pPr>
        <w:spacing w:after="0" w:line="240" w:lineRule="auto"/>
      </w:pPr>
      <w:r>
        <w:separator/>
      </w:r>
    </w:p>
  </w:endnote>
  <w:endnote w:type="continuationSeparator" w:id="0">
    <w:p w14:paraId="6358538B" w14:textId="77777777" w:rsidR="007360FF" w:rsidRDefault="007360FF" w:rsidP="002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5217" w14:textId="77777777" w:rsidR="007360FF" w:rsidRDefault="007360FF" w:rsidP="002B6483">
      <w:pPr>
        <w:spacing w:after="0" w:line="240" w:lineRule="auto"/>
      </w:pPr>
      <w:r>
        <w:separator/>
      </w:r>
    </w:p>
  </w:footnote>
  <w:footnote w:type="continuationSeparator" w:id="0">
    <w:p w14:paraId="106669D4" w14:textId="77777777" w:rsidR="007360FF" w:rsidRDefault="007360FF" w:rsidP="002B6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1EC"/>
    <w:multiLevelType w:val="hybridMultilevel"/>
    <w:tmpl w:val="D136C4F0"/>
    <w:lvl w:ilvl="0" w:tplc="B08A2972">
      <w:start w:val="1"/>
      <w:numFmt w:val="decimal"/>
      <w:lvlText w:val="%1."/>
      <w:lvlJc w:val="left"/>
      <w:pPr>
        <w:ind w:left="0" w:hanging="360"/>
      </w:pPr>
    </w:lvl>
    <w:lvl w:ilvl="1" w:tplc="795AEE40">
      <w:start w:val="1"/>
      <w:numFmt w:val="decimal"/>
      <w:lvlText w:val="%2."/>
      <w:lvlJc w:val="left"/>
      <w:pPr>
        <w:ind w:left="0" w:hanging="360"/>
      </w:pPr>
    </w:lvl>
    <w:lvl w:ilvl="2" w:tplc="95B6DF24">
      <w:start w:val="1"/>
      <w:numFmt w:val="decimal"/>
      <w:lvlText w:val="%3."/>
      <w:lvlJc w:val="left"/>
      <w:pPr>
        <w:ind w:left="0" w:hanging="360"/>
      </w:pPr>
    </w:lvl>
    <w:lvl w:ilvl="3" w:tplc="E618E6A4">
      <w:start w:val="1"/>
      <w:numFmt w:val="decimal"/>
      <w:lvlText w:val="%4."/>
      <w:lvlJc w:val="left"/>
      <w:pPr>
        <w:ind w:left="0" w:hanging="360"/>
      </w:pPr>
    </w:lvl>
    <w:lvl w:ilvl="4" w:tplc="AC1C2BA8">
      <w:start w:val="1"/>
      <w:numFmt w:val="decimal"/>
      <w:lvlText w:val="%5."/>
      <w:lvlJc w:val="left"/>
      <w:pPr>
        <w:ind w:left="0" w:hanging="360"/>
      </w:pPr>
    </w:lvl>
    <w:lvl w:ilvl="5" w:tplc="0FA20DDE">
      <w:start w:val="1"/>
      <w:numFmt w:val="decimal"/>
      <w:lvlText w:val="%6."/>
      <w:lvlJc w:val="left"/>
      <w:pPr>
        <w:ind w:left="0" w:hanging="360"/>
      </w:pPr>
    </w:lvl>
    <w:lvl w:ilvl="6" w:tplc="5D8E9A06">
      <w:start w:val="1"/>
      <w:numFmt w:val="decimal"/>
      <w:lvlText w:val="%7."/>
      <w:lvlJc w:val="left"/>
      <w:pPr>
        <w:ind w:left="0" w:hanging="360"/>
      </w:pPr>
    </w:lvl>
    <w:lvl w:ilvl="7" w:tplc="4C969AC8">
      <w:start w:val="1"/>
      <w:numFmt w:val="decimal"/>
      <w:lvlText w:val="%8."/>
      <w:lvlJc w:val="left"/>
      <w:pPr>
        <w:ind w:left="0" w:hanging="360"/>
      </w:pPr>
    </w:lvl>
    <w:lvl w:ilvl="8" w:tplc="53E01122">
      <w:start w:val="1"/>
      <w:numFmt w:val="decimal"/>
      <w:lvlText w:val="%9."/>
      <w:lvlJc w:val="left"/>
      <w:pPr>
        <w:ind w:left="0" w:hanging="360"/>
      </w:pPr>
    </w:lvl>
  </w:abstractNum>
  <w:abstractNum w:abstractNumId="1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E4785"/>
    <w:multiLevelType w:val="hybridMultilevel"/>
    <w:tmpl w:val="18502CD0"/>
    <w:lvl w:ilvl="0" w:tplc="8B607B62">
      <w:start w:val="1"/>
      <w:numFmt w:val="decimal"/>
      <w:lvlText w:val="%1."/>
      <w:lvlJc w:val="left"/>
      <w:pPr>
        <w:ind w:left="720" w:hanging="360"/>
      </w:pPr>
    </w:lvl>
    <w:lvl w:ilvl="1" w:tplc="042C6B94">
      <w:start w:val="1"/>
      <w:numFmt w:val="decimal"/>
      <w:lvlText w:val="%2."/>
      <w:lvlJc w:val="left"/>
      <w:pPr>
        <w:ind w:left="720" w:hanging="360"/>
      </w:pPr>
    </w:lvl>
    <w:lvl w:ilvl="2" w:tplc="807CA866">
      <w:start w:val="1"/>
      <w:numFmt w:val="decimal"/>
      <w:lvlText w:val="%3."/>
      <w:lvlJc w:val="left"/>
      <w:pPr>
        <w:ind w:left="720" w:hanging="360"/>
      </w:pPr>
    </w:lvl>
    <w:lvl w:ilvl="3" w:tplc="D8141BA2">
      <w:start w:val="1"/>
      <w:numFmt w:val="decimal"/>
      <w:lvlText w:val="%4."/>
      <w:lvlJc w:val="left"/>
      <w:pPr>
        <w:ind w:left="720" w:hanging="360"/>
      </w:pPr>
    </w:lvl>
    <w:lvl w:ilvl="4" w:tplc="74100402">
      <w:start w:val="1"/>
      <w:numFmt w:val="decimal"/>
      <w:lvlText w:val="%5."/>
      <w:lvlJc w:val="left"/>
      <w:pPr>
        <w:ind w:left="720" w:hanging="360"/>
      </w:pPr>
    </w:lvl>
    <w:lvl w:ilvl="5" w:tplc="35D0F2E2">
      <w:start w:val="1"/>
      <w:numFmt w:val="decimal"/>
      <w:lvlText w:val="%6."/>
      <w:lvlJc w:val="left"/>
      <w:pPr>
        <w:ind w:left="720" w:hanging="360"/>
      </w:pPr>
    </w:lvl>
    <w:lvl w:ilvl="6" w:tplc="77B8432C">
      <w:start w:val="1"/>
      <w:numFmt w:val="decimal"/>
      <w:lvlText w:val="%7."/>
      <w:lvlJc w:val="left"/>
      <w:pPr>
        <w:ind w:left="720" w:hanging="360"/>
      </w:pPr>
    </w:lvl>
    <w:lvl w:ilvl="7" w:tplc="7FFC701A">
      <w:start w:val="1"/>
      <w:numFmt w:val="decimal"/>
      <w:lvlText w:val="%8."/>
      <w:lvlJc w:val="left"/>
      <w:pPr>
        <w:ind w:left="720" w:hanging="360"/>
      </w:pPr>
    </w:lvl>
    <w:lvl w:ilvl="8" w:tplc="3754094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4710F"/>
    <w:multiLevelType w:val="hybridMultilevel"/>
    <w:tmpl w:val="5644088A"/>
    <w:lvl w:ilvl="0" w:tplc="E7F4F950">
      <w:start w:val="1"/>
      <w:numFmt w:val="decimal"/>
      <w:lvlText w:val="%1."/>
      <w:lvlJc w:val="left"/>
      <w:pPr>
        <w:ind w:left="720" w:hanging="360"/>
      </w:pPr>
    </w:lvl>
    <w:lvl w:ilvl="1" w:tplc="31FA9A20">
      <w:start w:val="1"/>
      <w:numFmt w:val="decimal"/>
      <w:lvlText w:val="%2."/>
      <w:lvlJc w:val="left"/>
      <w:pPr>
        <w:ind w:left="720" w:hanging="360"/>
      </w:pPr>
    </w:lvl>
    <w:lvl w:ilvl="2" w:tplc="6D0854F6">
      <w:start w:val="1"/>
      <w:numFmt w:val="decimal"/>
      <w:lvlText w:val="%3."/>
      <w:lvlJc w:val="left"/>
      <w:pPr>
        <w:ind w:left="720" w:hanging="360"/>
      </w:pPr>
    </w:lvl>
    <w:lvl w:ilvl="3" w:tplc="C4EAEC0C">
      <w:start w:val="1"/>
      <w:numFmt w:val="decimal"/>
      <w:lvlText w:val="%4."/>
      <w:lvlJc w:val="left"/>
      <w:pPr>
        <w:ind w:left="720" w:hanging="360"/>
      </w:pPr>
    </w:lvl>
    <w:lvl w:ilvl="4" w:tplc="1180DED0">
      <w:start w:val="1"/>
      <w:numFmt w:val="decimal"/>
      <w:lvlText w:val="%5."/>
      <w:lvlJc w:val="left"/>
      <w:pPr>
        <w:ind w:left="720" w:hanging="360"/>
      </w:pPr>
    </w:lvl>
    <w:lvl w:ilvl="5" w:tplc="5FA22FB0">
      <w:start w:val="1"/>
      <w:numFmt w:val="decimal"/>
      <w:lvlText w:val="%6."/>
      <w:lvlJc w:val="left"/>
      <w:pPr>
        <w:ind w:left="720" w:hanging="360"/>
      </w:pPr>
    </w:lvl>
    <w:lvl w:ilvl="6" w:tplc="CC1E437C">
      <w:start w:val="1"/>
      <w:numFmt w:val="decimal"/>
      <w:lvlText w:val="%7."/>
      <w:lvlJc w:val="left"/>
      <w:pPr>
        <w:ind w:left="720" w:hanging="360"/>
      </w:pPr>
    </w:lvl>
    <w:lvl w:ilvl="7" w:tplc="442C9DDC">
      <w:start w:val="1"/>
      <w:numFmt w:val="decimal"/>
      <w:lvlText w:val="%8."/>
      <w:lvlJc w:val="left"/>
      <w:pPr>
        <w:ind w:left="720" w:hanging="360"/>
      </w:pPr>
    </w:lvl>
    <w:lvl w:ilvl="8" w:tplc="8F82DAB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28C84187"/>
    <w:multiLevelType w:val="hybridMultilevel"/>
    <w:tmpl w:val="3C145EE2"/>
    <w:lvl w:ilvl="0" w:tplc="6D5832BC">
      <w:start w:val="1"/>
      <w:numFmt w:val="decimal"/>
      <w:lvlText w:val="%1."/>
      <w:lvlJc w:val="left"/>
      <w:pPr>
        <w:ind w:left="720" w:hanging="360"/>
      </w:pPr>
    </w:lvl>
    <w:lvl w:ilvl="1" w:tplc="B94A0602">
      <w:start w:val="1"/>
      <w:numFmt w:val="decimal"/>
      <w:lvlText w:val="%2."/>
      <w:lvlJc w:val="left"/>
      <w:pPr>
        <w:ind w:left="720" w:hanging="360"/>
      </w:pPr>
    </w:lvl>
    <w:lvl w:ilvl="2" w:tplc="C9AA1B38">
      <w:start w:val="1"/>
      <w:numFmt w:val="decimal"/>
      <w:lvlText w:val="%3."/>
      <w:lvlJc w:val="left"/>
      <w:pPr>
        <w:ind w:left="720" w:hanging="360"/>
      </w:pPr>
    </w:lvl>
    <w:lvl w:ilvl="3" w:tplc="85EACD8C">
      <w:start w:val="1"/>
      <w:numFmt w:val="decimal"/>
      <w:lvlText w:val="%4."/>
      <w:lvlJc w:val="left"/>
      <w:pPr>
        <w:ind w:left="720" w:hanging="360"/>
      </w:pPr>
    </w:lvl>
    <w:lvl w:ilvl="4" w:tplc="0A8843AC">
      <w:start w:val="1"/>
      <w:numFmt w:val="decimal"/>
      <w:lvlText w:val="%5."/>
      <w:lvlJc w:val="left"/>
      <w:pPr>
        <w:ind w:left="720" w:hanging="360"/>
      </w:pPr>
    </w:lvl>
    <w:lvl w:ilvl="5" w:tplc="787ED734">
      <w:start w:val="1"/>
      <w:numFmt w:val="decimal"/>
      <w:lvlText w:val="%6."/>
      <w:lvlJc w:val="left"/>
      <w:pPr>
        <w:ind w:left="720" w:hanging="360"/>
      </w:pPr>
    </w:lvl>
    <w:lvl w:ilvl="6" w:tplc="68CCEE26">
      <w:start w:val="1"/>
      <w:numFmt w:val="decimal"/>
      <w:lvlText w:val="%7."/>
      <w:lvlJc w:val="left"/>
      <w:pPr>
        <w:ind w:left="720" w:hanging="360"/>
      </w:pPr>
    </w:lvl>
    <w:lvl w:ilvl="7" w:tplc="ECFE7778">
      <w:start w:val="1"/>
      <w:numFmt w:val="decimal"/>
      <w:lvlText w:val="%8."/>
      <w:lvlJc w:val="left"/>
      <w:pPr>
        <w:ind w:left="720" w:hanging="360"/>
      </w:pPr>
    </w:lvl>
    <w:lvl w:ilvl="8" w:tplc="930E2BBE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ADE3C35"/>
    <w:multiLevelType w:val="hybridMultilevel"/>
    <w:tmpl w:val="1CA40EE0"/>
    <w:lvl w:ilvl="0" w:tplc="F8EC04DE">
      <w:start w:val="1"/>
      <w:numFmt w:val="decimal"/>
      <w:lvlText w:val="%1."/>
      <w:lvlJc w:val="left"/>
      <w:pPr>
        <w:ind w:left="720" w:hanging="360"/>
      </w:pPr>
    </w:lvl>
    <w:lvl w:ilvl="1" w:tplc="06CC39B0">
      <w:start w:val="1"/>
      <w:numFmt w:val="decimal"/>
      <w:lvlText w:val="%2."/>
      <w:lvlJc w:val="left"/>
      <w:pPr>
        <w:ind w:left="720" w:hanging="360"/>
      </w:pPr>
    </w:lvl>
    <w:lvl w:ilvl="2" w:tplc="5CC8FB2E">
      <w:start w:val="1"/>
      <w:numFmt w:val="decimal"/>
      <w:lvlText w:val="%3."/>
      <w:lvlJc w:val="left"/>
      <w:pPr>
        <w:ind w:left="720" w:hanging="360"/>
      </w:pPr>
    </w:lvl>
    <w:lvl w:ilvl="3" w:tplc="BAE4415C">
      <w:start w:val="1"/>
      <w:numFmt w:val="decimal"/>
      <w:lvlText w:val="%4."/>
      <w:lvlJc w:val="left"/>
      <w:pPr>
        <w:ind w:left="720" w:hanging="360"/>
      </w:pPr>
    </w:lvl>
    <w:lvl w:ilvl="4" w:tplc="DE202402">
      <w:start w:val="1"/>
      <w:numFmt w:val="decimal"/>
      <w:lvlText w:val="%5."/>
      <w:lvlJc w:val="left"/>
      <w:pPr>
        <w:ind w:left="720" w:hanging="360"/>
      </w:pPr>
    </w:lvl>
    <w:lvl w:ilvl="5" w:tplc="E4424D08">
      <w:start w:val="1"/>
      <w:numFmt w:val="decimal"/>
      <w:lvlText w:val="%6."/>
      <w:lvlJc w:val="left"/>
      <w:pPr>
        <w:ind w:left="720" w:hanging="360"/>
      </w:pPr>
    </w:lvl>
    <w:lvl w:ilvl="6" w:tplc="B93E2AEA">
      <w:start w:val="1"/>
      <w:numFmt w:val="decimal"/>
      <w:lvlText w:val="%7."/>
      <w:lvlJc w:val="left"/>
      <w:pPr>
        <w:ind w:left="720" w:hanging="360"/>
      </w:pPr>
    </w:lvl>
    <w:lvl w:ilvl="7" w:tplc="D6A2B7B4">
      <w:start w:val="1"/>
      <w:numFmt w:val="decimal"/>
      <w:lvlText w:val="%8."/>
      <w:lvlJc w:val="left"/>
      <w:pPr>
        <w:ind w:left="720" w:hanging="360"/>
      </w:pPr>
    </w:lvl>
    <w:lvl w:ilvl="8" w:tplc="F796BCEE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391A528B"/>
    <w:multiLevelType w:val="hybridMultilevel"/>
    <w:tmpl w:val="B4887948"/>
    <w:lvl w:ilvl="0" w:tplc="6628913A">
      <w:start w:val="1"/>
      <w:numFmt w:val="decimal"/>
      <w:lvlText w:val="%1."/>
      <w:lvlJc w:val="left"/>
      <w:pPr>
        <w:ind w:left="720" w:hanging="360"/>
      </w:pPr>
    </w:lvl>
    <w:lvl w:ilvl="1" w:tplc="D6422D7C">
      <w:start w:val="1"/>
      <w:numFmt w:val="decimal"/>
      <w:lvlText w:val="%2."/>
      <w:lvlJc w:val="left"/>
      <w:pPr>
        <w:ind w:left="720" w:hanging="360"/>
      </w:pPr>
    </w:lvl>
    <w:lvl w:ilvl="2" w:tplc="53E04B32">
      <w:start w:val="1"/>
      <w:numFmt w:val="decimal"/>
      <w:lvlText w:val="%3."/>
      <w:lvlJc w:val="left"/>
      <w:pPr>
        <w:ind w:left="720" w:hanging="360"/>
      </w:pPr>
    </w:lvl>
    <w:lvl w:ilvl="3" w:tplc="4D262260">
      <w:start w:val="1"/>
      <w:numFmt w:val="decimal"/>
      <w:lvlText w:val="%4."/>
      <w:lvlJc w:val="left"/>
      <w:pPr>
        <w:ind w:left="720" w:hanging="360"/>
      </w:pPr>
    </w:lvl>
    <w:lvl w:ilvl="4" w:tplc="449802B8">
      <w:start w:val="1"/>
      <w:numFmt w:val="decimal"/>
      <w:lvlText w:val="%5."/>
      <w:lvlJc w:val="left"/>
      <w:pPr>
        <w:ind w:left="720" w:hanging="360"/>
      </w:pPr>
    </w:lvl>
    <w:lvl w:ilvl="5" w:tplc="ADCC0AFA">
      <w:start w:val="1"/>
      <w:numFmt w:val="decimal"/>
      <w:lvlText w:val="%6."/>
      <w:lvlJc w:val="left"/>
      <w:pPr>
        <w:ind w:left="720" w:hanging="360"/>
      </w:pPr>
    </w:lvl>
    <w:lvl w:ilvl="6" w:tplc="5A60715C">
      <w:start w:val="1"/>
      <w:numFmt w:val="decimal"/>
      <w:lvlText w:val="%7."/>
      <w:lvlJc w:val="left"/>
      <w:pPr>
        <w:ind w:left="720" w:hanging="360"/>
      </w:pPr>
    </w:lvl>
    <w:lvl w:ilvl="7" w:tplc="5E3EDD0C">
      <w:start w:val="1"/>
      <w:numFmt w:val="decimal"/>
      <w:lvlText w:val="%8."/>
      <w:lvlJc w:val="left"/>
      <w:pPr>
        <w:ind w:left="720" w:hanging="360"/>
      </w:pPr>
    </w:lvl>
    <w:lvl w:ilvl="8" w:tplc="D992696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3B1F5548"/>
    <w:multiLevelType w:val="hybridMultilevel"/>
    <w:tmpl w:val="F8B8542A"/>
    <w:lvl w:ilvl="0" w:tplc="5F54B7F8">
      <w:start w:val="1"/>
      <w:numFmt w:val="decimal"/>
      <w:lvlText w:val="%1."/>
      <w:lvlJc w:val="left"/>
      <w:pPr>
        <w:ind w:left="720" w:hanging="360"/>
      </w:pPr>
    </w:lvl>
    <w:lvl w:ilvl="1" w:tplc="2454181A">
      <w:start w:val="1"/>
      <w:numFmt w:val="decimal"/>
      <w:lvlText w:val="%2."/>
      <w:lvlJc w:val="left"/>
      <w:pPr>
        <w:ind w:left="720" w:hanging="360"/>
      </w:pPr>
    </w:lvl>
    <w:lvl w:ilvl="2" w:tplc="EC483BCE">
      <w:start w:val="1"/>
      <w:numFmt w:val="decimal"/>
      <w:lvlText w:val="%3."/>
      <w:lvlJc w:val="left"/>
      <w:pPr>
        <w:ind w:left="720" w:hanging="360"/>
      </w:pPr>
    </w:lvl>
    <w:lvl w:ilvl="3" w:tplc="D010AC78">
      <w:start w:val="1"/>
      <w:numFmt w:val="decimal"/>
      <w:lvlText w:val="%4."/>
      <w:lvlJc w:val="left"/>
      <w:pPr>
        <w:ind w:left="720" w:hanging="360"/>
      </w:pPr>
    </w:lvl>
    <w:lvl w:ilvl="4" w:tplc="03D0A2AC">
      <w:start w:val="1"/>
      <w:numFmt w:val="decimal"/>
      <w:lvlText w:val="%5."/>
      <w:lvlJc w:val="left"/>
      <w:pPr>
        <w:ind w:left="720" w:hanging="360"/>
      </w:pPr>
    </w:lvl>
    <w:lvl w:ilvl="5" w:tplc="3820890C">
      <w:start w:val="1"/>
      <w:numFmt w:val="decimal"/>
      <w:lvlText w:val="%6."/>
      <w:lvlJc w:val="left"/>
      <w:pPr>
        <w:ind w:left="720" w:hanging="360"/>
      </w:pPr>
    </w:lvl>
    <w:lvl w:ilvl="6" w:tplc="F476FBCC">
      <w:start w:val="1"/>
      <w:numFmt w:val="decimal"/>
      <w:lvlText w:val="%7."/>
      <w:lvlJc w:val="left"/>
      <w:pPr>
        <w:ind w:left="720" w:hanging="360"/>
      </w:pPr>
    </w:lvl>
    <w:lvl w:ilvl="7" w:tplc="511881C8">
      <w:start w:val="1"/>
      <w:numFmt w:val="decimal"/>
      <w:lvlText w:val="%8."/>
      <w:lvlJc w:val="left"/>
      <w:pPr>
        <w:ind w:left="720" w:hanging="360"/>
      </w:pPr>
    </w:lvl>
    <w:lvl w:ilvl="8" w:tplc="55A62A3C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54D64"/>
    <w:multiLevelType w:val="hybridMultilevel"/>
    <w:tmpl w:val="86A02916"/>
    <w:lvl w:ilvl="0" w:tplc="A48877BC">
      <w:start w:val="1"/>
      <w:numFmt w:val="decimal"/>
      <w:lvlText w:val="%1."/>
      <w:lvlJc w:val="left"/>
      <w:pPr>
        <w:ind w:left="720" w:hanging="360"/>
      </w:pPr>
    </w:lvl>
    <w:lvl w:ilvl="1" w:tplc="C7465590">
      <w:start w:val="1"/>
      <w:numFmt w:val="decimal"/>
      <w:lvlText w:val="%2."/>
      <w:lvlJc w:val="left"/>
      <w:pPr>
        <w:ind w:left="720" w:hanging="360"/>
      </w:pPr>
    </w:lvl>
    <w:lvl w:ilvl="2" w:tplc="F3EAE5DE">
      <w:start w:val="1"/>
      <w:numFmt w:val="decimal"/>
      <w:lvlText w:val="%3."/>
      <w:lvlJc w:val="left"/>
      <w:pPr>
        <w:ind w:left="720" w:hanging="360"/>
      </w:pPr>
    </w:lvl>
    <w:lvl w:ilvl="3" w:tplc="3414618C">
      <w:start w:val="1"/>
      <w:numFmt w:val="decimal"/>
      <w:lvlText w:val="%4."/>
      <w:lvlJc w:val="left"/>
      <w:pPr>
        <w:ind w:left="720" w:hanging="360"/>
      </w:pPr>
    </w:lvl>
    <w:lvl w:ilvl="4" w:tplc="D7241812">
      <w:start w:val="1"/>
      <w:numFmt w:val="decimal"/>
      <w:lvlText w:val="%5."/>
      <w:lvlJc w:val="left"/>
      <w:pPr>
        <w:ind w:left="720" w:hanging="360"/>
      </w:pPr>
    </w:lvl>
    <w:lvl w:ilvl="5" w:tplc="C3FC37F6">
      <w:start w:val="1"/>
      <w:numFmt w:val="decimal"/>
      <w:lvlText w:val="%6."/>
      <w:lvlJc w:val="left"/>
      <w:pPr>
        <w:ind w:left="720" w:hanging="360"/>
      </w:pPr>
    </w:lvl>
    <w:lvl w:ilvl="6" w:tplc="3F421642">
      <w:start w:val="1"/>
      <w:numFmt w:val="decimal"/>
      <w:lvlText w:val="%7."/>
      <w:lvlJc w:val="left"/>
      <w:pPr>
        <w:ind w:left="720" w:hanging="360"/>
      </w:pPr>
    </w:lvl>
    <w:lvl w:ilvl="7" w:tplc="4E36D498">
      <w:start w:val="1"/>
      <w:numFmt w:val="decimal"/>
      <w:lvlText w:val="%8."/>
      <w:lvlJc w:val="left"/>
      <w:pPr>
        <w:ind w:left="720" w:hanging="360"/>
      </w:pPr>
    </w:lvl>
    <w:lvl w:ilvl="8" w:tplc="6840FC9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910764">
    <w:abstractNumId w:val="7"/>
  </w:num>
  <w:num w:numId="2" w16cid:durableId="1090470015">
    <w:abstractNumId w:val="1"/>
  </w:num>
  <w:num w:numId="3" w16cid:durableId="1135754831">
    <w:abstractNumId w:val="11"/>
  </w:num>
  <w:num w:numId="4" w16cid:durableId="392046498">
    <w:abstractNumId w:val="9"/>
  </w:num>
  <w:num w:numId="5" w16cid:durableId="1442916117">
    <w:abstractNumId w:val="6"/>
  </w:num>
  <w:num w:numId="6" w16cid:durableId="1692560695">
    <w:abstractNumId w:val="0"/>
  </w:num>
  <w:num w:numId="7" w16cid:durableId="209459178">
    <w:abstractNumId w:val="4"/>
  </w:num>
  <w:num w:numId="8" w16cid:durableId="702823107">
    <w:abstractNumId w:val="10"/>
  </w:num>
  <w:num w:numId="9" w16cid:durableId="1190339415">
    <w:abstractNumId w:val="5"/>
  </w:num>
  <w:num w:numId="10" w16cid:durableId="801191887">
    <w:abstractNumId w:val="2"/>
  </w:num>
  <w:num w:numId="11" w16cid:durableId="1394887558">
    <w:abstractNumId w:val="8"/>
  </w:num>
  <w:num w:numId="12" w16cid:durableId="469833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83"/>
    <w:rsid w:val="00007423"/>
    <w:rsid w:val="00013CCA"/>
    <w:rsid w:val="00014AB6"/>
    <w:rsid w:val="00070FCD"/>
    <w:rsid w:val="0008128F"/>
    <w:rsid w:val="000835BF"/>
    <w:rsid w:val="0009064D"/>
    <w:rsid w:val="000D226C"/>
    <w:rsid w:val="00121D87"/>
    <w:rsid w:val="00130E2C"/>
    <w:rsid w:val="001745B9"/>
    <w:rsid w:val="0018256E"/>
    <w:rsid w:val="00193BCD"/>
    <w:rsid w:val="001C1BE9"/>
    <w:rsid w:val="00203ABD"/>
    <w:rsid w:val="00240550"/>
    <w:rsid w:val="00255EB3"/>
    <w:rsid w:val="00282592"/>
    <w:rsid w:val="00292794"/>
    <w:rsid w:val="002A755F"/>
    <w:rsid w:val="002B6483"/>
    <w:rsid w:val="002D2E0B"/>
    <w:rsid w:val="002D3FEB"/>
    <w:rsid w:val="002E03D4"/>
    <w:rsid w:val="002F3A3B"/>
    <w:rsid w:val="003276BE"/>
    <w:rsid w:val="00365E4A"/>
    <w:rsid w:val="00373151"/>
    <w:rsid w:val="00385BEC"/>
    <w:rsid w:val="003A2777"/>
    <w:rsid w:val="003D1CA0"/>
    <w:rsid w:val="003E37E6"/>
    <w:rsid w:val="0046492B"/>
    <w:rsid w:val="00472B49"/>
    <w:rsid w:val="00490632"/>
    <w:rsid w:val="004A1F48"/>
    <w:rsid w:val="004B1D99"/>
    <w:rsid w:val="004B231F"/>
    <w:rsid w:val="004B7F7F"/>
    <w:rsid w:val="004D2D4A"/>
    <w:rsid w:val="004F78DC"/>
    <w:rsid w:val="005045DC"/>
    <w:rsid w:val="00517D5A"/>
    <w:rsid w:val="00530F42"/>
    <w:rsid w:val="00544361"/>
    <w:rsid w:val="0054653D"/>
    <w:rsid w:val="005555AC"/>
    <w:rsid w:val="0056058F"/>
    <w:rsid w:val="005A093C"/>
    <w:rsid w:val="005B3D88"/>
    <w:rsid w:val="005B783B"/>
    <w:rsid w:val="005E284B"/>
    <w:rsid w:val="005F77AA"/>
    <w:rsid w:val="005F77CF"/>
    <w:rsid w:val="00642FEE"/>
    <w:rsid w:val="00645579"/>
    <w:rsid w:val="00673DDE"/>
    <w:rsid w:val="00685AAE"/>
    <w:rsid w:val="006D3647"/>
    <w:rsid w:val="007205D8"/>
    <w:rsid w:val="00727276"/>
    <w:rsid w:val="007360FF"/>
    <w:rsid w:val="00737697"/>
    <w:rsid w:val="0078313E"/>
    <w:rsid w:val="007C6556"/>
    <w:rsid w:val="007F1508"/>
    <w:rsid w:val="0080047F"/>
    <w:rsid w:val="00822FA2"/>
    <w:rsid w:val="008315A6"/>
    <w:rsid w:val="00835015"/>
    <w:rsid w:val="00872106"/>
    <w:rsid w:val="008C4333"/>
    <w:rsid w:val="008F72FD"/>
    <w:rsid w:val="009049C8"/>
    <w:rsid w:val="009270A9"/>
    <w:rsid w:val="00930A16"/>
    <w:rsid w:val="00941938"/>
    <w:rsid w:val="0095291C"/>
    <w:rsid w:val="00960B37"/>
    <w:rsid w:val="00977D7B"/>
    <w:rsid w:val="009A019F"/>
    <w:rsid w:val="009B07F4"/>
    <w:rsid w:val="009B5904"/>
    <w:rsid w:val="00A01D7A"/>
    <w:rsid w:val="00A0609C"/>
    <w:rsid w:val="00A1133F"/>
    <w:rsid w:val="00A52C21"/>
    <w:rsid w:val="00AC4CD4"/>
    <w:rsid w:val="00AD29FA"/>
    <w:rsid w:val="00AD35B8"/>
    <w:rsid w:val="00AE4074"/>
    <w:rsid w:val="00AF5AB3"/>
    <w:rsid w:val="00B242FD"/>
    <w:rsid w:val="00B30C35"/>
    <w:rsid w:val="00B60F73"/>
    <w:rsid w:val="00B81142"/>
    <w:rsid w:val="00C130E2"/>
    <w:rsid w:val="00C5407E"/>
    <w:rsid w:val="00C54771"/>
    <w:rsid w:val="00C61397"/>
    <w:rsid w:val="00CA7735"/>
    <w:rsid w:val="00D16FEF"/>
    <w:rsid w:val="00D35033"/>
    <w:rsid w:val="00D41B16"/>
    <w:rsid w:val="00D425DA"/>
    <w:rsid w:val="00D930F9"/>
    <w:rsid w:val="00DA2059"/>
    <w:rsid w:val="00DC0C18"/>
    <w:rsid w:val="00DC3CD9"/>
    <w:rsid w:val="00DC461C"/>
    <w:rsid w:val="00DD5E31"/>
    <w:rsid w:val="00DE1CDD"/>
    <w:rsid w:val="00DE7C1A"/>
    <w:rsid w:val="00E313E7"/>
    <w:rsid w:val="00E37492"/>
    <w:rsid w:val="00E76160"/>
    <w:rsid w:val="00E76E5D"/>
    <w:rsid w:val="00E86EDC"/>
    <w:rsid w:val="00E875DB"/>
    <w:rsid w:val="00EA7676"/>
    <w:rsid w:val="00EC41E3"/>
    <w:rsid w:val="00F1258C"/>
    <w:rsid w:val="00F21A72"/>
    <w:rsid w:val="00F34285"/>
    <w:rsid w:val="00F35B0D"/>
    <w:rsid w:val="00F6334E"/>
    <w:rsid w:val="00F7415B"/>
    <w:rsid w:val="00F778C8"/>
    <w:rsid w:val="00F82427"/>
    <w:rsid w:val="00F83C5B"/>
    <w:rsid w:val="00FC1F92"/>
    <w:rsid w:val="00FC58B0"/>
    <w:rsid w:val="00FE09AD"/>
    <w:rsid w:val="00FE4E74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CEB"/>
  <w15:chartTrackingRefBased/>
  <w15:docId w15:val="{B9ECCFF3-D50E-4DA6-B523-480564E7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4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B6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4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8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83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B6483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6483"/>
  </w:style>
  <w:style w:type="paragraph" w:styleId="Nagwek">
    <w:name w:val="header"/>
    <w:basedOn w:val="Normalny"/>
    <w:link w:val="Nagwek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483"/>
  </w:style>
  <w:style w:type="paragraph" w:styleId="Stopka">
    <w:name w:val="footer"/>
    <w:basedOn w:val="Normalny"/>
    <w:link w:val="Stopka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EE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EE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C461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3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dpr.pl/baza-wiedzy/akty-prawne/interaktywny-tekst-gdpr/artykul-24-obowiazki-administrato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dpr.pl/baza-wiedzy/akty-prawne/interaktywny-tekst-gdpr/artykul-5-zasady-dotyczace-przetwarzani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pr.pl/baza-wiedzy/akty-prawne/interaktywny-tekst-gdpr/artykul-5-zasady-dotyczace-przetwarzani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A1F4-3089-434C-9672-6AB695F5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Skibiński</dc:creator>
  <cp:keywords/>
  <dc:description/>
  <cp:lastModifiedBy>Gmina Biała Rawska</cp:lastModifiedBy>
  <cp:revision>2</cp:revision>
  <dcterms:created xsi:type="dcterms:W3CDTF">2025-12-04T12:57:00Z</dcterms:created>
  <dcterms:modified xsi:type="dcterms:W3CDTF">2025-12-04T12:57:00Z</dcterms:modified>
</cp:coreProperties>
</file>