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C1" w:rsidRDefault="000279C1" w:rsidP="00627BE0">
      <w:pPr>
        <w:rPr>
          <w:rFonts w:ascii="Arial" w:hAnsi="Arial" w:cs="Arial"/>
        </w:rPr>
      </w:pPr>
    </w:p>
    <w:p w:rsidR="00FC640F" w:rsidRPr="008D5053" w:rsidRDefault="008D5053" w:rsidP="008D5053">
      <w:pPr>
        <w:ind w:left="6372" w:firstLine="708"/>
        <w:rPr>
          <w:rFonts w:ascii="Arial" w:hAnsi="Arial" w:cs="Arial"/>
        </w:rPr>
      </w:pPr>
      <w:r w:rsidRPr="008D5053">
        <w:rPr>
          <w:rFonts w:ascii="Arial" w:hAnsi="Arial" w:cs="Arial"/>
        </w:rPr>
        <w:t xml:space="preserve">Załącznik Nr 1 </w:t>
      </w:r>
    </w:p>
    <w:p w:rsidR="00FC640F" w:rsidRPr="008D5053" w:rsidRDefault="00FC640F" w:rsidP="00FC640F">
      <w:pPr>
        <w:rPr>
          <w:rFonts w:ascii="Arial" w:hAnsi="Arial" w:cs="Arial"/>
        </w:rPr>
      </w:pPr>
    </w:p>
    <w:p w:rsidR="00FC640F" w:rsidRPr="008D5053" w:rsidRDefault="00FC640F" w:rsidP="00FC640F">
      <w:pPr>
        <w:pStyle w:val="Nagwek3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sz w:val="24"/>
          <w:szCs w:val="24"/>
        </w:rPr>
      </w:pPr>
      <w:r w:rsidRPr="008D5053">
        <w:rPr>
          <w:rFonts w:ascii="Arial" w:hAnsi="Arial" w:cs="Arial"/>
          <w:color w:val="000000"/>
          <w:sz w:val="24"/>
          <w:szCs w:val="24"/>
          <w:shd w:val="clear" w:color="auto" w:fill="FFFFFF"/>
        </w:rPr>
        <w:t>KARTA AUDYTUWEWNĘTRZNEGO</w:t>
      </w:r>
    </w:p>
    <w:p w:rsidR="00FC640F" w:rsidRPr="008D5053" w:rsidRDefault="00FC640F" w:rsidP="00FC640F">
      <w:pPr>
        <w:pStyle w:val="Nagwek3"/>
        <w:spacing w:before="0" w:beforeAutospacing="0" w:after="0" w:afterAutospacing="0" w:line="480" w:lineRule="auto"/>
        <w:jc w:val="center"/>
        <w:rPr>
          <w:rFonts w:ascii="Arial" w:hAnsi="Arial" w:cs="Arial"/>
          <w:sz w:val="24"/>
          <w:szCs w:val="24"/>
        </w:rPr>
      </w:pPr>
      <w:r w:rsidRPr="008D5053">
        <w:rPr>
          <w:rFonts w:ascii="Arial" w:hAnsi="Arial" w:cs="Arial"/>
          <w:color w:val="000000"/>
          <w:sz w:val="24"/>
          <w:szCs w:val="24"/>
        </w:rPr>
        <w:t xml:space="preserve">W URZĘDZIE </w:t>
      </w:r>
      <w:r w:rsidR="00D21164" w:rsidRPr="008D5053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8D5053">
        <w:rPr>
          <w:rFonts w:ascii="Arial" w:hAnsi="Arial" w:cs="Arial"/>
          <w:color w:val="000000"/>
          <w:sz w:val="24"/>
          <w:szCs w:val="24"/>
        </w:rPr>
        <w:t xml:space="preserve">GMINY </w:t>
      </w:r>
      <w:r w:rsidR="00D21164" w:rsidRPr="008D5053">
        <w:rPr>
          <w:rFonts w:ascii="Arial" w:hAnsi="Arial" w:cs="Arial"/>
          <w:color w:val="000000"/>
          <w:sz w:val="24"/>
          <w:szCs w:val="24"/>
        </w:rPr>
        <w:t>BIAŁA RAWSKA</w:t>
      </w:r>
    </w:p>
    <w:p w:rsidR="00FC640F" w:rsidRPr="008D5053" w:rsidRDefault="00FC640F" w:rsidP="00FC640F">
      <w:pPr>
        <w:jc w:val="both"/>
        <w:rPr>
          <w:rFonts w:ascii="Arial" w:hAnsi="Arial" w:cs="Arial"/>
        </w:rPr>
      </w:pPr>
    </w:p>
    <w:p w:rsidR="00FC640F" w:rsidRPr="008D5053" w:rsidRDefault="00FC640F" w:rsidP="00FC640F">
      <w:pPr>
        <w:jc w:val="both"/>
        <w:rPr>
          <w:rFonts w:ascii="Arial" w:hAnsi="Arial" w:cs="Arial"/>
        </w:rPr>
      </w:pPr>
    </w:p>
    <w:p w:rsidR="00FC640F" w:rsidRDefault="00FC640F" w:rsidP="008D5053">
      <w:pPr>
        <w:pStyle w:val="Nagwek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WSTĘP.</w:t>
      </w:r>
    </w:p>
    <w:p w:rsidR="008D5053" w:rsidRPr="008D5053" w:rsidRDefault="008D5053" w:rsidP="008D5053">
      <w:pPr>
        <w:pStyle w:val="Nagwek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C640F" w:rsidRPr="008D5053" w:rsidRDefault="00FC640F" w:rsidP="00FC640F">
      <w:pPr>
        <w:pStyle w:val="Tekstpodstawowy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>Kartaaudytu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razem ze </w:t>
      </w:r>
      <w:r w:rsidRPr="008D5053">
        <w:rPr>
          <w:rFonts w:ascii="Arial" w:hAnsi="Arial" w:cs="Arial"/>
          <w:i/>
          <w:color w:val="000000"/>
          <w:sz w:val="22"/>
          <w:szCs w:val="22"/>
        </w:rPr>
        <w:t xml:space="preserve">Standardami </w:t>
      </w:r>
      <w:r w:rsidRPr="008D5053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i/>
          <w:color w:val="000000"/>
          <w:sz w:val="22"/>
          <w:szCs w:val="22"/>
        </w:rPr>
        <w:t xml:space="preserve"> w jednostkach sektora finansów publicznych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stanowi wytyczne funkcjonowania audytu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 w Urzędzie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 xml:space="preserve">Miasta i 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>Biała Rawska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i gminnych jednostkach organizacyjnych. Dokument niniejszy został sporządzony na podstawie rozporządzenia Ministra Finansów z dnia 4 września 2015 r. w sprawie audytu wewnętrznego oraz informacji o pracy i wynikach tego audytu ( Dz. U. z 2015 r., poz. 1480).</w:t>
      </w:r>
    </w:p>
    <w:p w:rsidR="00FC640F" w:rsidRPr="008D5053" w:rsidRDefault="00FC640F" w:rsidP="00FC640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 </w:t>
      </w:r>
      <w:r w:rsidR="008D5053">
        <w:rPr>
          <w:rFonts w:ascii="Arial" w:hAnsi="Arial" w:cs="Arial"/>
          <w:color w:val="000000"/>
          <w:sz w:val="22"/>
          <w:szCs w:val="22"/>
        </w:rPr>
        <w:t>I</w:t>
      </w:r>
      <w:r w:rsidRPr="008D5053">
        <w:rPr>
          <w:rFonts w:ascii="Arial" w:hAnsi="Arial" w:cs="Arial"/>
          <w:color w:val="000000"/>
          <w:sz w:val="22"/>
          <w:szCs w:val="22"/>
        </w:rPr>
        <w:t>lekroć w niniejszym zarządzeniu jest mowa o:</w:t>
      </w:r>
    </w:p>
    <w:p w:rsidR="00FC640F" w:rsidRPr="008D5053" w:rsidRDefault="00D21164" w:rsidP="00FC640F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Burmistrzu</w:t>
      </w:r>
      <w:r w:rsidR="00FC640F" w:rsidRPr="008D5053">
        <w:rPr>
          <w:rFonts w:ascii="Arial" w:hAnsi="Arial" w:cs="Arial"/>
          <w:color w:val="000000"/>
          <w:sz w:val="22"/>
          <w:szCs w:val="22"/>
        </w:rPr>
        <w:t xml:space="preserve"> – oznacza to </w:t>
      </w:r>
      <w:r w:rsidR="008D5053" w:rsidRPr="008D5053">
        <w:rPr>
          <w:rFonts w:ascii="Arial" w:hAnsi="Arial" w:cs="Arial"/>
          <w:color w:val="000000"/>
          <w:sz w:val="22"/>
          <w:szCs w:val="22"/>
        </w:rPr>
        <w:t>Burmistrza Białej Rawskiej</w:t>
      </w:r>
    </w:p>
    <w:p w:rsidR="00FC640F" w:rsidRPr="008D5053" w:rsidRDefault="00FC640F" w:rsidP="00FC640F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Urzędzie Gminy – oznacza to Urząd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 xml:space="preserve">Miasta i 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8D5053" w:rsidRPr="008D5053">
        <w:rPr>
          <w:rFonts w:ascii="Arial" w:hAnsi="Arial" w:cs="Arial"/>
          <w:color w:val="000000"/>
          <w:sz w:val="22"/>
          <w:szCs w:val="22"/>
        </w:rPr>
        <w:t>w Białej Rawskiej</w:t>
      </w:r>
    </w:p>
    <w:p w:rsidR="00FC640F" w:rsidRPr="008D5053" w:rsidRDefault="00FC640F" w:rsidP="00FC640F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Audytorze wewnętrznym – oznacza to audytora wewnętrznego zatrudnionego w Urzędzie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 xml:space="preserve">Miasta i 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8D5053" w:rsidRPr="008D5053">
        <w:rPr>
          <w:rFonts w:ascii="Arial" w:hAnsi="Arial" w:cs="Arial"/>
          <w:color w:val="000000"/>
          <w:sz w:val="22"/>
          <w:szCs w:val="22"/>
        </w:rPr>
        <w:t>w Białej Rawskiej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lub usługodawcę zewnętrznego wykonującego obowiązki audytora wewnętrznego.</w:t>
      </w:r>
    </w:p>
    <w:p w:rsidR="00FC640F" w:rsidRPr="008D5053" w:rsidRDefault="00FC640F" w:rsidP="00FC640F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jednostce – oznacza to Urząd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 xml:space="preserve">Miasta i 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8D5053" w:rsidRPr="008D5053">
        <w:rPr>
          <w:rFonts w:ascii="Arial" w:hAnsi="Arial" w:cs="Arial"/>
          <w:color w:val="000000"/>
          <w:sz w:val="22"/>
          <w:szCs w:val="22"/>
        </w:rPr>
        <w:t>w Białej Rawskiej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lub gminne jednostki organizacyjne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1. Umiejscowienie w strukturze jednostki, zasięg działania.</w:t>
      </w:r>
    </w:p>
    <w:p w:rsidR="00FC640F" w:rsidRPr="008D5053" w:rsidRDefault="00FC640F" w:rsidP="00FC640F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Audytor wewnętrzny podlega bezpośrednio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>Burmistrzowi</w:t>
      </w:r>
    </w:p>
    <w:p w:rsidR="00FC640F" w:rsidRPr="008D5053" w:rsidRDefault="00FC640F" w:rsidP="00FC640F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Audytor wewnętrzny przeprowadza audyt wewnętrzny w:</w:t>
      </w:r>
    </w:p>
    <w:p w:rsidR="00FC640F" w:rsidRPr="008D5053" w:rsidRDefault="00FC640F" w:rsidP="00FC640F">
      <w:pPr>
        <w:numPr>
          <w:ilvl w:val="1"/>
          <w:numId w:val="3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Urzędzie,</w:t>
      </w:r>
    </w:p>
    <w:p w:rsidR="00FC640F" w:rsidRPr="008D5053" w:rsidRDefault="00FC640F" w:rsidP="00FC640F">
      <w:pPr>
        <w:numPr>
          <w:ilvl w:val="1"/>
          <w:numId w:val="3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Jednostkach organizacyjnych </w:t>
      </w:r>
      <w:r w:rsidR="00A2695B" w:rsidRPr="008D5053">
        <w:rPr>
          <w:rFonts w:ascii="Arial" w:hAnsi="Arial" w:cs="Arial"/>
          <w:color w:val="000000"/>
          <w:sz w:val="22"/>
          <w:szCs w:val="22"/>
        </w:rPr>
        <w:t xml:space="preserve">Miasta i </w:t>
      </w:r>
      <w:r w:rsidRPr="008D5053">
        <w:rPr>
          <w:rFonts w:ascii="Arial" w:hAnsi="Arial" w:cs="Arial"/>
          <w:color w:val="000000"/>
          <w:sz w:val="22"/>
          <w:szCs w:val="22"/>
        </w:rPr>
        <w:t>Gminy,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2. Ogólne zasady i cele audytu wewnętrznego.</w:t>
      </w:r>
    </w:p>
    <w:p w:rsidR="00FC640F" w:rsidRPr="008D5053" w:rsidRDefault="00FC640F" w:rsidP="00FC640F">
      <w:pPr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Ogólnym celem prowadzenia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jest przysparzanie wartości i usprawnianie funkcjonowania jednostki.</w:t>
      </w:r>
    </w:p>
    <w:p w:rsidR="00FC640F" w:rsidRPr="008D5053" w:rsidRDefault="00FC640F" w:rsidP="00FC640F">
      <w:pPr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lastRenderedPageBreak/>
        <w:t xml:space="preserve">Audyt wewnętrzny, poprzez niezależną i obiektywną ocenę systemów zarządzania i kontroli funkcjonujących w jednostce, dostarcza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 xml:space="preserve">Burmistrzowi </w:t>
      </w:r>
      <w:r w:rsidRPr="008D5053">
        <w:rPr>
          <w:rFonts w:ascii="Arial" w:hAnsi="Arial" w:cs="Arial"/>
          <w:color w:val="000000"/>
          <w:sz w:val="22"/>
          <w:szCs w:val="22"/>
        </w:rPr>
        <w:t>racjonalne zapewnienie, że systemy te działają prawidłowo (czynności zapewniające).</w:t>
      </w:r>
    </w:p>
    <w:p w:rsidR="00FC640F" w:rsidRPr="008D5053" w:rsidRDefault="00FC640F" w:rsidP="00FC640F">
      <w:pPr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 wewnętrzny, poprzez czynności doradcze, przyczynia się do usprawniania funkcjonowania jednostki.</w:t>
      </w:r>
    </w:p>
    <w:p w:rsidR="00FC640F" w:rsidRPr="008D5053" w:rsidRDefault="00FC640F" w:rsidP="00FC640F">
      <w:pPr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Rola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polega na wykrywaniu i oszacowaniu potencjalnego ryzyka, mogącego się pojawiać w ramach działalności jednostki oraz na badaniu i ocenianiu adekwatności, skuteczności i efektywności systemów kontroli wewnętrznej, mających na celu eliminowanie lub ograniczanie takiego ryzyka.</w:t>
      </w:r>
    </w:p>
    <w:p w:rsidR="00FC640F" w:rsidRPr="008D5053" w:rsidRDefault="00FC640F" w:rsidP="00FC640F">
      <w:pPr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Audyt wewnętrzny obejmuje czynności o charakterze zapewniającym i doradczym. Podstawowe znaczenie mają czynności o charakterze zapewniającym. Działania o charakterze doradczym mogą być wykonywane, o ile ich cel i zakres nie naruszają zasady obiektywizmu i niezależności audytora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3. Prawa i obowiązki audytora wewnętrznego</w:t>
      </w:r>
    </w:p>
    <w:p w:rsidR="00FC640F" w:rsidRPr="008D5053" w:rsidRDefault="00FC640F" w:rsidP="00FC640F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Audytor wewnętrzny: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jest uprawniony do przeprowadzania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we wszystkich obszarach działalności jednostki, zgodnie z zakresem wskazanym w upoważnieniu do przeprowadzenia audytu;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ma zagwarantowane prawo dostępu do wszelkich dokumentów i materiałów, do wszystkich pracowników oraz wszelkich innych źródeł informacji potrzebnych do przeprowadzenia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>, wraz z prawem kopiowania dokumentów z zachowaniem przepisów o tajemnicy ustawowo chronionej;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ma zagwarantowane prawo dostępu do wszystkich pomieszczeń jednostki z zachowaniem przepisów o tajemnicy ustawowo chronionej;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ma prawo żądać od kierowników i pracowników komórek organizacyjnych informacji oraz wyjaśnień w celu zapewnienia właściwego i efektywnego prowadzenia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>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ma prawo żądać od kierowników i pracowników komórek organizacyjnych wyjaśnień w drodze pisemnej;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może z własnej inicjatywy składać wnioski, mające na celu usprawnienie funkcjonowania jednostki;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lastRenderedPageBreak/>
        <w:t xml:space="preserve">nie jest odpowiedzialny za procesy zarządzania ryzykiem i procesy kontroli wewnętrznej w jednostce, ale poprzez ustalenia i zalecenia poczynione w wyniku przeprowadzenia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, wspomaga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 xml:space="preserve">Burmistrza </w:t>
      </w:r>
      <w:r w:rsidRPr="008D5053">
        <w:rPr>
          <w:rFonts w:ascii="Arial" w:hAnsi="Arial" w:cs="Arial"/>
          <w:color w:val="000000"/>
          <w:sz w:val="22"/>
          <w:szCs w:val="22"/>
        </w:rPr>
        <w:t>we właściwej realizacji tych procesów;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nie jest odpowiedzialny za wykrywanie przestępstw, ale powinien posiadać wiedzę pozwalającą mu zidentyfikować znamiona przestępstwa.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nie może przyjmować takich zadań lub uprawnień, które wchodzą w zakres zarządzania jednostką;</w:t>
      </w:r>
    </w:p>
    <w:p w:rsidR="00FC640F" w:rsidRPr="008D5053" w:rsidRDefault="00FC640F" w:rsidP="00FC640F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 zakresie wykonywania swoich zadań współpracuje z audytorami zewnętrznymi, a także z kontrolerami Najwyższej Izby Kontroli.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4. Niezależność.</w:t>
      </w:r>
    </w:p>
    <w:p w:rsidR="00FC640F" w:rsidRPr="008D5053" w:rsidRDefault="00FC640F" w:rsidP="00FC640F">
      <w:pPr>
        <w:pStyle w:val="Nagwek4"/>
        <w:tabs>
          <w:tab w:val="num" w:pos="720"/>
          <w:tab w:val="left" w:pos="4253"/>
        </w:tabs>
        <w:spacing w:before="0" w:beforeAutospacing="0" w:after="120" w:afterAutospacing="0" w:line="360" w:lineRule="auto"/>
        <w:ind w:left="720" w:hanging="720"/>
        <w:jc w:val="both"/>
        <w:rPr>
          <w:rFonts w:ascii="Arial" w:hAnsi="Arial" w:cs="Arial"/>
          <w:b w:val="0"/>
          <w:sz w:val="22"/>
          <w:szCs w:val="22"/>
        </w:rPr>
      </w:pPr>
      <w:r w:rsidRPr="008D5053">
        <w:rPr>
          <w:rFonts w:ascii="Arial" w:hAnsi="Arial" w:cs="Arial"/>
          <w:b w:val="0"/>
          <w:sz w:val="22"/>
          <w:szCs w:val="22"/>
        </w:rPr>
        <w:t>Audytor wewnętrzny:</w:t>
      </w:r>
    </w:p>
    <w:p w:rsidR="00FC640F" w:rsidRPr="008D5053" w:rsidRDefault="00FC640F" w:rsidP="00FC640F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podlega bezpośrednio </w:t>
      </w:r>
      <w:r w:rsidR="00D21164" w:rsidRPr="008D5053">
        <w:rPr>
          <w:rFonts w:ascii="Arial" w:hAnsi="Arial" w:cs="Arial"/>
          <w:color w:val="000000"/>
          <w:sz w:val="22"/>
          <w:szCs w:val="22"/>
        </w:rPr>
        <w:t>Burmistrzowi</w:t>
      </w:r>
      <w:r w:rsidRPr="008D5053">
        <w:rPr>
          <w:rFonts w:ascii="Arial" w:hAnsi="Arial" w:cs="Arial"/>
          <w:color w:val="000000"/>
          <w:sz w:val="22"/>
          <w:szCs w:val="22"/>
        </w:rPr>
        <w:t>.</w:t>
      </w:r>
    </w:p>
    <w:p w:rsidR="00FC640F" w:rsidRPr="008D5053" w:rsidRDefault="00FC640F" w:rsidP="00FC640F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jest niezależny w wykonywaniu swoich zadań;</w:t>
      </w:r>
    </w:p>
    <w:p w:rsidR="00FC640F" w:rsidRPr="008D5053" w:rsidRDefault="00FC640F" w:rsidP="00FC640F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 postępuje zgodnie z przepisami praw, ze Standardami audytu wewnętrznego w jednostkach sektora finansów publicznych i Kodeksem etyki audytora wewnętrznego w jednostkach sektora finansów publicznych oraz uznaną praktyką audytu wewnętrznego.</w:t>
      </w:r>
    </w:p>
    <w:p w:rsidR="00FC640F" w:rsidRPr="008D5053" w:rsidRDefault="00FC640F" w:rsidP="008D5053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b/>
          <w:color w:val="000000"/>
          <w:sz w:val="22"/>
          <w:szCs w:val="22"/>
        </w:rPr>
        <w:t>5. Zakres audytu wewnętrznego</w:t>
      </w:r>
    </w:p>
    <w:p w:rsidR="00FC640F" w:rsidRPr="008D5053" w:rsidRDefault="00FC640F" w:rsidP="00FC640F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 wewnętrzny obejmuje badanie i ocenę adekwatności, skuteczności i efektywności systemu kontroli wewnętrznej, zarządzania ryzykiem oraz kierowania jednostką, a w szczególności: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przegląd ustanowionych mechanizmów kontroli wewnętrznej oraz wiarygodności   i rzetelności informacji operacyjnych, zarządczych i finansowych;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ocenę procedur i praktyki sporządzania, klasyfikowania i przedstawiania informacji finansowej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ocenę przestrzegania przepisów prawa, regulacji wewnętrznych jednostki oraz programów, strategii i standardów ustanowionych przez właściwe organy;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ocenę zabezpieczenia mienia jednostki;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ocenę efektywności i gospodarności wykorzystania zasobów jednostki;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lastRenderedPageBreak/>
        <w:t>przegląd programów i projektów w celu ustalenia zgodności funkcjonowania jednostki z planowanymi wynikami i celami;</w:t>
      </w:r>
    </w:p>
    <w:p w:rsidR="00FC640F" w:rsidRPr="008D5053" w:rsidRDefault="00FC640F" w:rsidP="00FC640F">
      <w:pPr>
        <w:numPr>
          <w:ilvl w:val="0"/>
          <w:numId w:val="2"/>
        </w:numPr>
        <w:spacing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ocenę dostosowania działań jednostki do przedstawionych wcześniej zaleceń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lub kontroli.</w:t>
      </w:r>
    </w:p>
    <w:p w:rsidR="00FC640F" w:rsidRPr="008D5053" w:rsidRDefault="00FC640F" w:rsidP="00FC640F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 wewnętrzny obejmuje także wykonywanie czynności doradczych mających na celu usprawnianie funkcjonowania jednostki;</w:t>
      </w:r>
    </w:p>
    <w:p w:rsidR="00FC640F" w:rsidRPr="008D5053" w:rsidRDefault="00FC640F" w:rsidP="00FC640F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 wewnętrzny może objąć swoim zakresem wszystkie obszary działania jednostki.</w:t>
      </w:r>
    </w:p>
    <w:p w:rsidR="00FC640F" w:rsidRPr="008D5053" w:rsidRDefault="00FC640F" w:rsidP="00FC640F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Zakres audytu wewnętrznego nie może być ograniczany. Audytor wewnętrzny niezwłocznie powiadamia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 xml:space="preserve">Burmistrza </w:t>
      </w:r>
      <w:r w:rsidRPr="008D5053">
        <w:rPr>
          <w:rFonts w:ascii="Arial" w:hAnsi="Arial" w:cs="Arial"/>
          <w:color w:val="000000"/>
          <w:sz w:val="22"/>
          <w:szCs w:val="22"/>
        </w:rPr>
        <w:t>o wszelkich próbach ograniczania zakresu audytu.</w:t>
      </w:r>
    </w:p>
    <w:p w:rsidR="00FC640F" w:rsidRPr="008D5053" w:rsidRDefault="00FC640F" w:rsidP="00FC640F">
      <w:pPr>
        <w:numPr>
          <w:ilvl w:val="0"/>
          <w:numId w:val="9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Audytor wewnętrzny dysponuje pełną swobodą w zakresie identyfikacji obszarów ryzyka.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6. Planowanie i realizacja audytu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 wewnętrzny przeprowadzany jest na podstawie rocznego planu pracy, uwzględniającego analizę ryzyka, który zawiera: datę sporządzenia, zakres podmiotowy i przedmiotowy audytu oraz okres przewidziany na przeprowadzenie audytu.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Analiza ryzyka, będąca podstawą do sporządzenia rocznego planu pracy uwzględnia: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Cele i zadania jednostki,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System kontroli zarządczej w jednostce,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Ryzyka wpływające na realizację celów i zadań jednostki,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Wyniki innych audytów i kontroli,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Uwagi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>Burmistrza</w:t>
      </w:r>
      <w:r w:rsidRPr="008D5053">
        <w:rPr>
          <w:rFonts w:ascii="Arial" w:hAnsi="Arial" w:cs="Arial"/>
          <w:color w:val="000000"/>
          <w:sz w:val="22"/>
          <w:szCs w:val="22"/>
        </w:rPr>
        <w:t>,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Plan pracy audytu zawiera: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Obszary działalności jednostki, w których zostaną przeprowadzone zadania zapewniające w danym roku,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Informację na temat budżetu czasu komórki audytu wewnętrznego, wyrażonego w osobodniach, w szczególności na temat czasu planowanego na:</w:t>
      </w:r>
    </w:p>
    <w:p w:rsidR="00FC640F" w:rsidRPr="008D5053" w:rsidRDefault="00FC640F" w:rsidP="00FC640F">
      <w:pPr>
        <w:numPr>
          <w:ilvl w:val="2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lastRenderedPageBreak/>
        <w:t>Realizację poszczególnych zadań zapewniających,</w:t>
      </w:r>
    </w:p>
    <w:p w:rsidR="00FC640F" w:rsidRPr="008D5053" w:rsidRDefault="00FC640F" w:rsidP="00FC640F">
      <w:pPr>
        <w:numPr>
          <w:ilvl w:val="2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Realizację czynności doradczych,</w:t>
      </w:r>
    </w:p>
    <w:p w:rsidR="00FC640F" w:rsidRPr="008D5053" w:rsidRDefault="00FC640F" w:rsidP="00FC640F">
      <w:pPr>
        <w:numPr>
          <w:ilvl w:val="2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Monitorowanie realizacji zaleceń oraz realizację czynności sprawdzających,</w:t>
      </w:r>
    </w:p>
    <w:p w:rsidR="00FC640F" w:rsidRPr="008D5053" w:rsidRDefault="00FC640F" w:rsidP="00FC640F">
      <w:pPr>
        <w:numPr>
          <w:ilvl w:val="2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Kontynuowanie zadań audytowych z roku poprzedniego.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Plan pracy podpisuje audytor wewnętrzny a następnie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>Burmistrz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, w ostatnim kwartale roku poprzedzającego rok, na który opracowywany jest plan kontroli. 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Audytor wewnętrzny przekazuje informacje o planowanym przeprowadzeniu audytów kierownikom wszystkich jednostek organizacyjnych objętych planem audytu.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W uzasadnionych przypadkach (np. zaistnienie nowych ryzyk) audytor wewnętrzny uzgadnia z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 xml:space="preserve">Burmistrzem </w:t>
      </w:r>
      <w:r w:rsidRPr="008D5053">
        <w:rPr>
          <w:rFonts w:ascii="Arial" w:hAnsi="Arial" w:cs="Arial"/>
          <w:color w:val="000000"/>
          <w:sz w:val="22"/>
          <w:szCs w:val="22"/>
        </w:rPr>
        <w:t>przeprowadzenie pozaplanowego zadania audytowego.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Zadanie zapewniające odbywa się na podstawie programu, sporządzonego z uwzględnieniem następujących elementów: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wynik przeglądu wstępnego;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uwagi kierownika jednostki i audytowanego;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zasoby niezbędne do przeprowadzenia zadania, w tym ewentualną potrzebę uzyskania pomocy eksperta;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przewidywany czas trwania zadania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Przegląd wstępny polega na: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zapoznaniu się z celami i obszarem działalności jednostki, w którym zostanie zrealizowane zadanie;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dokonaniu identyfikacji i oceny ryzyka, po uwzględnieniu istniejących mechanizmów kontrolnych;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uzgodnieniu z audytowanym kryteriów oceny mechanizmów kontrolnych w obszarze działalności jednostki objętym zadaniem; w przypadku braku uzgodnienia kryteriów z audytowanym, audytor wewnętrzny uzgadnia je z kierownikiem jednostki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Program zadania zapewniającego, zatwierdzany przez audytora wewnętrznego, określa następujące elementy: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Temat zadania,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Cele zadania,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lastRenderedPageBreak/>
        <w:t>Podmiotowy i przedmiotowy zakres zadania,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Istotne ryzyka w obszarze ryzyka objętym zadaniem,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Narzędzia i techniki przeprowadzenia zadania,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Kryteria oceny ustaleń stanu faktycznego, uzgodnione w przeglądzie wstępnym,</w:t>
      </w:r>
    </w:p>
    <w:p w:rsidR="00FC640F" w:rsidRPr="008D5053" w:rsidRDefault="00FC640F" w:rsidP="00FC640F">
      <w:pPr>
        <w:numPr>
          <w:ilvl w:val="1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Sposób klasyfikowania wyników dla poszczególnych kryteriów.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 uzasadnionych przypadkach program zadania może ulec w trakcie przeprowadzania audytu. Zmianę należy udokumentować.</w:t>
      </w:r>
    </w:p>
    <w:p w:rsidR="00FC640F" w:rsidRPr="008D5053" w:rsidRDefault="00FC640F" w:rsidP="00FC640F">
      <w:pPr>
        <w:numPr>
          <w:ilvl w:val="0"/>
          <w:numId w:val="7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Do kompetencji audytora wewnętrznego należy możliwość zwoływania narad otwierających lub zamykających audyt.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7. Sprawozdawczość i postępowanie poaudytowe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Audytor wewnętrzny sporządza jasne, zwięzłe, przejrzyste, obiektywne oraz kompletne sprawozdanie z przeprowadzenia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, zwane dalej „sprawozdaniem”, w którym przedstawia ustalenia i zalecenia poczynione w trakcie </w:t>
      </w:r>
      <w:r w:rsidRPr="008D505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audytuwewnętrznego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Audytor wewnętrzny po przeprowadzeniu czynności audytowych uzgadnia pisemnie z audytowanym wstępne wyniki audytu wewnętrznego, w tym w szczególności ustalenia i propozycje zaleceń. W tym celu audytor wewnętrzny może przeprowadzić naradę zamykającą.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 przypadku nieuzgodnienia wstępnych wyników audytu wewnętrznego, o których mowa wyżej, audytowany może zgłosić pisemne zastrzeżenia, w terminie określonym przez audytora wewnętrznego, nie krótszym niż 7 dni kalendarzowych od dnia poinformowania audytowanego o wstępnych wynikach.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Sprawozdanie z audytu obejmuje następujące elementy: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temat i cel zadania;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zakres podmiotowy i przedmiotowy zadania;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datę rozpoczęcia zadania;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ustalenia i ocenę według kryteriów przyjętych w programie;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zalecenia;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odniesienie się audytora wewnętrznego do ewentualnych zastrzeżeń ze strony jednostki audytowanej;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lastRenderedPageBreak/>
        <w:t>ogólną ocenę adekwatności, skuteczności i efektywności kontroli zarządczej w obszarze działalności jednostki objętym zadaniem;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datę sporządzenia sprawozdania;</w:t>
      </w:r>
    </w:p>
    <w:p w:rsidR="00FC640F" w:rsidRPr="008D5053" w:rsidRDefault="00FC640F" w:rsidP="00FC640F">
      <w:pPr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5053">
        <w:rPr>
          <w:rFonts w:ascii="Arial" w:hAnsi="Arial" w:cs="Arial"/>
          <w:sz w:val="22"/>
          <w:szCs w:val="22"/>
        </w:rPr>
        <w:t>imię i nazwisko audytora wewnętrznego realizującego zadanie oraz jego podpis.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Kierownik komórki audytowanej wyznacza osoby odpowiedzialne za realizację zawartych w sprawozdaniu zaleceń oraz ustala termin i sposób ich realizacji, powiadamiając o tym pisemnie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>Burmistrza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 oraz audytora wewnętrznego.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W przypadku odmowy realizacji zaleceń, kierownik komórki audytowanej pisemnie powiadamia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 xml:space="preserve">Burmistrza </w:t>
      </w:r>
      <w:r w:rsidRPr="008D5053">
        <w:rPr>
          <w:rFonts w:ascii="Arial" w:hAnsi="Arial" w:cs="Arial"/>
          <w:color w:val="000000"/>
          <w:sz w:val="22"/>
          <w:szCs w:val="22"/>
        </w:rPr>
        <w:t xml:space="preserve">oraz audytora wewnętrznego o przyczynach odmowy w ciągu 14 dni kalendarzowych od daty otrzymania sprawozdania. W przypadku gdy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 xml:space="preserve">Burmistrz </w:t>
      </w:r>
      <w:r w:rsidRPr="008D5053">
        <w:rPr>
          <w:rFonts w:ascii="Arial" w:hAnsi="Arial" w:cs="Arial"/>
          <w:color w:val="000000"/>
          <w:sz w:val="22"/>
          <w:szCs w:val="22"/>
        </w:rPr>
        <w:t>uzna zalecenia za zasadne, wyznacza osoby odpowiedzialne za realizację wraz z terminem realizacji i informuje o tym fakcie audytora wewnętrznego.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Po upływie terminu realizacji zaleceń audytor wewnętrzny zwraca się do kierowników komórek audytowanych o informację na temat realizacji zaleceń. Audytor wewnętrzny może przeprowadzić czynności sprawdzające, dokonując oceny działań podjętych w celu realizacji zaleceń. O ustaleniach audytor wewnętrzny informuje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 xml:space="preserve">Burmistrza </w:t>
      </w:r>
      <w:r w:rsidRPr="008D5053">
        <w:rPr>
          <w:rFonts w:ascii="Arial" w:hAnsi="Arial" w:cs="Arial"/>
          <w:color w:val="000000"/>
          <w:sz w:val="22"/>
          <w:szCs w:val="22"/>
        </w:rPr>
        <w:t>oraz kierownika komórki audytowanej.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Audytor wewnętrzny w terminie do końca stycznia każdego roku przedstawia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 xml:space="preserve">Burmistrzowi </w:t>
      </w:r>
      <w:r w:rsidRPr="008D5053">
        <w:rPr>
          <w:rFonts w:ascii="Arial" w:hAnsi="Arial" w:cs="Arial"/>
          <w:color w:val="000000"/>
          <w:sz w:val="22"/>
          <w:szCs w:val="22"/>
        </w:rPr>
        <w:t>sprawozdanie z wykonania planu audytu za rok poprzedni.</w:t>
      </w:r>
    </w:p>
    <w:p w:rsidR="00FC640F" w:rsidRPr="008D5053" w:rsidRDefault="00FC640F" w:rsidP="00FC640F">
      <w:pPr>
        <w:numPr>
          <w:ilvl w:val="0"/>
          <w:numId w:val="4"/>
        </w:numPr>
        <w:tabs>
          <w:tab w:val="num" w:pos="36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 xml:space="preserve">Jeżeli w trakcie przeprowadzania audytu audytor wewnętrzny dostrzeże znamiona czynów, które według jego oceny kwalifikują się do wszczęcia postępowania w zakresie dyscypliny finansów publicznych, postępowania karnego lub postępowania w sprawie o przestępstwo skarbowe lub wykroczenie skarbowe, wówczas ma obowiązek o tym fakcie niezwłocznie zawiadomić </w:t>
      </w:r>
      <w:r w:rsidR="003A375A" w:rsidRPr="008D5053">
        <w:rPr>
          <w:rFonts w:ascii="Arial" w:hAnsi="Arial" w:cs="Arial"/>
          <w:color w:val="000000"/>
          <w:sz w:val="22"/>
          <w:szCs w:val="22"/>
        </w:rPr>
        <w:t>Burmistrza</w:t>
      </w:r>
      <w:r w:rsidRPr="008D5053">
        <w:rPr>
          <w:rFonts w:ascii="Arial" w:hAnsi="Arial" w:cs="Arial"/>
          <w:color w:val="000000"/>
          <w:sz w:val="22"/>
          <w:szCs w:val="22"/>
        </w:rPr>
        <w:t>.</w:t>
      </w:r>
    </w:p>
    <w:p w:rsidR="00FC640F" w:rsidRPr="008D5053" w:rsidRDefault="00FC640F" w:rsidP="00FC640F">
      <w:pPr>
        <w:pStyle w:val="Nagwek4"/>
        <w:tabs>
          <w:tab w:val="num" w:pos="720"/>
        </w:tabs>
        <w:spacing w:before="360" w:beforeAutospacing="0" w:after="360" w:afterAutospacing="0"/>
        <w:ind w:left="720" w:hanging="720"/>
        <w:jc w:val="both"/>
        <w:rPr>
          <w:rFonts w:ascii="Arial" w:hAnsi="Arial" w:cs="Arial"/>
          <w:bCs w:val="0"/>
          <w:color w:val="000000"/>
          <w:sz w:val="22"/>
          <w:szCs w:val="22"/>
        </w:rPr>
      </w:pPr>
      <w:r w:rsidRPr="008D5053">
        <w:rPr>
          <w:rFonts w:ascii="Arial" w:hAnsi="Arial" w:cs="Arial"/>
          <w:bCs w:val="0"/>
          <w:color w:val="000000"/>
          <w:sz w:val="22"/>
          <w:szCs w:val="22"/>
        </w:rPr>
        <w:t>8. Postanowienia końcowe</w:t>
      </w:r>
    </w:p>
    <w:p w:rsidR="00FC640F" w:rsidRPr="008D5053" w:rsidRDefault="00FC640F" w:rsidP="00FC640F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5053">
        <w:rPr>
          <w:rFonts w:ascii="Arial" w:hAnsi="Arial" w:cs="Arial"/>
          <w:color w:val="000000"/>
          <w:sz w:val="22"/>
          <w:szCs w:val="22"/>
        </w:rPr>
        <w:t>W kwestiach tu nie omówionych, zastosowanie znajdują przepisy rozporządzenia Ministra Finansów z dnia 4 września 2015 r. w sprawie audytu wewnętrznego oraz informacji o pracy i wynikach tego audytu ( Dz. U. z 2015 r., poz. 1480).</w:t>
      </w:r>
    </w:p>
    <w:p w:rsidR="00357883" w:rsidRPr="00627BE0" w:rsidRDefault="00357883" w:rsidP="00627BE0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357883" w:rsidRPr="00627BE0" w:rsidSect="007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A6" w:rsidRDefault="00AF13A6" w:rsidP="00FC640F">
      <w:r>
        <w:separator/>
      </w:r>
    </w:p>
  </w:endnote>
  <w:endnote w:type="continuationSeparator" w:id="0">
    <w:p w:rsidR="00AF13A6" w:rsidRDefault="00AF13A6" w:rsidP="00FC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A6" w:rsidRDefault="00AF13A6" w:rsidP="00FC640F">
      <w:r>
        <w:separator/>
      </w:r>
    </w:p>
  </w:footnote>
  <w:footnote w:type="continuationSeparator" w:id="0">
    <w:p w:rsidR="00AF13A6" w:rsidRDefault="00AF13A6" w:rsidP="00FC6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927"/>
    <w:multiLevelType w:val="hybridMultilevel"/>
    <w:tmpl w:val="D25CB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070"/>
    <w:multiLevelType w:val="hybridMultilevel"/>
    <w:tmpl w:val="AA70393E"/>
    <w:lvl w:ilvl="0" w:tplc="CD6AD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6DC7"/>
    <w:multiLevelType w:val="hybridMultilevel"/>
    <w:tmpl w:val="60D41FE6"/>
    <w:lvl w:ilvl="0" w:tplc="E340C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C18CD"/>
    <w:multiLevelType w:val="hybridMultilevel"/>
    <w:tmpl w:val="F89AED68"/>
    <w:lvl w:ilvl="0" w:tplc="CDA6E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2777D"/>
    <w:multiLevelType w:val="multilevel"/>
    <w:tmpl w:val="3E7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37D7F6B"/>
    <w:multiLevelType w:val="hybridMultilevel"/>
    <w:tmpl w:val="23EA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7781F"/>
    <w:multiLevelType w:val="hybridMultilevel"/>
    <w:tmpl w:val="02F002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15085F"/>
    <w:multiLevelType w:val="hybridMultilevel"/>
    <w:tmpl w:val="EE8E864E"/>
    <w:lvl w:ilvl="0" w:tplc="CDA6E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97A32"/>
    <w:multiLevelType w:val="hybridMultilevel"/>
    <w:tmpl w:val="45600868"/>
    <w:lvl w:ilvl="0" w:tplc="0B22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40F"/>
    <w:rsid w:val="00015600"/>
    <w:rsid w:val="000279C1"/>
    <w:rsid w:val="00357883"/>
    <w:rsid w:val="003A375A"/>
    <w:rsid w:val="003D0372"/>
    <w:rsid w:val="004137D0"/>
    <w:rsid w:val="005466A0"/>
    <w:rsid w:val="00590BC8"/>
    <w:rsid w:val="00606B0E"/>
    <w:rsid w:val="00627BE0"/>
    <w:rsid w:val="00730482"/>
    <w:rsid w:val="007F6FC9"/>
    <w:rsid w:val="008A7D26"/>
    <w:rsid w:val="008D5053"/>
    <w:rsid w:val="009546F7"/>
    <w:rsid w:val="009F43E7"/>
    <w:rsid w:val="00A2695B"/>
    <w:rsid w:val="00AF13A6"/>
    <w:rsid w:val="00B15E9E"/>
    <w:rsid w:val="00BA4F2D"/>
    <w:rsid w:val="00BB6852"/>
    <w:rsid w:val="00D21164"/>
    <w:rsid w:val="00E82B0F"/>
    <w:rsid w:val="00F7000D"/>
    <w:rsid w:val="00FC640F"/>
    <w:rsid w:val="00FE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FC64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qFormat/>
    <w:rsid w:val="00FC64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64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FC64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C640F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C64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ekst">
    <w:name w:val="TABELA tekst"/>
    <w:basedOn w:val="Normalny"/>
    <w:uiPriority w:val="99"/>
    <w:rsid w:val="00FC640F"/>
    <w:pPr>
      <w:widowControl w:val="0"/>
      <w:autoSpaceDE w:val="0"/>
      <w:autoSpaceDN w:val="0"/>
      <w:adjustRightInd w:val="0"/>
      <w:spacing w:after="28" w:line="220" w:lineRule="atLeast"/>
      <w:textAlignment w:val="baseline"/>
    </w:pPr>
    <w:rPr>
      <w:rFonts w:ascii="MinionPro-Regular" w:hAnsi="MinionPro-Regular" w:cs="MinionPro-Regular"/>
      <w:color w:val="000000"/>
      <w:sz w:val="20"/>
      <w:szCs w:val="20"/>
    </w:rPr>
  </w:style>
  <w:style w:type="paragraph" w:customStyle="1" w:styleId="Przypis">
    <w:name w:val="Przypis"/>
    <w:basedOn w:val="Normalny"/>
    <w:next w:val="Normalny"/>
    <w:uiPriority w:val="99"/>
    <w:rsid w:val="00FC640F"/>
    <w:pPr>
      <w:widowControl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MinionPro-Regular" w:hAnsi="MinionPro-Regular" w:cs="MinionPro-Regular"/>
      <w:color w:val="000000"/>
      <w:sz w:val="16"/>
      <w:szCs w:val="16"/>
    </w:rPr>
  </w:style>
  <w:style w:type="character" w:customStyle="1" w:styleId="Italic">
    <w:name w:val="Italic"/>
    <w:uiPriority w:val="99"/>
    <w:rsid w:val="00FC640F"/>
    <w:rPr>
      <w:i/>
      <w:iCs/>
    </w:rPr>
  </w:style>
  <w:style w:type="character" w:customStyle="1" w:styleId="superscript">
    <w:name w:val="superscript"/>
    <w:uiPriority w:val="99"/>
    <w:rsid w:val="00FC640F"/>
    <w:rPr>
      <w:vertAlign w:val="superscript"/>
    </w:rPr>
  </w:style>
  <w:style w:type="character" w:customStyle="1" w:styleId="Bold">
    <w:name w:val="Bold"/>
    <w:uiPriority w:val="99"/>
    <w:rsid w:val="00FC64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C070-16FE-46C9-9BD5-8FDB2DE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Dygała</dc:creator>
  <cp:lastModifiedBy>BOK_Aneta</cp:lastModifiedBy>
  <cp:revision>2</cp:revision>
  <cp:lastPrinted>2016-09-08T09:44:00Z</cp:lastPrinted>
  <dcterms:created xsi:type="dcterms:W3CDTF">2016-09-08T13:07:00Z</dcterms:created>
  <dcterms:modified xsi:type="dcterms:W3CDTF">2016-09-08T13:07:00Z</dcterms:modified>
</cp:coreProperties>
</file>