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A" w:rsidRPr="008654BE" w:rsidRDefault="00170D9A" w:rsidP="00170D9A">
      <w:pPr>
        <w:jc w:val="center"/>
        <w:rPr>
          <w:rFonts w:cs="Times New Roman"/>
          <w:b/>
          <w:sz w:val="28"/>
          <w:szCs w:val="28"/>
        </w:rPr>
      </w:pPr>
    </w:p>
    <w:p w:rsidR="002075B0" w:rsidRPr="008654BE" w:rsidRDefault="002075B0" w:rsidP="00170D9A">
      <w:pPr>
        <w:jc w:val="center"/>
        <w:rPr>
          <w:rFonts w:cs="Times New Roman"/>
          <w:b/>
          <w:sz w:val="28"/>
          <w:szCs w:val="28"/>
        </w:rPr>
      </w:pPr>
      <w:r w:rsidRPr="008654BE">
        <w:rPr>
          <w:rFonts w:cs="Times New Roman"/>
          <w:b/>
          <w:sz w:val="28"/>
          <w:szCs w:val="28"/>
        </w:rPr>
        <w:t>OBJAŚNIENIA DO WIELOLETNIEJ PROGNOZY FINANSOWEJ NA LATA 2012-2020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Zgodnie z art. 226-231 ustawy z dnia 27 sierpnia 2009 r. o finansach publicznych</w:t>
      </w:r>
    </w:p>
    <w:p w:rsidR="00B40537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jednostki samorządu terytorialnego są zobowiązane do przygotowania wieloletniej prognozy finansowej( WPF ). Prognozę tę opracowuje się w celu przeprowadzenia oceny sytuacji finansowej jednostki samorządu terytorialnego przez instytucje finansowe, organy nadzoru , a także mieszkańców gminy i inne zainteresowane podmioty. </w:t>
      </w:r>
    </w:p>
    <w:p w:rsidR="002075B0" w:rsidRPr="008654BE" w:rsidRDefault="00B40537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Niniejsza w</w:t>
      </w:r>
      <w:r w:rsidR="002075B0" w:rsidRPr="008654BE">
        <w:rPr>
          <w:rFonts w:cs="Times New Roman"/>
          <w:sz w:val="24"/>
          <w:szCs w:val="24"/>
        </w:rPr>
        <w:t>ieloletn</w:t>
      </w:r>
      <w:r w:rsidRPr="008654BE">
        <w:rPr>
          <w:rFonts w:cs="Times New Roman"/>
          <w:sz w:val="24"/>
          <w:szCs w:val="24"/>
        </w:rPr>
        <w:t xml:space="preserve">ia prognoza finansowa umożliwia </w:t>
      </w:r>
      <w:r w:rsidR="002075B0" w:rsidRPr="008654BE">
        <w:rPr>
          <w:rFonts w:cs="Times New Roman"/>
          <w:sz w:val="24"/>
          <w:szCs w:val="24"/>
        </w:rPr>
        <w:t xml:space="preserve">dokonanie oceny </w:t>
      </w:r>
      <w:r w:rsidRPr="008654BE">
        <w:rPr>
          <w:rFonts w:cs="Times New Roman"/>
          <w:sz w:val="24"/>
          <w:szCs w:val="24"/>
        </w:rPr>
        <w:t>zdolności kredytowej oraz wskazuje możliwości inwestycyjne Gminy Biała Rawska</w:t>
      </w:r>
      <w:r w:rsidR="002075B0" w:rsidRPr="008654BE">
        <w:rPr>
          <w:rFonts w:cs="Times New Roman"/>
          <w:sz w:val="24"/>
          <w:szCs w:val="24"/>
        </w:rPr>
        <w:t>, w tym skuteczną aplikację środków finansowych z Unii Europejskiej.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Wieloletnia prognoza finansowa definiująca, z jednej strony możliwości pozyskania dochodów, z drugiej - ki</w:t>
      </w:r>
      <w:r w:rsidR="00B40537" w:rsidRPr="008654BE">
        <w:rPr>
          <w:rFonts w:cs="Times New Roman"/>
          <w:sz w:val="24"/>
          <w:szCs w:val="24"/>
        </w:rPr>
        <w:t>erunki ich wydatkowania, pozwala</w:t>
      </w:r>
      <w:r w:rsidRPr="008654BE">
        <w:rPr>
          <w:rFonts w:cs="Times New Roman"/>
          <w:sz w:val="24"/>
          <w:szCs w:val="24"/>
        </w:rPr>
        <w:t xml:space="preserve"> na usystematyzowanie procesu realizacji inwestycji plano</w:t>
      </w:r>
      <w:r w:rsidR="00B40537" w:rsidRPr="008654BE">
        <w:rPr>
          <w:rFonts w:cs="Times New Roman"/>
          <w:sz w:val="24"/>
          <w:szCs w:val="24"/>
        </w:rPr>
        <w:t xml:space="preserve">wanych w perspektywie, umożliwia </w:t>
      </w:r>
      <w:r w:rsidRPr="008654BE">
        <w:rPr>
          <w:rFonts w:cs="Times New Roman"/>
          <w:sz w:val="24"/>
          <w:szCs w:val="24"/>
        </w:rPr>
        <w:t>długofalowe i racjonalne zaplanowanie wydatków Miasta, umożliwi także rozpoczęcie z odpowiednim wyprzedzeniem działań związanych z regulacjami terenowo- prawnymi, uzyskaniem wymaganych prawem decyzji oraz pozyskaniem środków finansowych ze źródeł zewnętrznych.</w:t>
      </w:r>
    </w:p>
    <w:p w:rsidR="002075B0" w:rsidRPr="008654BE" w:rsidRDefault="002075B0" w:rsidP="00170D9A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Times New Roman"/>
          <w:sz w:val="24"/>
          <w:szCs w:val="24"/>
        </w:rPr>
      </w:pP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W wieloletniej prognozie finansowej uwzględnione zostały zadania:</w:t>
      </w:r>
    </w:p>
    <w:p w:rsidR="002075B0" w:rsidRPr="008654BE" w:rsidRDefault="002075B0" w:rsidP="00170D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własne, wynikające z ustaw ustrojowych,</w:t>
      </w:r>
    </w:p>
    <w:p w:rsidR="002075B0" w:rsidRPr="008654BE" w:rsidRDefault="002075B0" w:rsidP="00170D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z zakresu administracji rządowej i inne zlecone ustawami,</w:t>
      </w:r>
    </w:p>
    <w:p w:rsidR="002075B0" w:rsidRPr="008654BE" w:rsidRDefault="002075B0" w:rsidP="00170D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wykonywane na podstawie porozumień /umów z organami administracji rządowej, </w:t>
      </w:r>
    </w:p>
    <w:p w:rsidR="002075B0" w:rsidRPr="008654BE" w:rsidRDefault="002075B0" w:rsidP="00170D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realizowane na podstawie porozumień /umów z innymi jednostkami samorządu terytorialnego,</w:t>
      </w:r>
    </w:p>
    <w:p w:rsidR="002075B0" w:rsidRPr="008654BE" w:rsidRDefault="002075B0" w:rsidP="00170D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realizowane na podstawie porozumień/ umów z innymi jednostkami w ramach dozwolonych przepisami prawa krajowego i unijnego.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Wielkości budżetowe na zadania przewidziane do finansowania w latach 2011-2020 zostały wyszacowane w oparciu o:</w:t>
      </w:r>
    </w:p>
    <w:p w:rsidR="002075B0" w:rsidRPr="008654BE" w:rsidRDefault="002075B0" w:rsidP="00170D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1. przepisy prawa zewnętrznego ( ustawy i rozporządzenia ), a w szczególności ustawy:</w:t>
      </w:r>
    </w:p>
    <w:p w:rsidR="002075B0" w:rsidRPr="008654BE" w:rsidRDefault="002075B0" w:rsidP="00170D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z dnia 8 marca 1990 r. o samorządzie gminnym ( Dz. U. z 2001 r, Nr 142, poz. 1591 z późn. zm.),</w:t>
      </w:r>
    </w:p>
    <w:p w:rsidR="002075B0" w:rsidRPr="008654BE" w:rsidRDefault="002075B0" w:rsidP="00170D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lastRenderedPageBreak/>
        <w:t>b) z dnia 5 czerwca 1998 r. o samorządzie powiatowym ( Dz. U. z 2001r. Nr 142, poz.1592 z późn. zm. ),</w:t>
      </w:r>
    </w:p>
    <w:p w:rsidR="002075B0" w:rsidRPr="008654BE" w:rsidRDefault="002075B0" w:rsidP="00170D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c) z dnia 27 sierpnia 2009 r. o finansach publicznych ( Dz. U. Nr 157, poz. 1240 z późn. zm. ),</w:t>
      </w:r>
    </w:p>
    <w:p w:rsidR="002075B0" w:rsidRPr="008654BE" w:rsidRDefault="002075B0" w:rsidP="00170D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z dnia 13 listopada 2003 r. o dochodach jednostek samorządu terytorialnego </w:t>
      </w:r>
    </w:p>
    <w:p w:rsidR="002075B0" w:rsidRPr="008654BE" w:rsidRDefault="002075B0" w:rsidP="00170D9A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(Dz. U. z 2010 r, Nr 203, poz. 1966 z późn. zm. ).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2. </w:t>
      </w:r>
      <w:r w:rsidRPr="008654BE">
        <w:rPr>
          <w:rFonts w:cs="Times New Roman"/>
          <w:sz w:val="24"/>
          <w:szCs w:val="24"/>
        </w:rPr>
        <w:tab/>
        <w:t>przepisy prawa wewnętrznego ( uchwały i zarządzenia organów Miasta ),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3.</w:t>
      </w:r>
      <w:r w:rsidRPr="008654BE">
        <w:rPr>
          <w:rFonts w:cs="Times New Roman"/>
          <w:sz w:val="24"/>
          <w:szCs w:val="24"/>
        </w:rPr>
        <w:tab/>
        <w:t>informację Ministra Finansów o wielkości subwencji ogólnej oraz przewidywanych udziałach w podatku dochodowym od osób fizycznych,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4.</w:t>
      </w:r>
      <w:r w:rsidRPr="008654BE">
        <w:rPr>
          <w:rFonts w:cs="Times New Roman"/>
          <w:sz w:val="24"/>
          <w:szCs w:val="24"/>
        </w:rPr>
        <w:tab/>
        <w:t>informację Wojewody Łódzkiego o kwotach dotacji celowych na zadania własne i zlecone z zakresu administracji rządowej,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5.</w:t>
      </w:r>
      <w:r w:rsidRPr="008654BE">
        <w:rPr>
          <w:rFonts w:cs="Times New Roman"/>
          <w:sz w:val="24"/>
          <w:szCs w:val="24"/>
        </w:rPr>
        <w:tab/>
        <w:t>informację o kwocie dotacji celowej na zadania zlecone z zakresu administracji rządowej,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6. założenia do projektu budżetu państwa oraz Wieloletni Plan Finansowy Państwa w zakresie dotyczącym wskaźników makroekonomicznych i innych danych na lata objęte prognozą,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7.</w:t>
      </w:r>
      <w:r w:rsidRPr="008654BE">
        <w:rPr>
          <w:rFonts w:cs="Times New Roman"/>
          <w:sz w:val="24"/>
          <w:szCs w:val="24"/>
        </w:rPr>
        <w:tab/>
        <w:t>inne przepisy, opracowania oraz stosowane w praktyce formy przekazu, jeżeli mają one związek z projektowanymi i prognozowanymi wielkościami budżetowymi.</w:t>
      </w:r>
    </w:p>
    <w:p w:rsidR="002075B0" w:rsidRPr="008654BE" w:rsidRDefault="002075B0" w:rsidP="00170D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2075B0" w:rsidRPr="008654BE" w:rsidRDefault="002075B0" w:rsidP="00AD0B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8654BE">
        <w:rPr>
          <w:rFonts w:cs="Times New Roman"/>
          <w:b/>
          <w:bCs/>
          <w:sz w:val="24"/>
          <w:szCs w:val="24"/>
        </w:rPr>
        <w:t>OGÓLNE ZASADY KONSTRUKCJI WIELOLETNIEJ PROGNOZY FINANSOWEJ</w:t>
      </w:r>
    </w:p>
    <w:p w:rsidR="002075B0" w:rsidRPr="008654BE" w:rsidRDefault="002075B0" w:rsidP="00170D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bCs/>
          <w:sz w:val="24"/>
          <w:szCs w:val="24"/>
        </w:rPr>
      </w:pP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b/>
          <w:bCs/>
          <w:sz w:val="24"/>
          <w:szCs w:val="24"/>
        </w:rPr>
        <w:t xml:space="preserve">Zasada jedności </w:t>
      </w:r>
      <w:r w:rsidRPr="008654BE">
        <w:rPr>
          <w:rFonts w:cs="Times New Roman"/>
          <w:sz w:val="24"/>
          <w:szCs w:val="24"/>
        </w:rPr>
        <w:t>polega na tym, że w wieloletniej prognozie finansowej ujęte zostały wszystkie dochody i wydatki podmiotów publicznych, finansowanych z budżetu i objętych budżetem,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b/>
          <w:bCs/>
          <w:sz w:val="24"/>
          <w:szCs w:val="24"/>
        </w:rPr>
        <w:t xml:space="preserve">Zasada równowagi </w:t>
      </w:r>
      <w:r w:rsidRPr="008654BE">
        <w:rPr>
          <w:rFonts w:cs="Times New Roman"/>
          <w:sz w:val="24"/>
          <w:szCs w:val="24"/>
        </w:rPr>
        <w:t>polega na tym, że w przypadku występowania deficytu, konieczne jest wskazanie źródeł jego pokrycia, natomiast w przypadku nadwyżki budżetowej – wskazanie jej przeznaczenia,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b/>
          <w:bCs/>
          <w:sz w:val="24"/>
          <w:szCs w:val="24"/>
        </w:rPr>
        <w:t xml:space="preserve">Zasada zupełności i szczegółowości – </w:t>
      </w:r>
      <w:r w:rsidRPr="008654BE">
        <w:rPr>
          <w:rFonts w:cs="Times New Roman"/>
          <w:sz w:val="24"/>
          <w:szCs w:val="24"/>
        </w:rPr>
        <w:t>w wieloletniej prognozie finansowej ujęte zostały wszystkie dochody i wydatki oraz przychody i rozchody w pełnych kwotach, ze szczegółowością wynikającą z przepisów prawa,</w:t>
      </w:r>
    </w:p>
    <w:p w:rsidR="002075B0" w:rsidRPr="008654BE" w:rsidRDefault="002075B0" w:rsidP="00170D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b/>
          <w:bCs/>
          <w:sz w:val="24"/>
          <w:szCs w:val="24"/>
        </w:rPr>
        <w:t xml:space="preserve">Zasada realności </w:t>
      </w:r>
      <w:r w:rsidRPr="008654BE">
        <w:rPr>
          <w:rFonts w:cs="Times New Roman"/>
          <w:sz w:val="24"/>
          <w:szCs w:val="24"/>
        </w:rPr>
        <w:t>to oparcie wieloletniej prognozy finansowej na pełnych, realnych i wyczerpujących przesłankach o charakterze ekonomicznym.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Podczas prac związanych z przygotowaniem wieloletniej prognozy finansowej miasta Biała Rawska na lata 2011-2020 wykorzystane zostały materiały: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lastRenderedPageBreak/>
        <w:t>1) Ministerstwa Finansów</w:t>
      </w:r>
    </w:p>
    <w:p w:rsidR="002075B0" w:rsidRPr="008654BE" w:rsidRDefault="002075B0" w:rsidP="00170D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Wieloletni Plan Finansowy Państwa 2010-2013,</w:t>
      </w:r>
    </w:p>
    <w:p w:rsidR="002075B0" w:rsidRPr="008654BE" w:rsidRDefault="002075B0" w:rsidP="00170D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Wytyczne dotyczące założeń makroekonomicznych na potrzeby Wieloletniej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 w:firstLine="348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Prognozy Finansowej jednostek samorządu terytorialnego:</w:t>
      </w:r>
    </w:p>
    <w:p w:rsidR="002075B0" w:rsidRPr="008654BE" w:rsidRDefault="002075B0" w:rsidP="00170D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Tablice wskaźniki na lata 2015-2040,</w:t>
      </w:r>
    </w:p>
    <w:p w:rsidR="002075B0" w:rsidRPr="008654BE" w:rsidRDefault="002075B0" w:rsidP="00170D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Tablice wskaźniki na lata 2015-2040 ( PKB, CPI ),</w:t>
      </w:r>
    </w:p>
    <w:p w:rsidR="002075B0" w:rsidRPr="008654BE" w:rsidRDefault="002075B0" w:rsidP="00170D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Podstawowe wskaźniki makroekonomiczne w latach 2009-2014,</w:t>
      </w:r>
    </w:p>
    <w:p w:rsidR="002075B0" w:rsidRPr="008654BE" w:rsidRDefault="002075B0" w:rsidP="00170D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Techniczny scenariusz temp wzrostu PKB i CPI w poszczególnych latach w okresie 2015-2040,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 w:firstLine="348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· Założenia projektu budżetu państwa na rok 2011,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2) Opracowanie Instytutu Nauk Społeczno-Ekonomicznych, Przygotowanie wieloletniej prognozy finansowej, dobre praktyki,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3) Analizy własne dotyczące kształtowania się dynamiki dochodów i wydatków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budżetowych Miasta w latach poprzedzających opracowanie WPF.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2075B0" w:rsidRPr="008654BE" w:rsidRDefault="002075B0" w:rsidP="00AD0B5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8654BE">
        <w:rPr>
          <w:rFonts w:cs="Times New Roman"/>
          <w:b/>
          <w:bCs/>
          <w:sz w:val="24"/>
          <w:szCs w:val="24"/>
        </w:rPr>
        <w:t>OBJAŚNIENIA WARTOŚCI PRZYJĘTYCH DO OPRACOWANIA WIELOLETNIEJ PROGNOZY FINANSOWEJ</w:t>
      </w: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2075B0" w:rsidRPr="008654BE" w:rsidRDefault="002075B0" w:rsidP="00170D9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Rok 2011 jest pierwszym rokiem opracowania prognozy. Wartości przyjęte w wieloletniej prognozie finansowej w tym roku są zgodne z projektem budżetu na 2011 rok.</w:t>
      </w:r>
    </w:p>
    <w:p w:rsidR="000C52EB" w:rsidRPr="008654BE" w:rsidRDefault="000C52EB" w:rsidP="00170D9A">
      <w:pPr>
        <w:jc w:val="both"/>
        <w:rPr>
          <w:rFonts w:cs="Times New Roman"/>
          <w:sz w:val="24"/>
          <w:szCs w:val="24"/>
        </w:rPr>
      </w:pPr>
    </w:p>
    <w:p w:rsidR="00237D71" w:rsidRPr="008654BE" w:rsidRDefault="00E2289F" w:rsidP="00170D9A">
      <w:pPr>
        <w:pStyle w:val="Akapitzlist"/>
        <w:ind w:left="108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Założenia dotyczące </w:t>
      </w:r>
      <w:r w:rsidR="00C244D5" w:rsidRPr="008654BE">
        <w:rPr>
          <w:rFonts w:cs="Times New Roman"/>
          <w:sz w:val="24"/>
          <w:szCs w:val="24"/>
        </w:rPr>
        <w:t>prognozy dochodów na lata 2012-2020</w:t>
      </w:r>
    </w:p>
    <w:p w:rsidR="00C244D5" w:rsidRPr="008654BE" w:rsidRDefault="001E2191" w:rsidP="00170D9A">
      <w:p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Dochody ogółem zostały oszacowane jako suma dochodów bieżących i dochodów majątkowych w poszczególnych latach prognozy. </w:t>
      </w:r>
    </w:p>
    <w:p w:rsidR="002F0AF4" w:rsidRPr="008654BE" w:rsidRDefault="002F0AF4" w:rsidP="00170D9A">
      <w:pPr>
        <w:jc w:val="both"/>
        <w:rPr>
          <w:rFonts w:cs="Times New Roman"/>
          <w:sz w:val="24"/>
          <w:szCs w:val="24"/>
          <w:u w:val="single"/>
        </w:rPr>
      </w:pPr>
      <w:r w:rsidRPr="008654BE">
        <w:rPr>
          <w:rFonts w:cs="Times New Roman"/>
          <w:sz w:val="24"/>
          <w:szCs w:val="24"/>
          <w:u w:val="single"/>
        </w:rPr>
        <w:t>Dochody bieżące</w:t>
      </w:r>
    </w:p>
    <w:p w:rsidR="00D63D28" w:rsidRPr="008654BE" w:rsidRDefault="00D63D28" w:rsidP="00170D9A">
      <w:p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Przy szacowaniu dochodów bieżących przyjęto następujące założenia:</w:t>
      </w:r>
    </w:p>
    <w:p w:rsidR="00D63D28" w:rsidRPr="008654BE" w:rsidRDefault="00D63D28" w:rsidP="00170D9A">
      <w:pPr>
        <w:pStyle w:val="Akapitzlist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Wpływy z podatków zostały oszacowane jako jedna kategoria  w skład której wchodzą wszystkie rodzaje podatków lokalnych. </w:t>
      </w:r>
      <w:r w:rsidR="006A7FAD" w:rsidRPr="008654BE">
        <w:rPr>
          <w:rFonts w:cs="Times New Roman"/>
          <w:sz w:val="24"/>
          <w:szCs w:val="24"/>
        </w:rPr>
        <w:t>Analiza danych historycznych wskazuje na realny wzrost wpływów z podatków a wskaźnik ich wzrostu kształtował się powyżej wskaźników  inflacji (CIP) w poszczególnych latach. Na tej podstawie przyjęto</w:t>
      </w:r>
      <w:r w:rsidR="00B047A1" w:rsidRPr="008654BE">
        <w:rPr>
          <w:rFonts w:cs="Times New Roman"/>
          <w:sz w:val="24"/>
          <w:szCs w:val="24"/>
        </w:rPr>
        <w:t>, wzrost</w:t>
      </w:r>
      <w:r w:rsidR="006A7FAD" w:rsidRPr="008654BE">
        <w:rPr>
          <w:rFonts w:cs="Times New Roman"/>
          <w:sz w:val="24"/>
          <w:szCs w:val="24"/>
        </w:rPr>
        <w:t xml:space="preserve"> </w:t>
      </w:r>
      <w:r w:rsidR="00B047A1" w:rsidRPr="008654BE">
        <w:rPr>
          <w:rFonts w:cs="Times New Roman"/>
          <w:sz w:val="24"/>
          <w:szCs w:val="24"/>
        </w:rPr>
        <w:t>wpływów z podatków w każdym roku, stosunku do roku poprzedniego, powyżej wskaźników inflacji podanych przez Ministerstwo Finansów. Przyjęto, iż wzrost ten będzie wynosił 4% w każdym roku prognozy w stosunku do roku poprzedniego.</w:t>
      </w:r>
    </w:p>
    <w:p w:rsidR="00BB30B3" w:rsidRPr="008654BE" w:rsidRDefault="00EB42D1" w:rsidP="00170D9A">
      <w:pPr>
        <w:pStyle w:val="Akapitzlist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lastRenderedPageBreak/>
        <w:t xml:space="preserve">Udział w podatkach PIT – przyjęto iż wpływy z tego tytułu będą  rosnąć </w:t>
      </w:r>
      <w:r w:rsidR="00BB30B3" w:rsidRPr="008654BE">
        <w:rPr>
          <w:rFonts w:cs="Times New Roman"/>
          <w:sz w:val="24"/>
          <w:szCs w:val="24"/>
        </w:rPr>
        <w:t>w latach</w:t>
      </w:r>
      <w:r w:rsidR="008C6108" w:rsidRPr="008654BE">
        <w:rPr>
          <w:rFonts w:cs="Times New Roman"/>
          <w:sz w:val="24"/>
          <w:szCs w:val="24"/>
        </w:rPr>
        <w:t xml:space="preserve"> 2012 i 2013</w:t>
      </w:r>
      <w:r w:rsidRPr="008654BE">
        <w:rPr>
          <w:rFonts w:cs="Times New Roman"/>
          <w:sz w:val="24"/>
          <w:szCs w:val="24"/>
        </w:rPr>
        <w:t xml:space="preserve"> o wskaźnik </w:t>
      </w:r>
      <w:r w:rsidR="008C6108" w:rsidRPr="008654BE">
        <w:rPr>
          <w:rFonts w:cs="Times New Roman"/>
          <w:sz w:val="24"/>
          <w:szCs w:val="24"/>
        </w:rPr>
        <w:t>wzrostu z wpływów z podatków PIT  w</w:t>
      </w:r>
      <w:r w:rsidRPr="008654BE">
        <w:rPr>
          <w:rFonts w:cs="Times New Roman"/>
          <w:sz w:val="24"/>
          <w:szCs w:val="24"/>
        </w:rPr>
        <w:t xml:space="preserve">yliczony na podstawie danych zawartych </w:t>
      </w:r>
      <w:r w:rsidR="008C6108" w:rsidRPr="008654BE">
        <w:rPr>
          <w:rFonts w:cs="Times New Roman"/>
          <w:sz w:val="24"/>
          <w:szCs w:val="24"/>
        </w:rPr>
        <w:t xml:space="preserve">w Wieloletnim Planie </w:t>
      </w:r>
      <w:r w:rsidR="00E560A8" w:rsidRPr="008654BE">
        <w:rPr>
          <w:rFonts w:cs="Times New Roman"/>
          <w:sz w:val="24"/>
          <w:szCs w:val="24"/>
        </w:rPr>
        <w:t>Finansowym Państwa na lata 2010 -</w:t>
      </w:r>
      <w:r w:rsidR="008C6108" w:rsidRPr="008654BE">
        <w:rPr>
          <w:rFonts w:cs="Times New Roman"/>
          <w:sz w:val="24"/>
          <w:szCs w:val="24"/>
        </w:rPr>
        <w:t xml:space="preserve"> 2013 – Tabela „Dochody budżetu państwa” strona 18. Wskaźnik ten </w:t>
      </w:r>
      <w:r w:rsidRPr="008654BE">
        <w:rPr>
          <w:rFonts w:cs="Times New Roman"/>
          <w:sz w:val="24"/>
          <w:szCs w:val="24"/>
        </w:rPr>
        <w:t xml:space="preserve"> wynosi dla </w:t>
      </w:r>
      <w:r w:rsidR="00BB30B3" w:rsidRPr="008654BE">
        <w:rPr>
          <w:rFonts w:cs="Times New Roman"/>
          <w:sz w:val="24"/>
          <w:szCs w:val="24"/>
        </w:rPr>
        <w:t>roku 2012</w:t>
      </w:r>
      <w:r w:rsidRPr="008654BE">
        <w:rPr>
          <w:rFonts w:cs="Times New Roman"/>
          <w:sz w:val="24"/>
          <w:szCs w:val="24"/>
        </w:rPr>
        <w:t xml:space="preserve"> </w:t>
      </w:r>
      <w:r w:rsidR="00BB30B3" w:rsidRPr="008654BE">
        <w:rPr>
          <w:rFonts w:cs="Times New Roman"/>
          <w:sz w:val="24"/>
          <w:szCs w:val="24"/>
        </w:rPr>
        <w:t xml:space="preserve">– 10,73% i dla roku </w:t>
      </w:r>
      <w:r w:rsidRPr="008654BE">
        <w:rPr>
          <w:rFonts w:cs="Times New Roman"/>
          <w:sz w:val="24"/>
          <w:szCs w:val="24"/>
        </w:rPr>
        <w:t xml:space="preserve"> </w:t>
      </w:r>
      <w:r w:rsidR="00BB30B3" w:rsidRPr="008654BE">
        <w:rPr>
          <w:rFonts w:cs="Times New Roman"/>
          <w:sz w:val="24"/>
          <w:szCs w:val="24"/>
        </w:rPr>
        <w:t>2013 – 8,04%.  Z uwagi na brak prognoz Ministerstwa Finansów dochodów budżetu państwa na lata 2014-2020 przyjęto, wzrost dochodów Miasta tytułu PIT na poziomie wskaźnika wzrostu PKB, w poszczególnych latach, skorygowanego o wskaźnik inflacji, w kolejnych latach. Tak oszacowany wska</w:t>
      </w:r>
      <w:r w:rsidR="00E560A8" w:rsidRPr="008654BE">
        <w:rPr>
          <w:rFonts w:cs="Times New Roman"/>
          <w:sz w:val="24"/>
          <w:szCs w:val="24"/>
        </w:rPr>
        <w:t>źnik wyniósł  na lata 2014 – 202</w:t>
      </w:r>
      <w:r w:rsidR="00BB30B3" w:rsidRPr="008654BE">
        <w:rPr>
          <w:rFonts w:cs="Times New Roman"/>
          <w:sz w:val="24"/>
          <w:szCs w:val="24"/>
        </w:rPr>
        <w:t xml:space="preserve">0 </w:t>
      </w:r>
      <w:r w:rsidR="00C34CB6" w:rsidRPr="008654BE">
        <w:rPr>
          <w:rFonts w:cs="Times New Roman"/>
          <w:sz w:val="24"/>
          <w:szCs w:val="24"/>
        </w:rPr>
        <w:t xml:space="preserve"> -  </w:t>
      </w:r>
      <w:r w:rsidR="00BB30B3" w:rsidRPr="008654BE">
        <w:rPr>
          <w:rFonts w:cs="Times New Roman"/>
          <w:sz w:val="24"/>
          <w:szCs w:val="24"/>
        </w:rPr>
        <w:t>5,9%.</w:t>
      </w:r>
      <w:r w:rsidR="00C34CB6" w:rsidRPr="008654BE">
        <w:rPr>
          <w:rFonts w:cs="Times New Roman"/>
          <w:sz w:val="24"/>
          <w:szCs w:val="24"/>
        </w:rPr>
        <w:t xml:space="preserve"> </w:t>
      </w:r>
    </w:p>
    <w:p w:rsidR="00C34CB6" w:rsidRPr="008654BE" w:rsidRDefault="00C34CB6" w:rsidP="00170D9A">
      <w:pPr>
        <w:pStyle w:val="Akapitzlist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Wartością bazową prognozy udziału w podatkach PIT jest jej wartość wyliczona przez Ministerstwo </w:t>
      </w:r>
      <w:r w:rsidR="009C6F1E" w:rsidRPr="008654BE">
        <w:rPr>
          <w:rFonts w:cs="Times New Roman"/>
          <w:sz w:val="24"/>
          <w:szCs w:val="24"/>
        </w:rPr>
        <w:t xml:space="preserve">Finansów </w:t>
      </w:r>
      <w:r w:rsidRPr="008654BE">
        <w:rPr>
          <w:rFonts w:cs="Times New Roman"/>
          <w:sz w:val="24"/>
          <w:szCs w:val="24"/>
        </w:rPr>
        <w:t xml:space="preserve"> na rok 2011</w:t>
      </w:r>
      <w:r w:rsidR="009C6F1E" w:rsidRPr="008654BE">
        <w:rPr>
          <w:rFonts w:cs="Times New Roman"/>
          <w:sz w:val="24"/>
          <w:szCs w:val="24"/>
        </w:rPr>
        <w:t xml:space="preserve">, zakładająca wielkość udziału gmin we wpływach z podatku PIT na poziomie 37,12%. </w:t>
      </w:r>
    </w:p>
    <w:p w:rsidR="00033DE7" w:rsidRPr="008654BE" w:rsidRDefault="006B36ED" w:rsidP="00170D9A">
      <w:pPr>
        <w:pStyle w:val="Akapitzlist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Założono iż działania prowadzone przez kierownictwo JST zmierzające do stałej poprawy warunków życia jej mieszkańców będą sprzyjać co najmniej utrzymaniu obecnej struktury zatrudnienia na terenie Miasta i Gminy.</w:t>
      </w:r>
    </w:p>
    <w:p w:rsidR="00126C45" w:rsidRPr="008654BE" w:rsidRDefault="00126C45" w:rsidP="00170D9A">
      <w:pPr>
        <w:pStyle w:val="Akapitzlist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Wpływy z podatku CIT – dane historyczne wskazują na dużą niestabilność wpływów </w:t>
      </w:r>
      <w:r w:rsidR="009B6AD9" w:rsidRPr="008654BE">
        <w:rPr>
          <w:rFonts w:cs="Times New Roman"/>
          <w:sz w:val="24"/>
          <w:szCs w:val="24"/>
        </w:rPr>
        <w:t xml:space="preserve">z </w:t>
      </w:r>
      <w:r w:rsidRPr="008654BE">
        <w:rPr>
          <w:rFonts w:cs="Times New Roman"/>
          <w:sz w:val="24"/>
          <w:szCs w:val="24"/>
        </w:rPr>
        <w:t>podatku CIT (</w:t>
      </w:r>
      <w:r w:rsidR="009B6AD9" w:rsidRPr="008654BE">
        <w:rPr>
          <w:rFonts w:cs="Times New Roman"/>
          <w:sz w:val="24"/>
          <w:szCs w:val="24"/>
        </w:rPr>
        <w:t xml:space="preserve">np. </w:t>
      </w:r>
      <w:r w:rsidRPr="008654BE">
        <w:rPr>
          <w:rFonts w:cs="Times New Roman"/>
          <w:sz w:val="24"/>
          <w:szCs w:val="24"/>
        </w:rPr>
        <w:t>wzrost o ponad 27% w 2008</w:t>
      </w:r>
      <w:r w:rsidR="009B6AD9" w:rsidRPr="008654BE">
        <w:rPr>
          <w:rFonts w:cs="Times New Roman"/>
          <w:sz w:val="24"/>
          <w:szCs w:val="24"/>
        </w:rPr>
        <w:t xml:space="preserve"> </w:t>
      </w:r>
      <w:r w:rsidRPr="008654BE">
        <w:rPr>
          <w:rFonts w:cs="Times New Roman"/>
          <w:sz w:val="24"/>
          <w:szCs w:val="24"/>
        </w:rPr>
        <w:t>roku  i spadek o ponad 40% w 2009 roku)</w:t>
      </w:r>
      <w:r w:rsidR="00A5280B" w:rsidRPr="008654BE">
        <w:rPr>
          <w:rFonts w:cs="Times New Roman"/>
          <w:sz w:val="24"/>
          <w:szCs w:val="24"/>
        </w:rPr>
        <w:t xml:space="preserve"> przy czym stanowią one niewielki udział w łącznych dochodach bieżących budżetu Miasta (0,17%  w 2009 roku). Ze względów ostrożnościowych w latach 2012 -2020 przyjęto stałą kwotę wpływów z tytułu podatków CIT na poziomie planu roku 2011 tj. 60.000,00 zł.</w:t>
      </w:r>
    </w:p>
    <w:p w:rsidR="00206174" w:rsidRPr="008654BE" w:rsidRDefault="004543BA" w:rsidP="00170D9A">
      <w:pPr>
        <w:pStyle w:val="Akapitzlist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Dla pozostałych pozycji dochodów bieżących Miasta przyjęto założenie stałego wzrostu w okresie prognozy </w:t>
      </w:r>
      <w:r w:rsidR="003C7F08" w:rsidRPr="008654BE">
        <w:rPr>
          <w:rFonts w:cs="Times New Roman"/>
          <w:sz w:val="24"/>
          <w:szCs w:val="24"/>
        </w:rPr>
        <w:t xml:space="preserve">maksymalnie </w:t>
      </w:r>
      <w:r w:rsidRPr="008654BE">
        <w:rPr>
          <w:rFonts w:cs="Times New Roman"/>
          <w:sz w:val="24"/>
          <w:szCs w:val="24"/>
        </w:rPr>
        <w:t xml:space="preserve">o wskaźnik </w:t>
      </w:r>
      <w:r w:rsidR="00206174" w:rsidRPr="008654BE">
        <w:rPr>
          <w:rFonts w:cs="Times New Roman"/>
          <w:sz w:val="24"/>
          <w:szCs w:val="24"/>
        </w:rPr>
        <w:t>inflacji.</w:t>
      </w:r>
    </w:p>
    <w:p w:rsidR="007409A2" w:rsidRPr="008654BE" w:rsidRDefault="007409A2" w:rsidP="007409A2">
      <w:pPr>
        <w:jc w:val="both"/>
        <w:rPr>
          <w:rFonts w:cs="Times New Roman"/>
          <w:sz w:val="24"/>
          <w:szCs w:val="24"/>
        </w:rPr>
      </w:pPr>
    </w:p>
    <w:p w:rsidR="001A218B" w:rsidRPr="008654BE" w:rsidRDefault="001A218B" w:rsidP="00170D9A">
      <w:pPr>
        <w:tabs>
          <w:tab w:val="left" w:pos="434"/>
        </w:tabs>
        <w:jc w:val="both"/>
        <w:rPr>
          <w:rFonts w:cs="Times New Roman"/>
          <w:sz w:val="24"/>
          <w:szCs w:val="24"/>
          <w:u w:val="single"/>
        </w:rPr>
      </w:pPr>
      <w:r w:rsidRPr="008654BE">
        <w:rPr>
          <w:rFonts w:cs="Times New Roman"/>
          <w:sz w:val="24"/>
          <w:szCs w:val="24"/>
          <w:u w:val="single"/>
        </w:rPr>
        <w:t>Dochody majątkowe:</w:t>
      </w:r>
    </w:p>
    <w:p w:rsidR="00206174" w:rsidRPr="008654BE" w:rsidRDefault="00206174" w:rsidP="00170D9A">
      <w:pPr>
        <w:tabs>
          <w:tab w:val="left" w:pos="434"/>
        </w:tabs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Przyjęty w WPF poziom dochodów majątkowych </w:t>
      </w:r>
      <w:r w:rsidR="00052FFE" w:rsidRPr="008654BE">
        <w:rPr>
          <w:rFonts w:cs="Times New Roman"/>
          <w:sz w:val="24"/>
          <w:szCs w:val="24"/>
        </w:rPr>
        <w:t xml:space="preserve">na lata 2012 – 2020 </w:t>
      </w:r>
      <w:r w:rsidRPr="008654BE">
        <w:rPr>
          <w:rFonts w:cs="Times New Roman"/>
          <w:sz w:val="24"/>
          <w:szCs w:val="24"/>
        </w:rPr>
        <w:t xml:space="preserve">obejmuje wyłącznie dochody z tytułu sprzedaży majątku. Zostały one oszacowane w oparciu o </w:t>
      </w:r>
      <w:r w:rsidR="007141DA" w:rsidRPr="008654BE">
        <w:rPr>
          <w:rFonts w:cs="Times New Roman"/>
          <w:sz w:val="24"/>
          <w:szCs w:val="24"/>
        </w:rPr>
        <w:t>zasoby nieruchomości Miasta przeznaczone do zbycia oraz prognozowane ceny</w:t>
      </w:r>
      <w:r w:rsidR="00B62AD2" w:rsidRPr="008654BE">
        <w:rPr>
          <w:rFonts w:cs="Times New Roman"/>
          <w:sz w:val="24"/>
          <w:szCs w:val="24"/>
        </w:rPr>
        <w:t xml:space="preserve"> możliwe do uzyskania ze sprzedaży.</w:t>
      </w:r>
      <w:r w:rsidR="00CC6AF9" w:rsidRPr="008654BE">
        <w:rPr>
          <w:rFonts w:cs="Times New Roman"/>
          <w:sz w:val="24"/>
          <w:szCs w:val="24"/>
        </w:rPr>
        <w:t xml:space="preserve"> Na dzień opracowywania prognozy nie istnieją przesłanki pozwalające zakładać pozyskanie dochodów majątkowych z innych tytułów.</w:t>
      </w:r>
    </w:p>
    <w:p w:rsidR="002075B0" w:rsidRPr="008654BE" w:rsidRDefault="002075B0" w:rsidP="00170D9A">
      <w:pPr>
        <w:tabs>
          <w:tab w:val="left" w:pos="434"/>
        </w:tabs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Dochody ze sprzedaży majątku w latach 2011-2020 (w tys</w:t>
      </w:r>
      <w:r w:rsidR="007409A2" w:rsidRPr="008654BE">
        <w:rPr>
          <w:rFonts w:cs="Times New Roman"/>
          <w:sz w:val="24"/>
          <w:szCs w:val="24"/>
        </w:rPr>
        <w:t>.</w:t>
      </w:r>
      <w:r w:rsidRPr="008654BE">
        <w:rPr>
          <w:rFonts w:cs="Times New Roman"/>
          <w:sz w:val="24"/>
          <w:szCs w:val="24"/>
        </w:rPr>
        <w:t xml:space="preserve"> zł)</w:t>
      </w:r>
    </w:p>
    <w:tbl>
      <w:tblPr>
        <w:tblStyle w:val="Tabela-Siatka"/>
        <w:tblW w:w="0" w:type="auto"/>
        <w:tblLook w:val="04A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2075B0" w:rsidRPr="008654BE" w:rsidTr="002075B0">
        <w:tc>
          <w:tcPr>
            <w:tcW w:w="835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2011</w:t>
            </w:r>
          </w:p>
          <w:p w:rsidR="0011523E" w:rsidRPr="008654BE" w:rsidRDefault="0011523E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2012</w:t>
            </w:r>
          </w:p>
          <w:p w:rsidR="0011523E" w:rsidRPr="008654BE" w:rsidRDefault="0011523E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2013</w:t>
            </w:r>
          </w:p>
          <w:p w:rsidR="0011523E" w:rsidRPr="008654BE" w:rsidRDefault="0011523E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2014</w:t>
            </w:r>
          </w:p>
          <w:p w:rsidR="0011523E" w:rsidRPr="008654BE" w:rsidRDefault="0011523E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2015</w:t>
            </w:r>
          </w:p>
          <w:p w:rsidR="0011523E" w:rsidRPr="008654BE" w:rsidRDefault="0011523E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2016</w:t>
            </w:r>
          </w:p>
          <w:p w:rsidR="0011523E" w:rsidRPr="008654BE" w:rsidRDefault="0011523E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2017</w:t>
            </w:r>
          </w:p>
          <w:p w:rsidR="0011523E" w:rsidRPr="008654BE" w:rsidRDefault="0011523E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2018</w:t>
            </w:r>
          </w:p>
          <w:p w:rsidR="0011523E" w:rsidRPr="008654BE" w:rsidRDefault="0011523E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2019</w:t>
            </w:r>
          </w:p>
          <w:p w:rsidR="0011523E" w:rsidRPr="008654BE" w:rsidRDefault="0011523E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rok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2020</w:t>
            </w:r>
            <w:r w:rsidR="0011523E" w:rsidRPr="008654BE">
              <w:rPr>
                <w:rFonts w:cs="Times New Roman"/>
                <w:sz w:val="24"/>
                <w:szCs w:val="24"/>
              </w:rPr>
              <w:t xml:space="preserve"> rok</w:t>
            </w:r>
          </w:p>
        </w:tc>
      </w:tr>
      <w:tr w:rsidR="002075B0" w:rsidRPr="008654BE" w:rsidTr="002075B0">
        <w:tc>
          <w:tcPr>
            <w:tcW w:w="835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700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700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700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700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836" w:type="dxa"/>
          </w:tcPr>
          <w:p w:rsidR="002075B0" w:rsidRPr="008654BE" w:rsidRDefault="002075B0" w:rsidP="00170D9A">
            <w:pPr>
              <w:tabs>
                <w:tab w:val="left" w:pos="4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654BE">
              <w:rPr>
                <w:rFonts w:cs="Times New Roman"/>
                <w:sz w:val="24"/>
                <w:szCs w:val="24"/>
              </w:rPr>
              <w:t>750</w:t>
            </w:r>
          </w:p>
        </w:tc>
      </w:tr>
    </w:tbl>
    <w:p w:rsidR="007409A2" w:rsidRPr="008654BE" w:rsidRDefault="007409A2" w:rsidP="00170D9A">
      <w:pPr>
        <w:tabs>
          <w:tab w:val="left" w:pos="434"/>
        </w:tabs>
        <w:jc w:val="both"/>
        <w:rPr>
          <w:rFonts w:cs="Times New Roman"/>
          <w:sz w:val="24"/>
          <w:szCs w:val="24"/>
        </w:rPr>
      </w:pPr>
    </w:p>
    <w:p w:rsidR="007409A2" w:rsidRPr="008654BE" w:rsidRDefault="007409A2" w:rsidP="008654BE">
      <w:pPr>
        <w:tabs>
          <w:tab w:val="left" w:pos="434"/>
        </w:tabs>
        <w:spacing w:before="12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Szczegółowe zestawienie poszczególnych składników mienia komunalnego przeznaczonego  do sprzedaży zawi</w:t>
      </w:r>
      <w:r w:rsidR="00FA153D" w:rsidRPr="008654BE">
        <w:rPr>
          <w:rFonts w:cs="Times New Roman"/>
          <w:sz w:val="24"/>
          <w:szCs w:val="24"/>
        </w:rPr>
        <w:t>era poprzednie opracowanie WPF (listopad 2010)</w:t>
      </w:r>
    </w:p>
    <w:p w:rsidR="002F0AF4" w:rsidRPr="008654BE" w:rsidRDefault="002F0AF4" w:rsidP="00170D9A">
      <w:pPr>
        <w:tabs>
          <w:tab w:val="left" w:pos="434"/>
        </w:tabs>
        <w:jc w:val="both"/>
        <w:rPr>
          <w:rFonts w:cs="Times New Roman"/>
          <w:sz w:val="24"/>
          <w:szCs w:val="24"/>
          <w:u w:val="single"/>
        </w:rPr>
      </w:pPr>
      <w:r w:rsidRPr="008654BE">
        <w:rPr>
          <w:rFonts w:cs="Times New Roman"/>
          <w:sz w:val="24"/>
          <w:szCs w:val="24"/>
          <w:u w:val="single"/>
        </w:rPr>
        <w:t>Dochody ogółem:</w:t>
      </w:r>
    </w:p>
    <w:p w:rsidR="002F0AF4" w:rsidRPr="008654BE" w:rsidRDefault="002F0AF4" w:rsidP="008654BE">
      <w:pPr>
        <w:tabs>
          <w:tab w:val="left" w:pos="434"/>
        </w:tabs>
        <w:spacing w:before="120" w:after="12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Analiza historyczna poziomu dochodów ogółem wskazuje na stały ich wzrost. Wskaźnik ich wzrostu znacznie przewyższał poziom inflacji w poszczególnych latach.</w:t>
      </w:r>
    </w:p>
    <w:p w:rsidR="002F0AF4" w:rsidRPr="008654BE" w:rsidRDefault="002F0AF4" w:rsidP="008654BE">
      <w:pPr>
        <w:tabs>
          <w:tab w:val="left" w:pos="434"/>
        </w:tabs>
        <w:spacing w:before="120" w:after="12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Biorąc pod uwagę:</w:t>
      </w:r>
    </w:p>
    <w:p w:rsidR="002F0AF4" w:rsidRPr="008654BE" w:rsidRDefault="002F0AF4" w:rsidP="008654BE">
      <w:pPr>
        <w:tabs>
          <w:tab w:val="left" w:pos="434"/>
        </w:tabs>
        <w:spacing w:before="120" w:after="12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- silną tendencję wzrostową;</w:t>
      </w:r>
    </w:p>
    <w:p w:rsidR="002F0AF4" w:rsidRPr="008654BE" w:rsidRDefault="002F0AF4" w:rsidP="008654BE">
      <w:pPr>
        <w:tabs>
          <w:tab w:val="left" w:pos="434"/>
        </w:tabs>
        <w:spacing w:before="120" w:after="12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- przyjęte założenia wzrostu poszczególnych kategorii dochodów;</w:t>
      </w:r>
    </w:p>
    <w:p w:rsidR="002F0AF4" w:rsidRPr="008654BE" w:rsidRDefault="002F0AF4" w:rsidP="008654BE">
      <w:pPr>
        <w:tabs>
          <w:tab w:val="left" w:pos="434"/>
        </w:tabs>
        <w:spacing w:before="120" w:after="12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- </w:t>
      </w:r>
      <w:r w:rsidR="00735FBE" w:rsidRPr="008654BE">
        <w:rPr>
          <w:rFonts w:cs="Times New Roman"/>
          <w:sz w:val="24"/>
          <w:szCs w:val="24"/>
        </w:rPr>
        <w:t xml:space="preserve">możliwości Miasta bezpośredniego oddziaływania </w:t>
      </w:r>
      <w:r w:rsidR="00954580" w:rsidRPr="008654BE">
        <w:rPr>
          <w:rFonts w:cs="Times New Roman"/>
          <w:sz w:val="24"/>
          <w:szCs w:val="24"/>
        </w:rPr>
        <w:t>na poziom podatków lokalnych</w:t>
      </w:r>
      <w:r w:rsidR="00735FBE" w:rsidRPr="008654BE">
        <w:rPr>
          <w:rFonts w:cs="Times New Roman"/>
          <w:sz w:val="24"/>
          <w:szCs w:val="24"/>
        </w:rPr>
        <w:t xml:space="preserve">– </w:t>
      </w:r>
      <w:r w:rsidR="00954580" w:rsidRPr="008654BE">
        <w:rPr>
          <w:rFonts w:cs="Times New Roman"/>
          <w:sz w:val="24"/>
          <w:szCs w:val="24"/>
        </w:rPr>
        <w:t>których obecny poziom</w:t>
      </w:r>
      <w:r w:rsidR="00735FBE" w:rsidRPr="008654BE">
        <w:rPr>
          <w:rFonts w:cs="Times New Roman"/>
          <w:sz w:val="24"/>
          <w:szCs w:val="24"/>
        </w:rPr>
        <w:t xml:space="preserve"> kształtuje się znacznie poniżej maksymalnych stawe</w:t>
      </w:r>
      <w:r w:rsidR="00954580" w:rsidRPr="008654BE">
        <w:rPr>
          <w:rFonts w:cs="Times New Roman"/>
          <w:sz w:val="24"/>
          <w:szCs w:val="24"/>
        </w:rPr>
        <w:t>k określonych przez ustawodawcę;</w:t>
      </w:r>
    </w:p>
    <w:p w:rsidR="00954580" w:rsidRPr="008654BE" w:rsidRDefault="00954580" w:rsidP="008654BE">
      <w:pPr>
        <w:tabs>
          <w:tab w:val="left" w:pos="434"/>
        </w:tabs>
        <w:spacing w:before="120" w:after="12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-poziom wskaźnika realnego wzrostu Produktu Krajowego Brutto (PKB),</w:t>
      </w:r>
    </w:p>
    <w:p w:rsidR="00954580" w:rsidRPr="008654BE" w:rsidRDefault="00954580" w:rsidP="008654BE">
      <w:pPr>
        <w:tabs>
          <w:tab w:val="left" w:pos="434"/>
        </w:tabs>
        <w:spacing w:before="120" w:after="12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-zakładany poziom inflacji,</w:t>
      </w:r>
    </w:p>
    <w:p w:rsidR="002A0CA0" w:rsidRDefault="00735FBE" w:rsidP="008654BE">
      <w:pPr>
        <w:tabs>
          <w:tab w:val="left" w:pos="434"/>
        </w:tabs>
        <w:spacing w:before="120" w:after="120"/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przyję</w:t>
      </w:r>
      <w:r w:rsidR="00954580" w:rsidRPr="008654BE">
        <w:rPr>
          <w:rFonts w:cs="Times New Roman"/>
          <w:sz w:val="24"/>
          <w:szCs w:val="24"/>
        </w:rPr>
        <w:t>to średni wzrost dochodów bieżących</w:t>
      </w:r>
      <w:r w:rsidR="002075B0" w:rsidRPr="008654BE">
        <w:rPr>
          <w:rFonts w:cs="Times New Roman"/>
          <w:sz w:val="24"/>
          <w:szCs w:val="24"/>
        </w:rPr>
        <w:t xml:space="preserve"> na poziomie od 4,7% do 2,5% </w:t>
      </w:r>
      <w:r w:rsidRPr="008654BE">
        <w:rPr>
          <w:rFonts w:cs="Times New Roman"/>
          <w:sz w:val="24"/>
          <w:szCs w:val="24"/>
        </w:rPr>
        <w:t>w stosunku do roku poprzedniego.</w:t>
      </w:r>
    </w:p>
    <w:p w:rsidR="008654BE" w:rsidRPr="008654BE" w:rsidRDefault="008654BE" w:rsidP="008654BE">
      <w:pPr>
        <w:tabs>
          <w:tab w:val="left" w:pos="434"/>
        </w:tabs>
        <w:spacing w:before="120" w:after="120"/>
        <w:jc w:val="both"/>
        <w:rPr>
          <w:rFonts w:cs="Times New Roman"/>
          <w:sz w:val="24"/>
          <w:szCs w:val="24"/>
        </w:rPr>
      </w:pPr>
    </w:p>
    <w:p w:rsidR="006A7FAD" w:rsidRPr="008654BE" w:rsidRDefault="00343F5F" w:rsidP="00170D9A">
      <w:pPr>
        <w:pStyle w:val="Akapitzlist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Założenia dotyczące prognozy wydatków bieżących na lata 2012-2020</w:t>
      </w:r>
      <w:r w:rsidR="00FA2CB6" w:rsidRPr="008654BE">
        <w:rPr>
          <w:rFonts w:cs="Times New Roman"/>
          <w:sz w:val="24"/>
          <w:szCs w:val="24"/>
        </w:rPr>
        <w:t>.</w:t>
      </w:r>
    </w:p>
    <w:p w:rsidR="00CB47D0" w:rsidRPr="008654BE" w:rsidRDefault="00CB47D0" w:rsidP="00170D9A">
      <w:p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Przy szacowaniu wydatków bieżących przyjęto iż w każdym roku  prognozy będą one wzrastać średnio o wskaźnik inflacji w st</w:t>
      </w:r>
      <w:r w:rsidR="00170D9A" w:rsidRPr="008654BE">
        <w:rPr>
          <w:rFonts w:cs="Times New Roman"/>
          <w:sz w:val="24"/>
          <w:szCs w:val="24"/>
        </w:rPr>
        <w:t>osunku do roku poprzedniego tj.</w:t>
      </w:r>
      <w:r w:rsidR="00996F0C" w:rsidRPr="008654BE">
        <w:rPr>
          <w:rFonts w:cs="Times New Roman"/>
          <w:sz w:val="24"/>
          <w:szCs w:val="24"/>
        </w:rPr>
        <w:t xml:space="preserve"> </w:t>
      </w:r>
      <w:r w:rsidRPr="008654BE">
        <w:rPr>
          <w:rFonts w:cs="Times New Roman"/>
          <w:sz w:val="24"/>
          <w:szCs w:val="24"/>
        </w:rPr>
        <w:t>w</w:t>
      </w:r>
      <w:r w:rsidR="002075B0" w:rsidRPr="008654BE">
        <w:rPr>
          <w:rFonts w:cs="Times New Roman"/>
          <w:sz w:val="24"/>
          <w:szCs w:val="24"/>
        </w:rPr>
        <w:t xml:space="preserve"> latach 2012-2020 przeciętnie o</w:t>
      </w:r>
      <w:r w:rsidRPr="008654BE">
        <w:rPr>
          <w:rFonts w:cs="Times New Roman"/>
          <w:sz w:val="24"/>
          <w:szCs w:val="24"/>
        </w:rPr>
        <w:t xml:space="preserve"> </w:t>
      </w:r>
      <w:r w:rsidR="002075B0" w:rsidRPr="008654BE">
        <w:rPr>
          <w:rFonts w:cs="Times New Roman"/>
          <w:sz w:val="24"/>
          <w:szCs w:val="24"/>
        </w:rPr>
        <w:t>2,5%.</w:t>
      </w:r>
    </w:p>
    <w:p w:rsidR="00822BA1" w:rsidRPr="008654BE" w:rsidRDefault="00822BA1" w:rsidP="00170D9A">
      <w:pPr>
        <w:pStyle w:val="Akapitzlist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Założenia dotyczące prognozy spłaty kredytów i pożyczek wraz z należnymi odsetkami.</w:t>
      </w:r>
    </w:p>
    <w:p w:rsidR="00CB47D0" w:rsidRPr="008654BE" w:rsidRDefault="00166204" w:rsidP="00170D9A">
      <w:p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Do prognozy</w:t>
      </w:r>
      <w:r w:rsidR="00CB47D0" w:rsidRPr="008654BE">
        <w:rPr>
          <w:rFonts w:cs="Times New Roman"/>
          <w:sz w:val="24"/>
          <w:szCs w:val="24"/>
        </w:rPr>
        <w:t xml:space="preserve"> spłaty kredytów i pożyczek </w:t>
      </w:r>
      <w:r w:rsidRPr="008654BE">
        <w:rPr>
          <w:rFonts w:cs="Times New Roman"/>
          <w:sz w:val="24"/>
          <w:szCs w:val="24"/>
        </w:rPr>
        <w:t xml:space="preserve">wraz z odsetkami przyjęto wartości wynikające </w:t>
      </w:r>
      <w:r w:rsidR="00D62626" w:rsidRPr="008654BE">
        <w:rPr>
          <w:rFonts w:cs="Times New Roman"/>
          <w:sz w:val="24"/>
          <w:szCs w:val="24"/>
        </w:rPr>
        <w:t>z zawartych już umów kredytowych i pożyczek jak też z przyszłych kredytów.</w:t>
      </w:r>
    </w:p>
    <w:p w:rsidR="00D62626" w:rsidRPr="008654BE" w:rsidRDefault="00D62626" w:rsidP="00170D9A">
      <w:p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Założono, iż w okresie prognozy zostaną zaciągnięte następujące kredyty:</w:t>
      </w:r>
    </w:p>
    <w:p w:rsidR="00D62626" w:rsidRPr="008654BE" w:rsidRDefault="00D62626" w:rsidP="00170D9A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w roku 2011 w wysokości – </w:t>
      </w:r>
      <w:r w:rsidR="002075B0" w:rsidRPr="008654BE">
        <w:rPr>
          <w:rFonts w:cs="Times New Roman"/>
          <w:sz w:val="24"/>
          <w:szCs w:val="24"/>
        </w:rPr>
        <w:t>1 335 000</w:t>
      </w:r>
      <w:r w:rsidRPr="008654BE">
        <w:rPr>
          <w:rFonts w:cs="Times New Roman"/>
          <w:sz w:val="24"/>
          <w:szCs w:val="24"/>
        </w:rPr>
        <w:t xml:space="preserve">,00 zł – </w:t>
      </w:r>
      <w:r w:rsidR="00FA153D" w:rsidRPr="008654BE">
        <w:rPr>
          <w:rFonts w:cs="Times New Roman"/>
          <w:sz w:val="24"/>
          <w:szCs w:val="24"/>
        </w:rPr>
        <w:t xml:space="preserve">z tego </w:t>
      </w:r>
      <w:r w:rsidRPr="008654BE">
        <w:rPr>
          <w:rFonts w:cs="Times New Roman"/>
          <w:sz w:val="24"/>
          <w:szCs w:val="24"/>
        </w:rPr>
        <w:t>kredyt przeznaczony na finansowanie zaplanowanych przedsięwzięć inwestycyjnych</w:t>
      </w:r>
      <w:r w:rsidR="00FA153D" w:rsidRPr="008654BE">
        <w:rPr>
          <w:rFonts w:cs="Times New Roman"/>
          <w:sz w:val="24"/>
          <w:szCs w:val="24"/>
        </w:rPr>
        <w:t xml:space="preserve">- 85 000,00, </w:t>
      </w:r>
      <w:r w:rsidR="00FA153D" w:rsidRPr="008654BE">
        <w:rPr>
          <w:rFonts w:cs="Times New Roman"/>
          <w:sz w:val="24"/>
          <w:szCs w:val="24"/>
        </w:rPr>
        <w:lastRenderedPageBreak/>
        <w:t>pożyczka na wyprzedzające finansowanie inwestycji – 650 000,00 oraz kredyt na spłatę wcześniej zaciągniętych zobowiązań – 620 000,00 zł</w:t>
      </w:r>
    </w:p>
    <w:p w:rsidR="002075B0" w:rsidRPr="008654BE" w:rsidRDefault="00D62626" w:rsidP="00170D9A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w roku 2012 w wysokości – </w:t>
      </w:r>
      <w:r w:rsidR="002075B0" w:rsidRPr="008654BE">
        <w:rPr>
          <w:rFonts w:cs="Times New Roman"/>
          <w:sz w:val="24"/>
          <w:szCs w:val="24"/>
        </w:rPr>
        <w:t>1 589 201</w:t>
      </w:r>
      <w:r w:rsidRPr="008654BE">
        <w:rPr>
          <w:rFonts w:cs="Times New Roman"/>
          <w:sz w:val="24"/>
          <w:szCs w:val="24"/>
        </w:rPr>
        <w:t xml:space="preserve">,00 zł –kredyt przeznaczony częściowo na finansowanie zaplanowanych przedsięwzięć inwestycyjnych </w:t>
      </w:r>
    </w:p>
    <w:p w:rsidR="00F84556" w:rsidRPr="008654BE" w:rsidRDefault="00F84556" w:rsidP="00170D9A">
      <w:p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Dla oszacowania poziomu spłat rat odsetek przyjęto następujące założenia:</w:t>
      </w:r>
    </w:p>
    <w:p w:rsidR="00F84556" w:rsidRPr="008654BE" w:rsidRDefault="00F84556" w:rsidP="00170D9A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kredyty są zaciągane w PLN;</w:t>
      </w:r>
    </w:p>
    <w:p w:rsidR="00F84556" w:rsidRPr="008654BE" w:rsidRDefault="00F84556" w:rsidP="00170D9A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spłaty kredytów rozpoczynają się w następnym roku po jego uruchomieniu</w:t>
      </w:r>
      <w:r w:rsidR="00062C1A" w:rsidRPr="008654BE">
        <w:rPr>
          <w:rFonts w:cs="Times New Roman"/>
          <w:sz w:val="24"/>
          <w:szCs w:val="24"/>
        </w:rPr>
        <w:t xml:space="preserve"> (przewiduje się okresy karencji w spłacie rat kredytowych)</w:t>
      </w:r>
      <w:r w:rsidRPr="008654BE">
        <w:rPr>
          <w:rFonts w:cs="Times New Roman"/>
          <w:sz w:val="24"/>
          <w:szCs w:val="24"/>
        </w:rPr>
        <w:t>;</w:t>
      </w:r>
    </w:p>
    <w:p w:rsidR="00F84556" w:rsidRPr="008654BE" w:rsidRDefault="00F84556" w:rsidP="00170D9A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 xml:space="preserve">oprocentowanie kredytów </w:t>
      </w:r>
      <w:r w:rsidR="00954580" w:rsidRPr="008654BE">
        <w:rPr>
          <w:rFonts w:cs="Times New Roman"/>
          <w:sz w:val="24"/>
          <w:szCs w:val="24"/>
        </w:rPr>
        <w:t>na stałym poziomie z uwagi na przewidywany  ten sam  poziom inflacji</w:t>
      </w:r>
      <w:r w:rsidR="00EC0300" w:rsidRPr="008654BE">
        <w:rPr>
          <w:rFonts w:cs="Times New Roman"/>
          <w:sz w:val="24"/>
          <w:szCs w:val="24"/>
        </w:rPr>
        <w:t xml:space="preserve"> i poziom stóp procentowych</w:t>
      </w:r>
      <w:r w:rsidR="00954580" w:rsidRPr="008654BE">
        <w:rPr>
          <w:rFonts w:cs="Times New Roman"/>
          <w:sz w:val="24"/>
          <w:szCs w:val="24"/>
        </w:rPr>
        <w:t xml:space="preserve"> </w:t>
      </w:r>
      <w:r w:rsidR="002075B0" w:rsidRPr="008654BE">
        <w:rPr>
          <w:rFonts w:cs="Times New Roman"/>
          <w:sz w:val="24"/>
          <w:szCs w:val="24"/>
        </w:rPr>
        <w:t>– 4,6</w:t>
      </w:r>
      <w:r w:rsidR="00170D9A" w:rsidRPr="008654BE">
        <w:rPr>
          <w:rFonts w:cs="Times New Roman"/>
          <w:sz w:val="24"/>
          <w:szCs w:val="24"/>
        </w:rPr>
        <w:t>%,</w:t>
      </w:r>
    </w:p>
    <w:p w:rsidR="008654BE" w:rsidRDefault="002E5C45" w:rsidP="008654BE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8654BE">
        <w:rPr>
          <w:rFonts w:cs="Times New Roman"/>
          <w:sz w:val="24"/>
          <w:szCs w:val="24"/>
        </w:rPr>
        <w:t>spłata wszystkich zaciągniętych kredytów nastąpi do 2020 roku</w:t>
      </w:r>
      <w:r w:rsidR="00170D9A" w:rsidRPr="008654BE">
        <w:rPr>
          <w:rFonts w:cs="Times New Roman"/>
          <w:sz w:val="24"/>
          <w:szCs w:val="24"/>
        </w:rPr>
        <w:t>.</w:t>
      </w:r>
    </w:p>
    <w:p w:rsidR="008654BE" w:rsidRPr="008654BE" w:rsidRDefault="008654BE" w:rsidP="008654BE">
      <w:pPr>
        <w:pStyle w:val="Akapitzlist"/>
        <w:jc w:val="both"/>
        <w:rPr>
          <w:rFonts w:cs="Times New Roman"/>
          <w:sz w:val="24"/>
          <w:szCs w:val="24"/>
        </w:rPr>
      </w:pPr>
    </w:p>
    <w:p w:rsidR="00822BA1" w:rsidRPr="008654BE" w:rsidRDefault="00822BA1" w:rsidP="00170D9A">
      <w:pPr>
        <w:pStyle w:val="Akapitzlist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8654BE">
        <w:rPr>
          <w:rFonts w:cs="Times New Roman"/>
          <w:b/>
          <w:sz w:val="24"/>
          <w:szCs w:val="24"/>
        </w:rPr>
        <w:t>Za</w:t>
      </w:r>
      <w:r w:rsidR="00FA2CB6" w:rsidRPr="008654BE">
        <w:rPr>
          <w:rFonts w:cs="Times New Roman"/>
          <w:b/>
          <w:sz w:val="24"/>
          <w:szCs w:val="24"/>
        </w:rPr>
        <w:t>łożenia dotyczące przedsięwzięć.</w:t>
      </w:r>
    </w:p>
    <w:p w:rsidR="000E373F" w:rsidRPr="008654BE" w:rsidRDefault="000E373F" w:rsidP="00170D9A">
      <w:pPr>
        <w:jc w:val="both"/>
        <w:rPr>
          <w:rFonts w:eastAsia="Calibri" w:cs="Times New Roman"/>
          <w:sz w:val="24"/>
          <w:szCs w:val="24"/>
        </w:rPr>
      </w:pPr>
      <w:r w:rsidRPr="008654BE">
        <w:rPr>
          <w:rFonts w:eastAsia="Calibri" w:cs="Times New Roman"/>
          <w:sz w:val="24"/>
          <w:szCs w:val="24"/>
        </w:rPr>
        <w:t>Do prognozy p</w:t>
      </w:r>
      <w:r w:rsidR="00F6427C" w:rsidRPr="008654BE">
        <w:rPr>
          <w:rFonts w:eastAsia="Calibri" w:cs="Times New Roman"/>
          <w:sz w:val="24"/>
          <w:szCs w:val="24"/>
        </w:rPr>
        <w:t>rzyjęto realizacje 2</w:t>
      </w:r>
      <w:r w:rsidRPr="008654BE">
        <w:rPr>
          <w:rFonts w:eastAsia="Calibri" w:cs="Times New Roman"/>
          <w:sz w:val="24"/>
          <w:szCs w:val="24"/>
        </w:rPr>
        <w:t xml:space="preserve"> przedsięwzięć:</w:t>
      </w:r>
    </w:p>
    <w:p w:rsidR="00FA153D" w:rsidRPr="008654BE" w:rsidRDefault="000E373F" w:rsidP="00170D9A">
      <w:pPr>
        <w:numPr>
          <w:ilvl w:val="0"/>
          <w:numId w:val="8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8654BE">
        <w:rPr>
          <w:rFonts w:eastAsia="Calibri" w:cs="Times New Roman"/>
          <w:sz w:val="24"/>
          <w:szCs w:val="24"/>
        </w:rPr>
        <w:t>kontynuację rozbudowy sieci wodociągowej w miejscowościach Studzianek, Gołyń, Antoniów, Białogórne. Przedsięwzięcie rozpoczęto w 2010 roku ma na celu doprowadzenie wody do wymienionych miejscowości. W 2011 roku przewiduje się na</w:t>
      </w:r>
      <w:r w:rsidR="002E5C45" w:rsidRPr="008654BE">
        <w:rPr>
          <w:rFonts w:eastAsia="Calibri" w:cs="Times New Roman"/>
          <w:sz w:val="24"/>
          <w:szCs w:val="24"/>
        </w:rPr>
        <w:t>kłady w wysokości 1 215 000 zł . K</w:t>
      </w:r>
      <w:r w:rsidRPr="008654BE">
        <w:rPr>
          <w:rFonts w:eastAsia="Calibri" w:cs="Times New Roman"/>
          <w:sz w:val="24"/>
          <w:szCs w:val="24"/>
        </w:rPr>
        <w:t xml:space="preserve">wota  </w:t>
      </w:r>
      <w:r w:rsidR="00B031B5">
        <w:rPr>
          <w:rFonts w:eastAsia="Calibri" w:cs="Times New Roman"/>
          <w:sz w:val="24"/>
          <w:szCs w:val="24"/>
        </w:rPr>
        <w:t>ta będzie pozyskana z pożyczki na prefinansowanie w wys. 650 000,00 , ze środków budżetowych gminy</w:t>
      </w:r>
      <w:r w:rsidRPr="008654BE">
        <w:rPr>
          <w:rFonts w:eastAsia="Calibri" w:cs="Times New Roman"/>
          <w:sz w:val="24"/>
          <w:szCs w:val="24"/>
        </w:rPr>
        <w:t xml:space="preserve"> </w:t>
      </w:r>
      <w:r w:rsidR="00B031B5">
        <w:rPr>
          <w:rFonts w:eastAsia="Calibri" w:cs="Times New Roman"/>
          <w:sz w:val="24"/>
          <w:szCs w:val="24"/>
        </w:rPr>
        <w:t xml:space="preserve">oraz z umorzenia pożyczki. </w:t>
      </w:r>
      <w:r w:rsidRPr="008654BE">
        <w:rPr>
          <w:rFonts w:eastAsia="Calibri" w:cs="Times New Roman"/>
          <w:sz w:val="24"/>
          <w:szCs w:val="24"/>
        </w:rPr>
        <w:t>Pozycja uwzględniona w wydatkach majątkowych. W 2012 ostatni etap inwestycji wymaga nakładów w kwocie 1 589 201 zł, zamieszczony w prognozie w pozycji wydatki majątkowe.</w:t>
      </w:r>
    </w:p>
    <w:p w:rsidR="000E373F" w:rsidRPr="008654BE" w:rsidRDefault="000E373F" w:rsidP="00C563A0">
      <w:pPr>
        <w:numPr>
          <w:ilvl w:val="0"/>
          <w:numId w:val="8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8654BE">
        <w:rPr>
          <w:rFonts w:eastAsia="Calibri" w:cs="Times New Roman"/>
          <w:sz w:val="24"/>
          <w:szCs w:val="24"/>
        </w:rPr>
        <w:t xml:space="preserve"> </w:t>
      </w:r>
      <w:r w:rsidR="00FA153D" w:rsidRPr="008654BE">
        <w:rPr>
          <w:rFonts w:eastAsia="Calibri" w:cs="Times New Roman"/>
          <w:sz w:val="24"/>
          <w:szCs w:val="24"/>
        </w:rPr>
        <w:t>„P</w:t>
      </w:r>
      <w:r w:rsidRPr="008654BE">
        <w:rPr>
          <w:rFonts w:eastAsia="Calibri" w:cs="Times New Roman"/>
          <w:sz w:val="24"/>
          <w:szCs w:val="24"/>
        </w:rPr>
        <w:t>oprawa retencji w dolinie rzeki Białki poprzez modernizację Ośrodka Sportu i Rekreacji w Białej Rawskiej</w:t>
      </w:r>
      <w:r w:rsidR="00FA153D" w:rsidRPr="008654BE">
        <w:rPr>
          <w:rFonts w:eastAsia="Calibri" w:cs="Times New Roman"/>
          <w:sz w:val="24"/>
          <w:szCs w:val="24"/>
        </w:rPr>
        <w:t>” wraz z infrastrukturą socjalno-turystyczną i zakupem wyposażenia oraz sprzętu turystycznego</w:t>
      </w:r>
      <w:r w:rsidR="00C563A0" w:rsidRPr="008654BE">
        <w:rPr>
          <w:rFonts w:eastAsia="Calibri" w:cs="Times New Roman"/>
          <w:sz w:val="24"/>
          <w:szCs w:val="24"/>
        </w:rPr>
        <w:t>.</w:t>
      </w:r>
      <w:r w:rsidRPr="008654BE">
        <w:rPr>
          <w:rFonts w:eastAsia="Calibri" w:cs="Times New Roman"/>
          <w:sz w:val="24"/>
          <w:szCs w:val="24"/>
        </w:rPr>
        <w:t>. Inwestycja jest prowadzona od 2004 roku i ostatni jej etap wy</w:t>
      </w:r>
      <w:r w:rsidR="002075B0" w:rsidRPr="008654BE">
        <w:rPr>
          <w:rFonts w:eastAsia="Calibri" w:cs="Times New Roman"/>
          <w:sz w:val="24"/>
          <w:szCs w:val="24"/>
        </w:rPr>
        <w:t>maga środków w wysokości 624 862</w:t>
      </w:r>
      <w:r w:rsidRPr="008654BE">
        <w:rPr>
          <w:rFonts w:eastAsia="Calibri" w:cs="Times New Roman"/>
          <w:sz w:val="24"/>
          <w:szCs w:val="24"/>
        </w:rPr>
        <w:t xml:space="preserve"> zł w 2011 roku</w:t>
      </w:r>
      <w:r w:rsidR="002075B0" w:rsidRPr="008654BE">
        <w:rPr>
          <w:rFonts w:eastAsia="Calibri" w:cs="Times New Roman"/>
          <w:sz w:val="24"/>
          <w:szCs w:val="24"/>
        </w:rPr>
        <w:t xml:space="preserve"> z czego 622 788 zł stanowią wydatki majątkowe.</w:t>
      </w:r>
      <w:r w:rsidRPr="008654BE">
        <w:rPr>
          <w:rFonts w:eastAsia="Calibri" w:cs="Times New Roman"/>
          <w:sz w:val="24"/>
          <w:szCs w:val="24"/>
        </w:rPr>
        <w:t xml:space="preserve"> Kwota uwzględniona jest w wydatkach majątkowych 2011 rok.</w:t>
      </w:r>
      <w:r w:rsidR="00FA153D" w:rsidRPr="008654BE">
        <w:rPr>
          <w:rFonts w:eastAsia="Calibri" w:cs="Times New Roman"/>
          <w:sz w:val="24"/>
          <w:szCs w:val="24"/>
        </w:rPr>
        <w:t xml:space="preserve"> </w:t>
      </w:r>
      <w:r w:rsidR="00C563A0" w:rsidRPr="008654BE">
        <w:rPr>
          <w:rFonts w:eastAsia="Calibri" w:cs="Times New Roman"/>
          <w:sz w:val="24"/>
          <w:szCs w:val="24"/>
        </w:rPr>
        <w:t>W</w:t>
      </w:r>
      <w:r w:rsidR="00FA153D" w:rsidRPr="008654BE">
        <w:rPr>
          <w:rFonts w:eastAsia="Calibri" w:cs="Times New Roman"/>
          <w:sz w:val="24"/>
          <w:szCs w:val="24"/>
        </w:rPr>
        <w:t xml:space="preserve"> limicie zobowiązań wpisano jedynie  kwotę 35 000,- zł , bowiem na całość zadania umowa z wykonawcą została podpisana w latach poprzednich.</w:t>
      </w:r>
    </w:p>
    <w:p w:rsidR="005E41B2" w:rsidRDefault="00C563A0" w:rsidP="00C563A0">
      <w:pPr>
        <w:numPr>
          <w:ilvl w:val="0"/>
          <w:numId w:val="8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8654BE">
        <w:rPr>
          <w:rFonts w:eastAsia="Calibri" w:cs="Times New Roman"/>
          <w:sz w:val="24"/>
          <w:szCs w:val="24"/>
        </w:rPr>
        <w:t xml:space="preserve">W wykazie umów , których realizacja w roku budżetowym i w latach następnych jest niezbędna dla zapewnienia ciągłości jednostki zamieszczono </w:t>
      </w:r>
      <w:r w:rsidR="005E41B2">
        <w:rPr>
          <w:rFonts w:eastAsia="Calibri" w:cs="Times New Roman"/>
          <w:sz w:val="24"/>
          <w:szCs w:val="24"/>
        </w:rPr>
        <w:t>następujące umowy:</w:t>
      </w:r>
    </w:p>
    <w:p w:rsidR="005E41B2" w:rsidRDefault="00C563A0" w:rsidP="005E41B2">
      <w:pPr>
        <w:pStyle w:val="Akapitzlist"/>
        <w:numPr>
          <w:ilvl w:val="0"/>
          <w:numId w:val="14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5E41B2">
        <w:rPr>
          <w:rFonts w:eastAsia="Calibri" w:cs="Times New Roman"/>
          <w:sz w:val="24"/>
          <w:szCs w:val="24"/>
        </w:rPr>
        <w:t>na konserwację oświetlenia ulicznego. której koszty w roku 2011 wynoszą 48 190,00 zł i w 2</w:t>
      </w:r>
      <w:r w:rsidR="005E41B2">
        <w:rPr>
          <w:rFonts w:eastAsia="Calibri" w:cs="Times New Roman"/>
          <w:sz w:val="24"/>
          <w:szCs w:val="24"/>
        </w:rPr>
        <w:t xml:space="preserve">012 roku 4 016,00 zł </w:t>
      </w:r>
    </w:p>
    <w:p w:rsidR="00C563A0" w:rsidRDefault="00C563A0" w:rsidP="005E41B2">
      <w:pPr>
        <w:pStyle w:val="Akapitzlist"/>
        <w:numPr>
          <w:ilvl w:val="0"/>
          <w:numId w:val="14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5E41B2">
        <w:rPr>
          <w:rFonts w:eastAsia="Calibri" w:cs="Times New Roman"/>
          <w:sz w:val="24"/>
          <w:szCs w:val="24"/>
        </w:rPr>
        <w:lastRenderedPageBreak/>
        <w:t>na sprawowanie opieki autorskiej nad systemem elektronicznego obiegu dokumentów w latach 2010-2012 z kosztami 2 684,00 zł w każdym roku.</w:t>
      </w:r>
    </w:p>
    <w:p w:rsidR="005E41B2" w:rsidRDefault="005E41B2" w:rsidP="005E41B2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oraz umowy, których wartość przyjęto szacunkowo na podstawie wykonania w roku 2010 a mianowicie : zakup usług pocztowych, telefonicznych ,ogrzewanie budynków Urzędu oraz innych jednostek, zakup energii oraz monitoring budynku Urzędu.</w:t>
      </w:r>
    </w:p>
    <w:p w:rsidR="005E41B2" w:rsidRPr="005E41B2" w:rsidRDefault="005E41B2" w:rsidP="005E41B2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Limit zobowiązań dla przedmiotowych umów wynosi za lata 2011-2014 4 637 174,00 zł</w:t>
      </w:r>
    </w:p>
    <w:p w:rsidR="002E5C45" w:rsidRPr="008654BE" w:rsidRDefault="002E5C45" w:rsidP="00170D9A">
      <w:pPr>
        <w:spacing w:after="0"/>
        <w:ind w:left="720"/>
        <w:jc w:val="both"/>
        <w:rPr>
          <w:rFonts w:eastAsia="Calibri" w:cs="Times New Roman"/>
          <w:sz w:val="24"/>
          <w:szCs w:val="24"/>
        </w:rPr>
      </w:pPr>
    </w:p>
    <w:p w:rsidR="002E5C45" w:rsidRPr="008654BE" w:rsidRDefault="002E5C45" w:rsidP="00170D9A">
      <w:pPr>
        <w:spacing w:after="0"/>
        <w:ind w:left="720"/>
        <w:jc w:val="both"/>
        <w:rPr>
          <w:rFonts w:eastAsia="Calibri" w:cs="Times New Roman"/>
          <w:sz w:val="24"/>
          <w:szCs w:val="24"/>
        </w:rPr>
      </w:pPr>
    </w:p>
    <w:p w:rsidR="00EC0300" w:rsidRPr="008654BE" w:rsidRDefault="002E5C45" w:rsidP="00EC0300">
      <w:pPr>
        <w:spacing w:after="0"/>
        <w:jc w:val="both"/>
        <w:rPr>
          <w:rFonts w:eastAsia="Calibri" w:cs="Times New Roman"/>
          <w:sz w:val="24"/>
          <w:szCs w:val="24"/>
        </w:rPr>
      </w:pPr>
      <w:r w:rsidRPr="008654BE">
        <w:rPr>
          <w:rFonts w:eastAsia="Calibri" w:cs="Times New Roman"/>
          <w:sz w:val="24"/>
          <w:szCs w:val="24"/>
        </w:rPr>
        <w:t>Łączne wydatki majątkowe na realizację przedsięwzięć zamieszczonych w załączniku do Prognozy w 2011 roku wynoszą 1</w:t>
      </w:r>
      <w:r w:rsidR="00EC0300" w:rsidRPr="008654BE">
        <w:rPr>
          <w:rFonts w:eastAsia="Calibri" w:cs="Times New Roman"/>
          <w:sz w:val="24"/>
          <w:szCs w:val="24"/>
        </w:rPr>
        <w:t> </w:t>
      </w:r>
      <w:r w:rsidR="002075B0" w:rsidRPr="008654BE">
        <w:rPr>
          <w:rFonts w:eastAsia="Calibri" w:cs="Times New Roman"/>
          <w:sz w:val="24"/>
          <w:szCs w:val="24"/>
        </w:rPr>
        <w:t>837</w:t>
      </w:r>
      <w:r w:rsidR="00EC0300" w:rsidRPr="008654BE">
        <w:rPr>
          <w:rFonts w:eastAsia="Calibri" w:cs="Times New Roman"/>
          <w:sz w:val="24"/>
          <w:szCs w:val="24"/>
        </w:rPr>
        <w:t> 788</w:t>
      </w:r>
      <w:r w:rsidRPr="008654BE">
        <w:rPr>
          <w:rFonts w:eastAsia="Calibri" w:cs="Times New Roman"/>
          <w:sz w:val="24"/>
          <w:szCs w:val="24"/>
        </w:rPr>
        <w:t>,</w:t>
      </w:r>
      <w:r w:rsidR="00EC0300" w:rsidRPr="008654BE">
        <w:rPr>
          <w:rFonts w:eastAsia="Calibri" w:cs="Times New Roman"/>
          <w:sz w:val="24"/>
          <w:szCs w:val="24"/>
        </w:rPr>
        <w:t xml:space="preserve"> </w:t>
      </w:r>
      <w:r w:rsidRPr="008654BE">
        <w:rPr>
          <w:rFonts w:eastAsia="Calibri" w:cs="Times New Roman"/>
          <w:sz w:val="24"/>
          <w:szCs w:val="24"/>
        </w:rPr>
        <w:t>00</w:t>
      </w:r>
      <w:r w:rsidR="00EC0300" w:rsidRPr="008654BE">
        <w:rPr>
          <w:rFonts w:eastAsia="Calibri" w:cs="Times New Roman"/>
          <w:sz w:val="24"/>
          <w:szCs w:val="24"/>
        </w:rPr>
        <w:t xml:space="preserve"> </w:t>
      </w:r>
      <w:r w:rsidRPr="008654BE">
        <w:rPr>
          <w:rFonts w:eastAsia="Calibri" w:cs="Times New Roman"/>
          <w:sz w:val="24"/>
          <w:szCs w:val="24"/>
        </w:rPr>
        <w:t xml:space="preserve">zł </w:t>
      </w:r>
      <w:r w:rsidR="00EC0300" w:rsidRPr="008654BE">
        <w:rPr>
          <w:rFonts w:eastAsia="Calibri" w:cs="Times New Roman"/>
          <w:sz w:val="24"/>
          <w:szCs w:val="24"/>
        </w:rPr>
        <w:t xml:space="preserve"> a w 2012 –</w:t>
      </w:r>
    </w:p>
    <w:p w:rsidR="002E5C45" w:rsidRPr="008654BE" w:rsidRDefault="002E5C45" w:rsidP="00EC0300">
      <w:pPr>
        <w:spacing w:after="0"/>
        <w:jc w:val="both"/>
        <w:rPr>
          <w:rFonts w:eastAsia="Calibri" w:cs="Times New Roman"/>
          <w:sz w:val="24"/>
          <w:szCs w:val="24"/>
        </w:rPr>
      </w:pPr>
      <w:r w:rsidRPr="008654BE">
        <w:rPr>
          <w:rFonts w:eastAsia="Calibri" w:cs="Times New Roman"/>
          <w:sz w:val="24"/>
          <w:szCs w:val="24"/>
        </w:rPr>
        <w:t>1 589 201,00 zł.</w:t>
      </w:r>
    </w:p>
    <w:p w:rsidR="002E5C45" w:rsidRPr="008654BE" w:rsidRDefault="002E5C45" w:rsidP="00170D9A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923CD5" w:rsidRPr="008654BE" w:rsidRDefault="00170D9A" w:rsidP="003C7F08">
      <w:pPr>
        <w:spacing w:after="0"/>
        <w:jc w:val="both"/>
        <w:rPr>
          <w:rFonts w:eastAsia="Calibri" w:cs="Times New Roman"/>
          <w:sz w:val="24"/>
          <w:szCs w:val="24"/>
        </w:rPr>
      </w:pPr>
      <w:r w:rsidRPr="008654BE">
        <w:rPr>
          <w:rFonts w:eastAsia="Calibri" w:cs="Times New Roman"/>
          <w:sz w:val="24"/>
          <w:szCs w:val="24"/>
        </w:rPr>
        <w:t>Zgodnie z przedstawioną prognozą wskaźnik planowanych spłat zobowiązań</w:t>
      </w:r>
      <w:r w:rsidR="003C7F08" w:rsidRPr="008654BE">
        <w:rPr>
          <w:rFonts w:eastAsia="Calibri" w:cs="Times New Roman"/>
          <w:sz w:val="24"/>
          <w:szCs w:val="24"/>
        </w:rPr>
        <w:t xml:space="preserve"> (art. 169 sufp)</w:t>
      </w:r>
      <w:r w:rsidRPr="008654BE">
        <w:rPr>
          <w:rFonts w:eastAsia="Calibri" w:cs="Times New Roman"/>
          <w:sz w:val="24"/>
          <w:szCs w:val="24"/>
        </w:rPr>
        <w:t xml:space="preserve"> </w:t>
      </w:r>
      <w:r w:rsidR="003C7F08" w:rsidRPr="008654BE">
        <w:rPr>
          <w:rFonts w:eastAsia="Calibri" w:cs="Times New Roman"/>
          <w:sz w:val="24"/>
          <w:szCs w:val="24"/>
        </w:rPr>
        <w:t xml:space="preserve">w latach 2010-2013 </w:t>
      </w:r>
      <w:r w:rsidRPr="008654BE">
        <w:rPr>
          <w:rFonts w:eastAsia="Calibri" w:cs="Times New Roman"/>
          <w:sz w:val="24"/>
          <w:szCs w:val="24"/>
        </w:rPr>
        <w:t xml:space="preserve">kształtuje się </w:t>
      </w:r>
      <w:r w:rsidR="003C7F08" w:rsidRPr="008654BE">
        <w:rPr>
          <w:rFonts w:eastAsia="Calibri" w:cs="Times New Roman"/>
          <w:sz w:val="24"/>
          <w:szCs w:val="24"/>
        </w:rPr>
        <w:t>od 4,82% do 13,17%, natomiast wskaźnik zadłużenia do dochodów ogółem w tym samym okresie wyniesie od 27,69% do 40,64%.</w:t>
      </w:r>
    </w:p>
    <w:p w:rsidR="003C7F08" w:rsidRPr="008654BE" w:rsidRDefault="003C7F08" w:rsidP="00AD0B57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3C7F08" w:rsidRPr="008654BE" w:rsidRDefault="003C7F08" w:rsidP="00AD0B57">
      <w:pPr>
        <w:spacing w:after="0"/>
        <w:jc w:val="both"/>
        <w:rPr>
          <w:rFonts w:eastAsia="Calibri" w:cs="Times New Roman"/>
          <w:sz w:val="24"/>
          <w:szCs w:val="24"/>
        </w:rPr>
      </w:pPr>
      <w:r w:rsidRPr="008654BE">
        <w:rPr>
          <w:rFonts w:eastAsia="Calibri" w:cs="Times New Roman"/>
          <w:sz w:val="24"/>
          <w:szCs w:val="24"/>
        </w:rPr>
        <w:t xml:space="preserve">Od 2013 roku </w:t>
      </w:r>
      <w:r w:rsidR="00AD0B57" w:rsidRPr="008654BE">
        <w:rPr>
          <w:rFonts w:eastAsia="Calibri" w:cs="Times New Roman"/>
          <w:sz w:val="24"/>
          <w:szCs w:val="24"/>
        </w:rPr>
        <w:t>w prognozie uwzględniono</w:t>
      </w:r>
      <w:r w:rsidR="00D22787">
        <w:rPr>
          <w:rFonts w:eastAsia="Calibri" w:cs="Times New Roman"/>
          <w:sz w:val="24"/>
          <w:szCs w:val="24"/>
        </w:rPr>
        <w:t xml:space="preserve"> ( informacyjnie )</w:t>
      </w:r>
      <w:r w:rsidR="00AD0B57" w:rsidRPr="008654BE">
        <w:rPr>
          <w:rFonts w:eastAsia="Calibri" w:cs="Times New Roman"/>
          <w:sz w:val="24"/>
          <w:szCs w:val="24"/>
        </w:rPr>
        <w:t xml:space="preserve"> dodatkowy wskaźnik</w:t>
      </w:r>
      <w:r w:rsidRPr="008654BE">
        <w:rPr>
          <w:rFonts w:eastAsia="Calibri" w:cs="Times New Roman"/>
          <w:sz w:val="24"/>
          <w:szCs w:val="24"/>
        </w:rPr>
        <w:t xml:space="preserve"> w oparciu o art. 243 Ustawy o finansach publicznych. </w:t>
      </w:r>
      <w:r w:rsidR="00D22787">
        <w:rPr>
          <w:rFonts w:eastAsia="Calibri" w:cs="Times New Roman"/>
          <w:sz w:val="24"/>
          <w:szCs w:val="24"/>
        </w:rPr>
        <w:t>W roku 2013 w</w:t>
      </w:r>
      <w:r w:rsidR="00C563A0" w:rsidRPr="008654BE">
        <w:rPr>
          <w:rFonts w:eastAsia="Calibri" w:cs="Times New Roman"/>
          <w:sz w:val="24"/>
          <w:szCs w:val="24"/>
        </w:rPr>
        <w:t xml:space="preserve">yliczony </w:t>
      </w:r>
      <w:r w:rsidRPr="008654BE">
        <w:rPr>
          <w:rFonts w:eastAsia="Calibri" w:cs="Times New Roman"/>
          <w:sz w:val="24"/>
          <w:szCs w:val="24"/>
        </w:rPr>
        <w:t xml:space="preserve">wskaźnik spłat nie będzie zgodny z art.243. W pozostałych latach objętych prognozą (do 2020 roku)   </w:t>
      </w:r>
      <w:r w:rsidR="00AD0B57" w:rsidRPr="008654BE">
        <w:rPr>
          <w:rFonts w:eastAsia="Calibri" w:cs="Times New Roman"/>
          <w:sz w:val="24"/>
          <w:szCs w:val="24"/>
        </w:rPr>
        <w:t>wskaźnik spłat będzie spełniał kryteria art. 243.</w:t>
      </w:r>
    </w:p>
    <w:p w:rsidR="00923CD5" w:rsidRPr="008654BE" w:rsidRDefault="00923CD5" w:rsidP="00170D9A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C563A0" w:rsidRPr="008654BE" w:rsidRDefault="00C563A0" w:rsidP="00C563A0">
      <w:pPr>
        <w:jc w:val="both"/>
        <w:rPr>
          <w:sz w:val="24"/>
          <w:szCs w:val="24"/>
        </w:rPr>
      </w:pPr>
      <w:r w:rsidRPr="008654BE">
        <w:rPr>
          <w:sz w:val="24"/>
          <w:szCs w:val="24"/>
        </w:rPr>
        <w:t>W związku z tym ,że w roku 2013 został przekroczony maksymalny dopuszczalny wskaźnik spłaty z art.243 ufp  na co składa się średnia z trzech poprzednich lat a szczególnie ważący jest w  naszym przypadku rok 201</w:t>
      </w:r>
      <w:r w:rsidR="008654BE" w:rsidRPr="008654BE">
        <w:rPr>
          <w:sz w:val="24"/>
          <w:szCs w:val="24"/>
        </w:rPr>
        <w:t>0, w latach następnych konieczne</w:t>
      </w:r>
      <w:r w:rsidRPr="008654BE">
        <w:rPr>
          <w:sz w:val="24"/>
          <w:szCs w:val="24"/>
        </w:rPr>
        <w:t xml:space="preserve"> będzie</w:t>
      </w:r>
      <w:r w:rsidR="008654BE" w:rsidRPr="008654BE">
        <w:rPr>
          <w:sz w:val="24"/>
          <w:szCs w:val="24"/>
        </w:rPr>
        <w:t xml:space="preserve"> opracowanie</w:t>
      </w:r>
      <w:r w:rsidRPr="008654BE">
        <w:rPr>
          <w:sz w:val="24"/>
          <w:szCs w:val="24"/>
        </w:rPr>
        <w:t xml:space="preserve"> program</w:t>
      </w:r>
      <w:r w:rsidR="008654BE" w:rsidRPr="008654BE">
        <w:rPr>
          <w:sz w:val="24"/>
          <w:szCs w:val="24"/>
        </w:rPr>
        <w:t>u naprawczego, który powinien dotyczyć</w:t>
      </w:r>
      <w:r w:rsidRPr="008654BE">
        <w:rPr>
          <w:sz w:val="24"/>
          <w:szCs w:val="24"/>
        </w:rPr>
        <w:t xml:space="preserve"> ograniczenia wydatków bieżących, jak też</w:t>
      </w:r>
      <w:r w:rsidR="008654BE">
        <w:rPr>
          <w:sz w:val="24"/>
          <w:szCs w:val="24"/>
        </w:rPr>
        <w:t xml:space="preserve"> wskazać</w:t>
      </w:r>
      <w:r w:rsidRPr="008654BE">
        <w:rPr>
          <w:sz w:val="24"/>
          <w:szCs w:val="24"/>
        </w:rPr>
        <w:t xml:space="preserve"> bardzo rozważne planowanie ewentualnych inwestycji.</w:t>
      </w:r>
    </w:p>
    <w:p w:rsidR="00B031B5" w:rsidRDefault="00B031B5" w:rsidP="00170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CD5" w:rsidRPr="00170D9A" w:rsidRDefault="00B031B5" w:rsidP="00170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Skarbnik Miasta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Burmistrz</w:t>
      </w:r>
    </w:p>
    <w:p w:rsidR="001E2191" w:rsidRPr="00170D9A" w:rsidRDefault="00B031B5" w:rsidP="00170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Kacprzak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Wacław Jacek Adamczyk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7D71" w:rsidRPr="00170D9A" w:rsidRDefault="00237D71" w:rsidP="0017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BB" w:rsidRPr="00170D9A" w:rsidRDefault="00B42FBB" w:rsidP="0017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BB" w:rsidRPr="00170D9A" w:rsidRDefault="00B42FBB" w:rsidP="0017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BB" w:rsidRPr="00170D9A" w:rsidRDefault="00B42FBB" w:rsidP="0017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BB" w:rsidRPr="00170D9A" w:rsidRDefault="00B42FBB" w:rsidP="0017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BB" w:rsidRPr="00170D9A" w:rsidRDefault="00B42FBB" w:rsidP="0017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BB" w:rsidRPr="00170D9A" w:rsidRDefault="00B42FBB" w:rsidP="0017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BB" w:rsidRPr="00170D9A" w:rsidRDefault="00B42FBB" w:rsidP="0017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BB" w:rsidRPr="00170D9A" w:rsidRDefault="00B42FBB" w:rsidP="0017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BB" w:rsidRPr="00182D0A" w:rsidRDefault="00B42FBB" w:rsidP="00182D0A">
      <w:pPr>
        <w:jc w:val="both"/>
        <w:rPr>
          <w:sz w:val="24"/>
          <w:szCs w:val="24"/>
        </w:rPr>
      </w:pPr>
    </w:p>
    <w:sectPr w:rsidR="00B42FBB" w:rsidRPr="00182D0A" w:rsidSect="0036228C">
      <w:headerReference w:type="default" r:id="rId8"/>
      <w:footerReference w:type="default" r:id="rId9"/>
      <w:pgSz w:w="11906" w:h="16838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53" w:rsidRDefault="00004B53" w:rsidP="00110AC9">
      <w:pPr>
        <w:spacing w:after="0" w:line="240" w:lineRule="auto"/>
      </w:pPr>
      <w:r>
        <w:separator/>
      </w:r>
    </w:p>
  </w:endnote>
  <w:endnote w:type="continuationSeparator" w:id="1">
    <w:p w:rsidR="00004B53" w:rsidRDefault="00004B53" w:rsidP="0011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87" w:rsidRDefault="00D22787" w:rsidP="00D22787">
    <w:pPr>
      <w:pStyle w:val="Stopka"/>
    </w:pPr>
  </w:p>
  <w:p w:rsidR="00D22787" w:rsidRDefault="00D22787" w:rsidP="00D22787">
    <w:pPr>
      <w:pStyle w:val="Stopka"/>
    </w:pPr>
  </w:p>
  <w:p w:rsidR="001E0DC3" w:rsidRDefault="001E0DC3" w:rsidP="00D22787">
    <w:pPr>
      <w:pStyle w:val="Stopka"/>
    </w:pPr>
  </w:p>
  <w:p w:rsidR="00D22787" w:rsidRDefault="00D22787" w:rsidP="00D22787">
    <w:pPr>
      <w:pStyle w:val="Stopka"/>
    </w:pPr>
  </w:p>
  <w:p w:rsidR="001E0DC3" w:rsidRDefault="001E0DC3" w:rsidP="00D22787">
    <w:pPr>
      <w:pStyle w:val="Stopka"/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strona </w:t>
    </w:r>
    <w:fldSimple w:instr=" PAGE   \* MERGEFORMAT ">
      <w:r w:rsidR="00B031B5" w:rsidRPr="00B031B5">
        <w:rPr>
          <w:rFonts w:asciiTheme="majorHAnsi" w:hAnsiTheme="majorHAnsi"/>
          <w:noProof/>
        </w:rPr>
        <w:t>7</w:t>
      </w:r>
    </w:fldSimple>
  </w:p>
  <w:p w:rsidR="00110AC9" w:rsidRPr="00D22787" w:rsidRDefault="00D22787" w:rsidP="00D22787">
    <w:pPr>
      <w:pStyle w:val="Stopka"/>
    </w:pPr>
    <w:r>
      <w:t xml:space="preserve">styczeń  </w:t>
    </w:r>
    <w:r w:rsidRPr="00D22787">
      <w:t>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53" w:rsidRDefault="00004B53" w:rsidP="00110AC9">
      <w:pPr>
        <w:spacing w:after="0" w:line="240" w:lineRule="auto"/>
      </w:pPr>
      <w:r>
        <w:separator/>
      </w:r>
    </w:p>
  </w:footnote>
  <w:footnote w:type="continuationSeparator" w:id="1">
    <w:p w:rsidR="00004B53" w:rsidRDefault="00004B53" w:rsidP="0011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6CAD1D4DE25E4BC8B60348C8E1CA62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0AC9" w:rsidRDefault="00110AC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0AC9">
          <w:rPr>
            <w:rFonts w:asciiTheme="majorHAnsi" w:eastAsiaTheme="majorEastAsia" w:hAnsiTheme="majorHAnsi" w:cstheme="majorBidi"/>
            <w:sz w:val="20"/>
            <w:szCs w:val="20"/>
          </w:rPr>
          <w:t>WIELOLETNIA PROGNOZA FINANSOWA Miasta i Gminy Biała Rawska na lata 2011-2020</w:t>
        </w:r>
      </w:p>
    </w:sdtContent>
  </w:sdt>
  <w:p w:rsidR="00110AC9" w:rsidRDefault="00110A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3C"/>
    <w:multiLevelType w:val="hybridMultilevel"/>
    <w:tmpl w:val="EF6C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589A"/>
    <w:multiLevelType w:val="hybridMultilevel"/>
    <w:tmpl w:val="9AEA81E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87A641B"/>
    <w:multiLevelType w:val="hybridMultilevel"/>
    <w:tmpl w:val="4A44A584"/>
    <w:lvl w:ilvl="0" w:tplc="267A5D4E">
      <w:start w:val="4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2109F5"/>
    <w:multiLevelType w:val="hybridMultilevel"/>
    <w:tmpl w:val="15584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2259A"/>
    <w:multiLevelType w:val="hybridMultilevel"/>
    <w:tmpl w:val="A17C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B7BBC"/>
    <w:multiLevelType w:val="hybridMultilevel"/>
    <w:tmpl w:val="C348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400EF"/>
    <w:multiLevelType w:val="hybridMultilevel"/>
    <w:tmpl w:val="14AE93CA"/>
    <w:lvl w:ilvl="0" w:tplc="267A5D4E">
      <w:start w:val="4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56687"/>
    <w:multiLevelType w:val="hybridMultilevel"/>
    <w:tmpl w:val="BCDE3D66"/>
    <w:lvl w:ilvl="0" w:tplc="9758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62D50"/>
    <w:multiLevelType w:val="hybridMultilevel"/>
    <w:tmpl w:val="91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25322"/>
    <w:multiLevelType w:val="hybridMultilevel"/>
    <w:tmpl w:val="897E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D52FD"/>
    <w:multiLevelType w:val="hybridMultilevel"/>
    <w:tmpl w:val="801C104E"/>
    <w:lvl w:ilvl="0" w:tplc="9758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E4CD7"/>
    <w:multiLevelType w:val="hybridMultilevel"/>
    <w:tmpl w:val="2E76A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2C41"/>
    <w:multiLevelType w:val="hybridMultilevel"/>
    <w:tmpl w:val="4C68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27ADE"/>
    <w:multiLevelType w:val="hybridMultilevel"/>
    <w:tmpl w:val="5F524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6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B5A"/>
    <w:rsid w:val="00004B53"/>
    <w:rsid w:val="000076C9"/>
    <w:rsid w:val="00033DE7"/>
    <w:rsid w:val="00040E70"/>
    <w:rsid w:val="00046420"/>
    <w:rsid w:val="00047BD6"/>
    <w:rsid w:val="00052FFE"/>
    <w:rsid w:val="00062C1A"/>
    <w:rsid w:val="000C52EB"/>
    <w:rsid w:val="000E373F"/>
    <w:rsid w:val="00110AC9"/>
    <w:rsid w:val="0011523E"/>
    <w:rsid w:val="00126C45"/>
    <w:rsid w:val="0012723D"/>
    <w:rsid w:val="00130F70"/>
    <w:rsid w:val="00153A7A"/>
    <w:rsid w:val="00166204"/>
    <w:rsid w:val="00170D9A"/>
    <w:rsid w:val="0018122E"/>
    <w:rsid w:val="00182D0A"/>
    <w:rsid w:val="001A218B"/>
    <w:rsid w:val="001B7981"/>
    <w:rsid w:val="001E0DC3"/>
    <w:rsid w:val="001E1A74"/>
    <w:rsid w:val="001E2191"/>
    <w:rsid w:val="001E5D53"/>
    <w:rsid w:val="00206174"/>
    <w:rsid w:val="002075B0"/>
    <w:rsid w:val="00227EB6"/>
    <w:rsid w:val="00237D71"/>
    <w:rsid w:val="002621C7"/>
    <w:rsid w:val="0028647E"/>
    <w:rsid w:val="002A0CA0"/>
    <w:rsid w:val="002D4FE6"/>
    <w:rsid w:val="002E5C45"/>
    <w:rsid w:val="002F0AF4"/>
    <w:rsid w:val="002F7B5A"/>
    <w:rsid w:val="00334CB1"/>
    <w:rsid w:val="00334F0E"/>
    <w:rsid w:val="00343F5F"/>
    <w:rsid w:val="0036228C"/>
    <w:rsid w:val="00397DDC"/>
    <w:rsid w:val="003C7F08"/>
    <w:rsid w:val="00412D73"/>
    <w:rsid w:val="004543BA"/>
    <w:rsid w:val="00454D9E"/>
    <w:rsid w:val="0047384E"/>
    <w:rsid w:val="0048394D"/>
    <w:rsid w:val="004F2457"/>
    <w:rsid w:val="004F6A63"/>
    <w:rsid w:val="005626E0"/>
    <w:rsid w:val="00591AF6"/>
    <w:rsid w:val="005A6A18"/>
    <w:rsid w:val="005E41B2"/>
    <w:rsid w:val="00623A50"/>
    <w:rsid w:val="00627DC8"/>
    <w:rsid w:val="006A42C2"/>
    <w:rsid w:val="006A7FAD"/>
    <w:rsid w:val="006B36ED"/>
    <w:rsid w:val="006F3FC4"/>
    <w:rsid w:val="007141DA"/>
    <w:rsid w:val="00735FBE"/>
    <w:rsid w:val="007409A2"/>
    <w:rsid w:val="00765F01"/>
    <w:rsid w:val="00770BFD"/>
    <w:rsid w:val="0078155B"/>
    <w:rsid w:val="007D26F5"/>
    <w:rsid w:val="00822BA1"/>
    <w:rsid w:val="00835516"/>
    <w:rsid w:val="00845590"/>
    <w:rsid w:val="00857AF8"/>
    <w:rsid w:val="00860446"/>
    <w:rsid w:val="0086059D"/>
    <w:rsid w:val="008654BE"/>
    <w:rsid w:val="00870916"/>
    <w:rsid w:val="008C6108"/>
    <w:rsid w:val="008D4909"/>
    <w:rsid w:val="00923CD5"/>
    <w:rsid w:val="00954580"/>
    <w:rsid w:val="00996F0C"/>
    <w:rsid w:val="009B6AD9"/>
    <w:rsid w:val="009C6F1E"/>
    <w:rsid w:val="009E6BAA"/>
    <w:rsid w:val="009F73F2"/>
    <w:rsid w:val="00A27D91"/>
    <w:rsid w:val="00A5280B"/>
    <w:rsid w:val="00A85D0F"/>
    <w:rsid w:val="00AC0508"/>
    <w:rsid w:val="00AD0B57"/>
    <w:rsid w:val="00AF1781"/>
    <w:rsid w:val="00B031B5"/>
    <w:rsid w:val="00B047A1"/>
    <w:rsid w:val="00B17BA6"/>
    <w:rsid w:val="00B40537"/>
    <w:rsid w:val="00B42FBB"/>
    <w:rsid w:val="00B62AD2"/>
    <w:rsid w:val="00BA3C46"/>
    <w:rsid w:val="00BB30B3"/>
    <w:rsid w:val="00C0007B"/>
    <w:rsid w:val="00C22F5B"/>
    <w:rsid w:val="00C244D5"/>
    <w:rsid w:val="00C34CB6"/>
    <w:rsid w:val="00C52755"/>
    <w:rsid w:val="00C563A0"/>
    <w:rsid w:val="00C70FEC"/>
    <w:rsid w:val="00CA48D7"/>
    <w:rsid w:val="00CB47D0"/>
    <w:rsid w:val="00CB48C5"/>
    <w:rsid w:val="00CC55E7"/>
    <w:rsid w:val="00CC6AF9"/>
    <w:rsid w:val="00CD37BC"/>
    <w:rsid w:val="00D22787"/>
    <w:rsid w:val="00D36CD3"/>
    <w:rsid w:val="00D62626"/>
    <w:rsid w:val="00D63D28"/>
    <w:rsid w:val="00DD73CA"/>
    <w:rsid w:val="00E217BB"/>
    <w:rsid w:val="00E2289F"/>
    <w:rsid w:val="00E54440"/>
    <w:rsid w:val="00E560A8"/>
    <w:rsid w:val="00E56161"/>
    <w:rsid w:val="00E9257F"/>
    <w:rsid w:val="00E974E5"/>
    <w:rsid w:val="00EB42D1"/>
    <w:rsid w:val="00EC0300"/>
    <w:rsid w:val="00EC73C8"/>
    <w:rsid w:val="00F127D0"/>
    <w:rsid w:val="00F56914"/>
    <w:rsid w:val="00F6427C"/>
    <w:rsid w:val="00F84556"/>
    <w:rsid w:val="00FA153D"/>
    <w:rsid w:val="00FA2CB6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AC9"/>
  </w:style>
  <w:style w:type="paragraph" w:styleId="Stopka">
    <w:name w:val="footer"/>
    <w:basedOn w:val="Normalny"/>
    <w:link w:val="StopkaZnak"/>
    <w:uiPriority w:val="99"/>
    <w:unhideWhenUsed/>
    <w:rsid w:val="00D2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787"/>
  </w:style>
  <w:style w:type="paragraph" w:styleId="Tekstdymka">
    <w:name w:val="Balloon Text"/>
    <w:basedOn w:val="Normalny"/>
    <w:link w:val="TekstdymkaZnak"/>
    <w:uiPriority w:val="99"/>
    <w:semiHidden/>
    <w:unhideWhenUsed/>
    <w:rsid w:val="0011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7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D1D4DE25E4BC8B60348C8E1CA6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A6F0E-4332-4475-BD83-BB2F27FDD858}"/>
      </w:docPartPr>
      <w:docPartBody>
        <w:p w:rsidR="008443D2" w:rsidRDefault="0039252A" w:rsidP="0039252A">
          <w:pPr>
            <w:pStyle w:val="6CAD1D4DE25E4BC8B60348C8E1CA62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52A"/>
    <w:rsid w:val="00095752"/>
    <w:rsid w:val="002F4019"/>
    <w:rsid w:val="0039252A"/>
    <w:rsid w:val="004B1AFB"/>
    <w:rsid w:val="004D54DD"/>
    <w:rsid w:val="0050454D"/>
    <w:rsid w:val="00530EB6"/>
    <w:rsid w:val="0071480D"/>
    <w:rsid w:val="008443D2"/>
    <w:rsid w:val="008A1480"/>
    <w:rsid w:val="009F3EB5"/>
    <w:rsid w:val="00C07CBE"/>
    <w:rsid w:val="00C202D4"/>
    <w:rsid w:val="00CF7A3E"/>
    <w:rsid w:val="00E179F9"/>
    <w:rsid w:val="00FC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AD1D4DE25E4BC8B60348C8E1CA6226">
    <w:name w:val="6CAD1D4DE25E4BC8B60348C8E1CA6226"/>
    <w:rsid w:val="0039252A"/>
  </w:style>
  <w:style w:type="paragraph" w:customStyle="1" w:styleId="ED18F609050F42FBBEFCC62CA32F70D3">
    <w:name w:val="ED18F609050F42FBBEFCC62CA32F70D3"/>
    <w:rsid w:val="0039252A"/>
  </w:style>
  <w:style w:type="paragraph" w:customStyle="1" w:styleId="1F440E720C1841CFA3AE64CE5AE39FDD">
    <w:name w:val="1F440E720C1841CFA3AE64CE5AE39FDD"/>
    <w:rsid w:val="00530E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2943-8879-4138-93BF-894F4AF8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WIELOLETNIA PROGNOZA FINANSOWA Miasta i Gminy Biała Rawska na lata 2011-2020</vt:lpstr>
    </vt:vector>
  </TitlesOfParts>
  <Company>Wojtek</Company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WIELOLETNIA PROGNOZA FINANSOWA Miasta i Gminy Biała Rawska na lata 2011-2020</dc:title>
  <dc:subject/>
  <dc:creator>Małgorzata</dc:creator>
  <cp:keywords/>
  <dc:description/>
  <cp:lastModifiedBy>Pc</cp:lastModifiedBy>
  <cp:revision>11</cp:revision>
  <cp:lastPrinted>2011-01-27T09:58:00Z</cp:lastPrinted>
  <dcterms:created xsi:type="dcterms:W3CDTF">2011-01-13T18:19:00Z</dcterms:created>
  <dcterms:modified xsi:type="dcterms:W3CDTF">2011-02-10T08:16:00Z</dcterms:modified>
</cp:coreProperties>
</file>