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2B6" w:rsidRDefault="002602B6" w:rsidP="002602B6">
      <w:pPr>
        <w:pStyle w:val="NormalnyWeb"/>
        <w:spacing w:before="0" w:beforeAutospacing="0" w:after="0" w:afterAutospacing="0"/>
        <w:jc w:val="center"/>
        <w:outlineLvl w:val="0"/>
        <w:rPr>
          <w:rFonts w:ascii="Times New Roman" w:hAnsi="Times New Roman" w:cs="Times New Roman"/>
          <w:b/>
          <w:bCs/>
        </w:rPr>
      </w:pPr>
      <w:r>
        <w:rPr>
          <w:rFonts w:ascii="Times New Roman" w:hAnsi="Times New Roman" w:cs="Times New Roman"/>
          <w:b/>
          <w:bCs/>
        </w:rPr>
        <w:t xml:space="preserve">I n f o </w:t>
      </w:r>
      <w:proofErr w:type="spellStart"/>
      <w:r>
        <w:rPr>
          <w:rFonts w:ascii="Times New Roman" w:hAnsi="Times New Roman" w:cs="Times New Roman"/>
          <w:b/>
          <w:bCs/>
        </w:rPr>
        <w:t>r</w:t>
      </w:r>
      <w:proofErr w:type="spellEnd"/>
      <w:r>
        <w:rPr>
          <w:rFonts w:ascii="Times New Roman" w:hAnsi="Times New Roman" w:cs="Times New Roman"/>
          <w:b/>
          <w:bCs/>
        </w:rPr>
        <w:t xml:space="preserve"> m a c j a</w:t>
      </w:r>
    </w:p>
    <w:p w:rsidR="002602B6" w:rsidRDefault="002602B6" w:rsidP="002602B6">
      <w:pPr>
        <w:pStyle w:val="NormalnyWeb"/>
        <w:spacing w:before="0" w:beforeAutospacing="0" w:after="0" w:afterAutospacing="0"/>
        <w:jc w:val="center"/>
        <w:outlineLvl w:val="0"/>
        <w:rPr>
          <w:rFonts w:ascii="Times New Roman" w:hAnsi="Times New Roman" w:cs="Times New Roman"/>
        </w:rPr>
      </w:pPr>
      <w:r>
        <w:rPr>
          <w:rFonts w:ascii="Times New Roman" w:hAnsi="Times New Roman" w:cs="Times New Roman"/>
        </w:rPr>
        <w:t>z działalności Prezydenta Miasta</w:t>
      </w:r>
    </w:p>
    <w:p w:rsidR="002602B6" w:rsidRDefault="002602B6" w:rsidP="002602B6">
      <w:pPr>
        <w:pStyle w:val="NormalnyWeb"/>
        <w:spacing w:before="0" w:beforeAutospacing="0" w:after="0" w:afterAutospacing="0"/>
        <w:jc w:val="center"/>
        <w:outlineLvl w:val="0"/>
        <w:rPr>
          <w:rFonts w:ascii="Times New Roman" w:hAnsi="Times New Roman" w:cs="Times New Roman"/>
          <w:b/>
          <w:bCs/>
        </w:rPr>
      </w:pPr>
      <w:r>
        <w:rPr>
          <w:rFonts w:ascii="Times New Roman" w:hAnsi="Times New Roman" w:cs="Times New Roman"/>
          <w:b/>
          <w:bCs/>
        </w:rPr>
        <w:t>za okres marzec- kwiecień- maj 2020 r.</w:t>
      </w:r>
    </w:p>
    <w:p w:rsidR="002602B6" w:rsidRDefault="002602B6" w:rsidP="002602B6">
      <w:pPr>
        <w:pStyle w:val="NormalnyWeb"/>
        <w:spacing w:before="0" w:beforeAutospacing="0" w:after="0" w:afterAutospacing="0"/>
        <w:jc w:val="left"/>
        <w:rPr>
          <w:rFonts w:ascii="Times New Roman" w:hAnsi="Times New Roman" w:cs="Times New Roman"/>
        </w:rPr>
      </w:pPr>
    </w:p>
    <w:p w:rsidR="002602B6" w:rsidRDefault="002602B6" w:rsidP="002602B6">
      <w:pPr>
        <w:pStyle w:val="NormalnyWeb"/>
        <w:spacing w:before="0" w:beforeAutospacing="0" w:after="0" w:afterAutospacing="0"/>
        <w:jc w:val="left"/>
        <w:rPr>
          <w:rFonts w:ascii="Times New Roman" w:hAnsi="Times New Roman" w:cs="Times New Roman"/>
        </w:rPr>
      </w:pPr>
    </w:p>
    <w:p w:rsidR="002602B6" w:rsidRDefault="002602B6" w:rsidP="002602B6">
      <w:pPr>
        <w:pStyle w:val="NormalnyWeb"/>
        <w:spacing w:before="0" w:beforeAutospacing="0" w:after="0" w:afterAutospacing="0"/>
        <w:jc w:val="left"/>
        <w:rPr>
          <w:rFonts w:ascii="Times New Roman" w:hAnsi="Times New Roman" w:cs="Times New Roman"/>
        </w:rPr>
      </w:pPr>
    </w:p>
    <w:p w:rsidR="002602B6" w:rsidRDefault="002602B6" w:rsidP="002602B6">
      <w:pPr>
        <w:pStyle w:val="NormalnyWeb"/>
        <w:tabs>
          <w:tab w:val="left" w:pos="0"/>
        </w:tabs>
        <w:spacing w:before="0" w:beforeAutospacing="0" w:after="0" w:afterAutospacing="0"/>
        <w:jc w:val="left"/>
        <w:rPr>
          <w:rFonts w:ascii="Times New Roman" w:hAnsi="Times New Roman" w:cs="Times New Roman"/>
        </w:rPr>
      </w:pPr>
      <w:r>
        <w:rPr>
          <w:rFonts w:ascii="Times New Roman" w:hAnsi="Times New Roman" w:cs="Times New Roman"/>
        </w:rPr>
        <w:t xml:space="preserve"> W omawianym okresie Prezydent Miasta podjął ogółem</w:t>
      </w:r>
      <w:r>
        <w:rPr>
          <w:rFonts w:ascii="Times New Roman" w:hAnsi="Times New Roman" w:cs="Times New Roman"/>
          <w:b/>
        </w:rPr>
        <w:t xml:space="preserve"> 75 </w:t>
      </w:r>
      <w:r>
        <w:rPr>
          <w:rFonts w:ascii="Times New Roman" w:hAnsi="Times New Roman" w:cs="Times New Roman"/>
        </w:rPr>
        <w:t xml:space="preserve">zarządzeń, w tym z zakresu:                                                                                                           </w:t>
      </w:r>
    </w:p>
    <w:p w:rsidR="002602B6" w:rsidRDefault="002602B6" w:rsidP="002602B6">
      <w:pPr>
        <w:pStyle w:val="NormalnyWeb"/>
        <w:tabs>
          <w:tab w:val="left" w:pos="0"/>
        </w:tabs>
        <w:spacing w:before="0" w:beforeAutospacing="0" w:after="0" w:afterAutospacing="0"/>
        <w:jc w:val="left"/>
        <w:rPr>
          <w:rFonts w:ascii="Times New Roman" w:hAnsi="Times New Roman" w:cs="Times New Roman"/>
        </w:rPr>
      </w:pPr>
    </w:p>
    <w:p w:rsidR="002602B6" w:rsidRDefault="002602B6" w:rsidP="002602B6">
      <w:pPr>
        <w:pStyle w:val="NormalnyWeb"/>
        <w:numPr>
          <w:ilvl w:val="0"/>
          <w:numId w:val="1"/>
        </w:numPr>
        <w:spacing w:before="0" w:beforeAutospacing="0" w:after="0" w:afterAutospacing="0"/>
        <w:jc w:val="left"/>
        <w:rPr>
          <w:rFonts w:ascii="Times New Roman" w:hAnsi="Times New Roman" w:cs="Times New Roman"/>
        </w:rPr>
      </w:pPr>
      <w:r>
        <w:rPr>
          <w:rFonts w:ascii="Times New Roman" w:hAnsi="Times New Roman" w:cs="Times New Roman"/>
        </w:rPr>
        <w:t>gospodarki mieniem komunalnym</w:t>
      </w:r>
      <w:r>
        <w:rPr>
          <w:rFonts w:ascii="Times New Roman" w:hAnsi="Times New Roman" w:cs="Times New Roman"/>
        </w:rPr>
        <w:tab/>
        <w:t xml:space="preserve">        -24</w:t>
      </w:r>
    </w:p>
    <w:p w:rsidR="002602B6" w:rsidRDefault="002602B6" w:rsidP="002602B6">
      <w:pPr>
        <w:pStyle w:val="NormalnyWeb"/>
        <w:numPr>
          <w:ilvl w:val="0"/>
          <w:numId w:val="1"/>
        </w:numPr>
        <w:spacing w:before="0" w:beforeAutospacing="0" w:after="0" w:afterAutospacing="0"/>
        <w:jc w:val="left"/>
        <w:rPr>
          <w:rFonts w:ascii="Times New Roman" w:hAnsi="Times New Roman" w:cs="Times New Roman"/>
        </w:rPr>
      </w:pPr>
      <w:r>
        <w:rPr>
          <w:rFonts w:ascii="Times New Roman" w:hAnsi="Times New Roman" w:cs="Times New Roman"/>
        </w:rPr>
        <w:t>edukacji                                                     -11</w:t>
      </w:r>
    </w:p>
    <w:p w:rsidR="002602B6" w:rsidRDefault="002602B6" w:rsidP="002602B6">
      <w:pPr>
        <w:pStyle w:val="NormalnyWeb"/>
        <w:numPr>
          <w:ilvl w:val="0"/>
          <w:numId w:val="1"/>
        </w:numPr>
        <w:tabs>
          <w:tab w:val="left" w:pos="0"/>
        </w:tabs>
        <w:spacing w:before="0" w:beforeAutospacing="0" w:after="0" w:afterAutospacing="0"/>
        <w:jc w:val="left"/>
        <w:rPr>
          <w:rFonts w:ascii="Times New Roman" w:hAnsi="Times New Roman" w:cs="Times New Roman"/>
        </w:rPr>
      </w:pPr>
      <w:r>
        <w:rPr>
          <w:rFonts w:ascii="Times New Roman" w:hAnsi="Times New Roman" w:cs="Times New Roman"/>
        </w:rPr>
        <w:t xml:space="preserve">spraw społecznych           </w:t>
      </w:r>
      <w:r>
        <w:rPr>
          <w:rFonts w:ascii="Times New Roman" w:hAnsi="Times New Roman" w:cs="Times New Roman"/>
        </w:rPr>
        <w:tab/>
      </w:r>
      <w:r>
        <w:rPr>
          <w:rFonts w:ascii="Times New Roman" w:hAnsi="Times New Roman" w:cs="Times New Roman"/>
        </w:rPr>
        <w:tab/>
        <w:t xml:space="preserve">        -10</w:t>
      </w:r>
    </w:p>
    <w:p w:rsidR="002602B6" w:rsidRPr="002602B6" w:rsidRDefault="002602B6" w:rsidP="002602B6">
      <w:pPr>
        <w:pStyle w:val="NormalnyWeb"/>
        <w:numPr>
          <w:ilvl w:val="0"/>
          <w:numId w:val="1"/>
        </w:numPr>
        <w:tabs>
          <w:tab w:val="left" w:pos="0"/>
        </w:tabs>
        <w:spacing w:before="0" w:beforeAutospacing="0" w:after="0" w:afterAutospacing="0"/>
        <w:jc w:val="left"/>
        <w:rPr>
          <w:rFonts w:ascii="Times New Roman" w:hAnsi="Times New Roman" w:cs="Times New Roman"/>
        </w:rPr>
      </w:pPr>
      <w:r>
        <w:rPr>
          <w:rFonts w:ascii="Times New Roman" w:hAnsi="Times New Roman" w:cs="Times New Roman"/>
        </w:rPr>
        <w:t>budżetu i podatków                                   -10</w:t>
      </w:r>
    </w:p>
    <w:p w:rsidR="002602B6" w:rsidRDefault="002602B6" w:rsidP="002602B6">
      <w:pPr>
        <w:pStyle w:val="NormalnyWeb"/>
        <w:numPr>
          <w:ilvl w:val="0"/>
          <w:numId w:val="1"/>
        </w:numPr>
        <w:tabs>
          <w:tab w:val="left" w:pos="0"/>
        </w:tabs>
        <w:spacing w:before="0" w:beforeAutospacing="0" w:after="0" w:afterAutospacing="0"/>
        <w:jc w:val="left"/>
        <w:rPr>
          <w:rFonts w:ascii="Times New Roman" w:hAnsi="Times New Roman" w:cs="Times New Roman"/>
        </w:rPr>
      </w:pPr>
      <w:r>
        <w:rPr>
          <w:rFonts w:ascii="Times New Roman" w:hAnsi="Times New Roman" w:cs="Times New Roman"/>
        </w:rPr>
        <w:t>organizacyjnego i kadr                              -8</w:t>
      </w:r>
    </w:p>
    <w:p w:rsidR="002602B6" w:rsidRDefault="002602B6" w:rsidP="002602B6">
      <w:pPr>
        <w:pStyle w:val="NormalnyWeb"/>
        <w:numPr>
          <w:ilvl w:val="0"/>
          <w:numId w:val="1"/>
        </w:numPr>
        <w:tabs>
          <w:tab w:val="left" w:pos="0"/>
        </w:tabs>
        <w:spacing w:before="0" w:beforeAutospacing="0" w:after="0" w:afterAutospacing="0"/>
        <w:jc w:val="left"/>
        <w:rPr>
          <w:rFonts w:ascii="Times New Roman" w:hAnsi="Times New Roman" w:cs="Times New Roman"/>
        </w:rPr>
      </w:pPr>
      <w:r>
        <w:rPr>
          <w:rFonts w:ascii="Times New Roman" w:hAnsi="Times New Roman" w:cs="Times New Roman"/>
        </w:rPr>
        <w:t>budżetu miasta                                          -2</w:t>
      </w:r>
    </w:p>
    <w:p w:rsidR="002602B6" w:rsidRPr="002602B6" w:rsidRDefault="002602B6" w:rsidP="002602B6">
      <w:pPr>
        <w:pStyle w:val="NormalnyWeb"/>
        <w:numPr>
          <w:ilvl w:val="0"/>
          <w:numId w:val="1"/>
        </w:numPr>
        <w:tabs>
          <w:tab w:val="left" w:pos="0"/>
        </w:tabs>
        <w:spacing w:before="0" w:beforeAutospacing="0" w:after="0" w:afterAutospacing="0"/>
        <w:jc w:val="left"/>
        <w:rPr>
          <w:rFonts w:ascii="Times New Roman" w:hAnsi="Times New Roman" w:cs="Times New Roman"/>
        </w:rPr>
      </w:pPr>
      <w:r>
        <w:rPr>
          <w:rFonts w:ascii="Times New Roman" w:hAnsi="Times New Roman" w:cs="Times New Roman"/>
        </w:rPr>
        <w:t>zakładu usług komunalnych                     -3</w:t>
      </w:r>
    </w:p>
    <w:p w:rsidR="002602B6" w:rsidRDefault="002602B6" w:rsidP="002602B6">
      <w:pPr>
        <w:pStyle w:val="NormalnyWeb"/>
        <w:numPr>
          <w:ilvl w:val="0"/>
          <w:numId w:val="1"/>
        </w:numPr>
        <w:spacing w:before="0" w:beforeAutospacing="0" w:after="0" w:afterAutospacing="0"/>
        <w:jc w:val="left"/>
        <w:rPr>
          <w:rFonts w:ascii="Times New Roman" w:hAnsi="Times New Roman" w:cs="Times New Roman"/>
        </w:rPr>
      </w:pPr>
      <w:r>
        <w:rPr>
          <w:rFonts w:ascii="Times New Roman" w:hAnsi="Times New Roman" w:cs="Times New Roman"/>
        </w:rPr>
        <w:t>polityki rowerowej                                    -2</w:t>
      </w:r>
    </w:p>
    <w:p w:rsidR="002602B6" w:rsidRDefault="002602B6" w:rsidP="002602B6">
      <w:pPr>
        <w:pStyle w:val="NormalnyWeb"/>
        <w:numPr>
          <w:ilvl w:val="0"/>
          <w:numId w:val="1"/>
        </w:numPr>
        <w:spacing w:before="0" w:beforeAutospacing="0" w:after="0" w:afterAutospacing="0"/>
        <w:jc w:val="left"/>
        <w:rPr>
          <w:rFonts w:ascii="Times New Roman" w:hAnsi="Times New Roman" w:cs="Times New Roman"/>
        </w:rPr>
      </w:pPr>
      <w:r>
        <w:rPr>
          <w:rFonts w:ascii="Times New Roman" w:hAnsi="Times New Roman" w:cs="Times New Roman"/>
        </w:rPr>
        <w:t>centrum informatycznego                         -1</w:t>
      </w:r>
    </w:p>
    <w:p w:rsidR="002602B6" w:rsidRDefault="002602B6" w:rsidP="002602B6">
      <w:pPr>
        <w:pStyle w:val="NormalnyWeb"/>
        <w:numPr>
          <w:ilvl w:val="0"/>
          <w:numId w:val="1"/>
        </w:numPr>
        <w:spacing w:before="0" w:beforeAutospacing="0" w:after="0" w:afterAutospacing="0"/>
        <w:jc w:val="left"/>
        <w:rPr>
          <w:rFonts w:ascii="Times New Roman" w:hAnsi="Times New Roman" w:cs="Times New Roman"/>
        </w:rPr>
      </w:pPr>
      <w:r>
        <w:rPr>
          <w:rFonts w:ascii="Times New Roman" w:hAnsi="Times New Roman" w:cs="Times New Roman"/>
        </w:rPr>
        <w:t>zamówień publicznych                             -1</w:t>
      </w:r>
    </w:p>
    <w:p w:rsidR="002602B6" w:rsidRDefault="002602B6" w:rsidP="002602B6">
      <w:pPr>
        <w:pStyle w:val="NormalnyWeb"/>
        <w:numPr>
          <w:ilvl w:val="0"/>
          <w:numId w:val="1"/>
        </w:numPr>
        <w:spacing w:before="0" w:beforeAutospacing="0" w:after="0" w:afterAutospacing="0"/>
        <w:jc w:val="left"/>
        <w:rPr>
          <w:rFonts w:ascii="Times New Roman" w:hAnsi="Times New Roman" w:cs="Times New Roman"/>
        </w:rPr>
      </w:pPr>
      <w:r>
        <w:rPr>
          <w:rFonts w:ascii="Times New Roman" w:hAnsi="Times New Roman" w:cs="Times New Roman"/>
        </w:rPr>
        <w:t>administracyjnego                                     -1</w:t>
      </w:r>
    </w:p>
    <w:p w:rsidR="002602B6" w:rsidRDefault="002602B6" w:rsidP="002602B6">
      <w:pPr>
        <w:pStyle w:val="NormalnyWeb"/>
        <w:numPr>
          <w:ilvl w:val="0"/>
          <w:numId w:val="1"/>
        </w:numPr>
        <w:spacing w:before="0" w:beforeAutospacing="0" w:after="0" w:afterAutospacing="0"/>
        <w:jc w:val="left"/>
        <w:rPr>
          <w:rFonts w:ascii="Times New Roman" w:hAnsi="Times New Roman" w:cs="Times New Roman"/>
        </w:rPr>
      </w:pPr>
      <w:r>
        <w:rPr>
          <w:rFonts w:ascii="Times New Roman" w:hAnsi="Times New Roman" w:cs="Times New Roman"/>
        </w:rPr>
        <w:t>spraw komunalnych i inwestycji              -1</w:t>
      </w:r>
    </w:p>
    <w:p w:rsidR="002602B6" w:rsidRPr="002602B6" w:rsidRDefault="002602B6" w:rsidP="002602B6">
      <w:pPr>
        <w:pStyle w:val="NormalnyWeb"/>
        <w:numPr>
          <w:ilvl w:val="0"/>
          <w:numId w:val="1"/>
        </w:numPr>
        <w:spacing w:before="0" w:beforeAutospacing="0" w:after="0" w:afterAutospacing="0"/>
        <w:jc w:val="left"/>
        <w:rPr>
          <w:rFonts w:ascii="Times New Roman" w:hAnsi="Times New Roman" w:cs="Times New Roman"/>
        </w:rPr>
      </w:pPr>
      <w:r>
        <w:rPr>
          <w:rFonts w:ascii="Times New Roman" w:hAnsi="Times New Roman" w:cs="Times New Roman"/>
        </w:rPr>
        <w:t>budżetu urzędu                                          -1</w:t>
      </w:r>
    </w:p>
    <w:p w:rsidR="002602B6" w:rsidRPr="002602B6" w:rsidRDefault="002602B6" w:rsidP="002602B6">
      <w:pPr>
        <w:pStyle w:val="NormalnyWeb"/>
        <w:numPr>
          <w:ilvl w:val="0"/>
          <w:numId w:val="1"/>
        </w:numPr>
        <w:spacing w:before="0" w:beforeAutospacing="0" w:after="0" w:afterAutospacing="0"/>
        <w:jc w:val="left"/>
        <w:rPr>
          <w:rFonts w:ascii="Times New Roman" w:hAnsi="Times New Roman" w:cs="Times New Roman"/>
        </w:rPr>
      </w:pPr>
      <w:r w:rsidRPr="002602B6">
        <w:rPr>
          <w:rFonts w:ascii="Times New Roman" w:hAnsi="Times New Roman" w:cs="Times New Roman"/>
          <w:bCs/>
        </w:rPr>
        <w:t xml:space="preserve">zarządzania kryzysowego               </w:t>
      </w:r>
      <w:r>
        <w:rPr>
          <w:rFonts w:ascii="Times New Roman" w:hAnsi="Times New Roman" w:cs="Times New Roman"/>
          <w:bCs/>
        </w:rPr>
        <w:t xml:space="preserve">         </w:t>
      </w:r>
      <w:r w:rsidRPr="002602B6">
        <w:rPr>
          <w:rFonts w:ascii="Times New Roman" w:hAnsi="Times New Roman" w:cs="Times New Roman"/>
          <w:bCs/>
        </w:rPr>
        <w:t xml:space="preserve"> -1</w:t>
      </w:r>
    </w:p>
    <w:p w:rsidR="002602B6" w:rsidRPr="002602B6" w:rsidRDefault="002602B6" w:rsidP="002602B6">
      <w:pPr>
        <w:pStyle w:val="NormalnyWeb"/>
        <w:numPr>
          <w:ilvl w:val="0"/>
          <w:numId w:val="1"/>
        </w:numPr>
        <w:spacing w:before="0" w:beforeAutospacing="0" w:after="0" w:afterAutospacing="0"/>
        <w:jc w:val="left"/>
        <w:rPr>
          <w:rFonts w:ascii="Times New Roman" w:hAnsi="Times New Roman" w:cs="Times New Roman"/>
        </w:rPr>
      </w:pPr>
      <w:r w:rsidRPr="002602B6">
        <w:rPr>
          <w:rFonts w:ascii="Times New Roman" w:hAnsi="Times New Roman" w:cs="Times New Roman"/>
          <w:bCs/>
        </w:rPr>
        <w:t>miejskiego ośrodka pomocy społecznej</w:t>
      </w:r>
      <w:r w:rsidRPr="002602B6">
        <w:rPr>
          <w:rFonts w:ascii="Times New Roman" w:hAnsi="Times New Roman" w:cs="Times New Roman"/>
          <w:b/>
          <w:bCs/>
        </w:rPr>
        <w:t xml:space="preserve">   </w:t>
      </w:r>
      <w:r w:rsidRPr="002602B6">
        <w:rPr>
          <w:rFonts w:ascii="Times New Roman" w:hAnsi="Times New Roman" w:cs="Times New Roman"/>
          <w:bCs/>
        </w:rPr>
        <w:t>-1</w:t>
      </w:r>
    </w:p>
    <w:p w:rsidR="002602B6" w:rsidRDefault="002602B6" w:rsidP="002602B6">
      <w:pPr>
        <w:pStyle w:val="NormalnyWeb"/>
        <w:spacing w:before="0" w:beforeAutospacing="0" w:after="0" w:afterAutospacing="0"/>
        <w:ind w:left="-142" w:hanging="142"/>
        <w:rPr>
          <w:rFonts w:ascii="Times New Roman" w:hAnsi="Times New Roman" w:cs="Times New Roman"/>
          <w:b/>
          <w:bCs/>
        </w:rPr>
      </w:pPr>
    </w:p>
    <w:p w:rsidR="002602B6" w:rsidRDefault="002602B6" w:rsidP="002602B6">
      <w:pPr>
        <w:pStyle w:val="NormalnyWeb"/>
        <w:spacing w:before="0" w:beforeAutospacing="0" w:after="0" w:afterAutospacing="0"/>
        <w:ind w:left="-142" w:hanging="142"/>
        <w:rPr>
          <w:rFonts w:ascii="Times New Roman" w:hAnsi="Times New Roman" w:cs="Times New Roman"/>
          <w:b/>
          <w:bCs/>
        </w:rPr>
      </w:pPr>
    </w:p>
    <w:p w:rsidR="002602B6" w:rsidRDefault="002602B6" w:rsidP="002602B6">
      <w:pPr>
        <w:pStyle w:val="NormalnyWeb"/>
        <w:spacing w:before="0" w:beforeAutospacing="0" w:after="0" w:afterAutospacing="0"/>
        <w:ind w:left="-142" w:hanging="142"/>
        <w:rPr>
          <w:rFonts w:ascii="Times New Roman" w:hAnsi="Times New Roman" w:cs="Times New Roman"/>
          <w:b/>
          <w:bCs/>
        </w:rPr>
      </w:pPr>
      <w:r>
        <w:rPr>
          <w:rFonts w:ascii="Times New Roman" w:hAnsi="Times New Roman" w:cs="Times New Roman"/>
          <w:b/>
          <w:bCs/>
        </w:rPr>
        <w:t xml:space="preserve">        I. W zakresie gospodarki mieniem komunalnym:</w:t>
      </w:r>
    </w:p>
    <w:p w:rsidR="002602B6" w:rsidRDefault="002602B6" w:rsidP="002602B6">
      <w:pPr>
        <w:pStyle w:val="NormalnyWeb"/>
        <w:spacing w:before="0" w:beforeAutospacing="0" w:after="0" w:afterAutospacing="0"/>
        <w:ind w:left="-142" w:hanging="142"/>
        <w:rPr>
          <w:rFonts w:ascii="Times New Roman" w:hAnsi="Times New Roman" w:cs="Times New Roman"/>
          <w:b/>
          <w:bCs/>
          <w:iCs/>
          <w:u w:val="single"/>
        </w:rPr>
      </w:pPr>
    </w:p>
    <w:p w:rsidR="002602B6" w:rsidRDefault="002602B6" w:rsidP="002602B6">
      <w:pPr>
        <w:tabs>
          <w:tab w:val="left" w:pos="8028"/>
        </w:tabs>
        <w:outlineLvl w:val="0"/>
        <w:rPr>
          <w:b/>
          <w:i/>
        </w:rPr>
      </w:pPr>
      <w:r>
        <w:rPr>
          <w:b/>
          <w:i/>
        </w:rPr>
        <w:t>Prezydent:</w:t>
      </w:r>
    </w:p>
    <w:p w:rsidR="0027747F" w:rsidRDefault="0027747F" w:rsidP="002602B6">
      <w:pPr>
        <w:tabs>
          <w:tab w:val="left" w:pos="8028"/>
        </w:tabs>
        <w:outlineLvl w:val="0"/>
        <w:rPr>
          <w:b/>
          <w:i/>
        </w:rPr>
      </w:pPr>
    </w:p>
    <w:p w:rsidR="0027747F" w:rsidRDefault="0027747F" w:rsidP="0027747F">
      <w:pPr>
        <w:spacing w:after="120" w:line="360" w:lineRule="auto"/>
        <w:rPr>
          <w:color w:val="000000"/>
          <w:u w:val="single"/>
        </w:rPr>
      </w:pPr>
      <w:r>
        <w:t>Zawarł:</w:t>
      </w:r>
    </w:p>
    <w:p w:rsidR="0027747F" w:rsidRPr="00D74E3E" w:rsidRDefault="0027747F" w:rsidP="0027747F">
      <w:pPr>
        <w:numPr>
          <w:ilvl w:val="0"/>
          <w:numId w:val="2"/>
        </w:numPr>
        <w:tabs>
          <w:tab w:val="clear" w:pos="-76"/>
          <w:tab w:val="num" w:pos="0"/>
        </w:tabs>
        <w:spacing w:after="120" w:line="100" w:lineRule="atLeast"/>
        <w:ind w:left="720"/>
        <w:rPr>
          <w:u w:val="single"/>
        </w:rPr>
      </w:pPr>
      <w:r>
        <w:rPr>
          <w:u w:val="single"/>
        </w:rPr>
        <w:t xml:space="preserve">trzy akty notarialne </w:t>
      </w:r>
      <w:r>
        <w:t xml:space="preserve">dotyczące </w:t>
      </w:r>
      <w:proofErr w:type="spellStart"/>
      <w:r w:rsidRPr="00DB2E8C">
        <w:t>bezprzetargowej</w:t>
      </w:r>
      <w:proofErr w:type="spellEnd"/>
      <w:r w:rsidRPr="00DB2E8C">
        <w:t xml:space="preserve"> sprzedaży lokali mieszkalnych</w:t>
      </w:r>
      <w:r>
        <w:t xml:space="preserve">                   na rzecz najemców</w:t>
      </w:r>
      <w:r w:rsidRPr="00DB2E8C">
        <w:t xml:space="preserve"> - ul. Tetmajera, ul. Paderewskie</w:t>
      </w:r>
      <w:r>
        <w:t xml:space="preserve">go, ul. Paderewskiego; </w:t>
      </w:r>
    </w:p>
    <w:p w:rsidR="0027747F" w:rsidRDefault="0027747F" w:rsidP="0027747F">
      <w:pPr>
        <w:numPr>
          <w:ilvl w:val="0"/>
          <w:numId w:val="2"/>
        </w:numPr>
        <w:tabs>
          <w:tab w:val="clear" w:pos="-76"/>
          <w:tab w:val="num" w:pos="0"/>
        </w:tabs>
        <w:spacing w:after="120" w:line="100" w:lineRule="atLeast"/>
        <w:ind w:left="720"/>
        <w:rPr>
          <w:u w:val="single"/>
        </w:rPr>
      </w:pPr>
      <w:r>
        <w:rPr>
          <w:u w:val="single"/>
        </w:rPr>
        <w:t xml:space="preserve">trzy umowy </w:t>
      </w:r>
      <w:r w:rsidRPr="00061CB5">
        <w:rPr>
          <w:u w:val="single"/>
        </w:rPr>
        <w:t>dzierżawy</w:t>
      </w:r>
      <w:r>
        <w:rPr>
          <w:u w:val="single"/>
        </w:rPr>
        <w:t>,</w:t>
      </w:r>
      <w:r w:rsidRPr="00061CB5">
        <w:rPr>
          <w:u w:val="single"/>
        </w:rPr>
        <w:t xml:space="preserve"> w tym:</w:t>
      </w:r>
      <w:r>
        <w:t xml:space="preserve"> dwie dotyczące ogródków gastronomicznych na Placu Hallera, a jedna części dachu </w:t>
      </w:r>
      <w:r w:rsidRPr="00DB2E8C">
        <w:t xml:space="preserve">hali targowej </w:t>
      </w:r>
      <w:r>
        <w:t>przy ul. Żwirki;</w:t>
      </w:r>
      <w:r>
        <w:rPr>
          <w:u w:val="single"/>
        </w:rPr>
        <w:t xml:space="preserve"> </w:t>
      </w:r>
    </w:p>
    <w:p w:rsidR="0027747F" w:rsidRDefault="0027747F" w:rsidP="0027747F">
      <w:pPr>
        <w:numPr>
          <w:ilvl w:val="0"/>
          <w:numId w:val="2"/>
        </w:numPr>
        <w:tabs>
          <w:tab w:val="clear" w:pos="-76"/>
          <w:tab w:val="num" w:pos="0"/>
        </w:tabs>
        <w:spacing w:after="120" w:line="100" w:lineRule="atLeast"/>
        <w:ind w:left="720"/>
        <w:rPr>
          <w:u w:val="single"/>
        </w:rPr>
      </w:pPr>
      <w:r>
        <w:rPr>
          <w:u w:val="single"/>
        </w:rPr>
        <w:t>jedną umowę najmu</w:t>
      </w:r>
      <w:r>
        <w:t xml:space="preserve"> na boks handlowy nr 12 na hali targowej nr I; </w:t>
      </w:r>
    </w:p>
    <w:p w:rsidR="0027747F" w:rsidRPr="009D5693" w:rsidRDefault="0027747F" w:rsidP="0027747F">
      <w:pPr>
        <w:numPr>
          <w:ilvl w:val="0"/>
          <w:numId w:val="2"/>
        </w:numPr>
        <w:tabs>
          <w:tab w:val="clear" w:pos="-76"/>
          <w:tab w:val="num" w:pos="0"/>
        </w:tabs>
        <w:spacing w:after="120" w:line="100" w:lineRule="atLeast"/>
        <w:ind w:left="720"/>
        <w:rPr>
          <w:u w:val="single"/>
        </w:rPr>
      </w:pPr>
      <w:r>
        <w:rPr>
          <w:u w:val="single"/>
        </w:rPr>
        <w:t>cztery ugody w tym:</w:t>
      </w:r>
      <w:r w:rsidRPr="001E7DC6">
        <w:t xml:space="preserve"> </w:t>
      </w:r>
      <w:r>
        <w:t xml:space="preserve">jedną dotyczącą rozłożenia na raty należności z tytułu opłaty              za przekształcenie prawa użytkowania wieczystego w prawo, jedną </w:t>
      </w:r>
      <w:r w:rsidRPr="00061CB5">
        <w:t>rozłożeni</w:t>
      </w:r>
      <w:r>
        <w:t>a</w:t>
      </w:r>
      <w:r w:rsidRPr="00061CB5">
        <w:t xml:space="preserve"> na raty należności z tytułu opłaty za użytkowanie wieczyste gruntu</w:t>
      </w:r>
      <w:r>
        <w:t xml:space="preserve"> oraz dwie dotyczące </w:t>
      </w:r>
      <w:r w:rsidRPr="00061CB5">
        <w:t>odroczeni</w:t>
      </w:r>
      <w:r>
        <w:t>a</w:t>
      </w:r>
      <w:r w:rsidRPr="00061CB5">
        <w:t xml:space="preserve"> terminu płatności opłaty za użytkowanie wieczyste gruntu</w:t>
      </w:r>
      <w:r>
        <w:t>.</w:t>
      </w:r>
    </w:p>
    <w:p w:rsidR="0027747F" w:rsidRDefault="0027747F" w:rsidP="0027747F">
      <w:pPr>
        <w:spacing w:after="120" w:line="100" w:lineRule="atLeast"/>
      </w:pPr>
      <w:r>
        <w:t>Zatwierdził siedem podziałów nieruchomości przy ulicach: Brzozowej, Armii Krajowej, Rokickiej, Piotrowo, Czesława Miłosza, 30 Stycznia, Norwida.</w:t>
      </w:r>
    </w:p>
    <w:p w:rsidR="0027747F" w:rsidRDefault="0027747F" w:rsidP="0027747F">
      <w:pPr>
        <w:spacing w:after="120" w:line="100" w:lineRule="atLeast"/>
      </w:pPr>
      <w:r>
        <w:t xml:space="preserve">Uczestniczył w Nadzwyczajnym Zgromadzeniu Wspólników Spółki Zakładu Wodociągów                 i Kanalizacji, Tczewskiego Towarzystwa Budownictwa Społecznego oraz Zakładu Utylizacji Odpadów Stałych.  </w:t>
      </w:r>
    </w:p>
    <w:p w:rsidR="0027747F" w:rsidRPr="00CC6869" w:rsidRDefault="0027747F" w:rsidP="0027747F">
      <w:pPr>
        <w:spacing w:line="100" w:lineRule="atLeast"/>
      </w:pPr>
      <w:r w:rsidRPr="001F1569">
        <w:lastRenderedPageBreak/>
        <w:t>Wystąpił do Rady Miejskiej z wnios</w:t>
      </w:r>
      <w:r>
        <w:t xml:space="preserve">kiem dotyczącym podjęcia uchwały w sprawie </w:t>
      </w:r>
      <w:r w:rsidRPr="00CC6869">
        <w:t>określenia szczegółowych zasad, sposobu i trybu umarzania i udzielania ulg dotyczących</w:t>
      </w:r>
      <w:r>
        <w:t xml:space="preserve"> </w:t>
      </w:r>
      <w:r w:rsidRPr="00CC6869">
        <w:t>należności pieniężnych przypadających Gminie Miejskiej Tczew za okres stanu zagrożenia</w:t>
      </w:r>
    </w:p>
    <w:p w:rsidR="0027747F" w:rsidRDefault="0027747F" w:rsidP="0027747F">
      <w:pPr>
        <w:spacing w:line="100" w:lineRule="atLeast"/>
      </w:pPr>
      <w:r w:rsidRPr="00CC6869">
        <w:t>epidemicznego oraz stanu epidemii</w:t>
      </w:r>
      <w:r>
        <w:t>.</w:t>
      </w:r>
    </w:p>
    <w:p w:rsidR="0027747F" w:rsidRPr="009D7AE6" w:rsidRDefault="0027747F" w:rsidP="0027747F">
      <w:pPr>
        <w:spacing w:line="100" w:lineRule="atLeast"/>
      </w:pPr>
    </w:p>
    <w:p w:rsidR="0027747F" w:rsidRDefault="0027747F" w:rsidP="0027747F">
      <w:pPr>
        <w:spacing w:line="100" w:lineRule="atLeast"/>
      </w:pPr>
      <w:r>
        <w:t>Wydał jedno zaświadczenie o przekształceniu prawa użytkowania wieczystego gruntu                    w prawo własności, dwa dotyczące potwierdzenia wysokości</w:t>
      </w:r>
      <w:r w:rsidRPr="009D5693">
        <w:t xml:space="preserve"> opłaty z tytułu użytkowania wieczystego</w:t>
      </w:r>
      <w:r>
        <w:t xml:space="preserve"> i jedno </w:t>
      </w:r>
      <w:r w:rsidRPr="009D5693">
        <w:t>zaświadczenie o dokonaniu opłaty jednorazowej z tytułu przekształcenia</w:t>
      </w:r>
      <w:r>
        <w:t xml:space="preserve"> prawa użytkowania wieczystego gruntu w prawo własności</w:t>
      </w:r>
      <w:r w:rsidRPr="009D5693">
        <w:t xml:space="preserve"> oraz wykreślenia roszczenia</w:t>
      </w:r>
      <w:r>
        <w:t xml:space="preserve">.   </w:t>
      </w:r>
    </w:p>
    <w:p w:rsidR="0027747F" w:rsidRDefault="0027747F" w:rsidP="0027747F">
      <w:pPr>
        <w:spacing w:after="120" w:line="100" w:lineRule="atLeast"/>
      </w:pPr>
      <w:r>
        <w:t>Podjął XX zarządzeń:</w:t>
      </w:r>
    </w:p>
    <w:p w:rsidR="0027747F" w:rsidRDefault="0027747F" w:rsidP="0027747F">
      <w:pPr>
        <w:numPr>
          <w:ilvl w:val="0"/>
          <w:numId w:val="2"/>
        </w:numPr>
        <w:tabs>
          <w:tab w:val="clear" w:pos="-76"/>
          <w:tab w:val="num" w:pos="0"/>
        </w:tabs>
        <w:suppressAutoHyphens/>
        <w:spacing w:after="200" w:line="276" w:lineRule="auto"/>
        <w:ind w:left="720"/>
      </w:pPr>
      <w:r>
        <w:t>w</w:t>
      </w:r>
      <w:r w:rsidRPr="0000497F">
        <w:t xml:space="preserve"> sprawie </w:t>
      </w:r>
      <w:r>
        <w:t>oddania w dzierżawę gruntu: na cele zagospodarowania zielenią przy               Al. Solidarności, Pl. Hallera na ogródki gastronomiczne, ul. Targowa na miejsca postojowe oraz ul. Lecha kontenerowej centrali telefonicznej;</w:t>
      </w:r>
    </w:p>
    <w:p w:rsidR="0027747F" w:rsidRDefault="0027747F" w:rsidP="0027747F">
      <w:pPr>
        <w:numPr>
          <w:ilvl w:val="0"/>
          <w:numId w:val="2"/>
        </w:numPr>
        <w:tabs>
          <w:tab w:val="clear" w:pos="-76"/>
          <w:tab w:val="num" w:pos="0"/>
        </w:tabs>
        <w:suppressAutoHyphens/>
        <w:spacing w:after="200" w:line="276" w:lineRule="auto"/>
        <w:ind w:left="720"/>
      </w:pPr>
      <w:r>
        <w:t>w</w:t>
      </w:r>
      <w:r w:rsidRPr="0000497F">
        <w:t xml:space="preserve"> sprawie </w:t>
      </w:r>
      <w:r>
        <w:t>przedłużenia umowy użyczenia nieruchomości przy ul. Konarskiego;</w:t>
      </w:r>
    </w:p>
    <w:p w:rsidR="0027747F" w:rsidRDefault="0027747F" w:rsidP="0027747F">
      <w:pPr>
        <w:numPr>
          <w:ilvl w:val="0"/>
          <w:numId w:val="2"/>
        </w:numPr>
        <w:tabs>
          <w:tab w:val="clear" w:pos="-76"/>
          <w:tab w:val="num" w:pos="0"/>
        </w:tabs>
        <w:suppressAutoHyphens/>
        <w:spacing w:after="200" w:line="276" w:lineRule="auto"/>
        <w:ind w:left="720"/>
      </w:pPr>
      <w:r>
        <w:t xml:space="preserve">w sprawie ogłoszenia I przetargu na sprzedaż nieruchomości niezabudowanych przy ulicach Kołłątaja i </w:t>
      </w:r>
      <w:proofErr w:type="spellStart"/>
      <w:r>
        <w:t>Czyżykowskiej</w:t>
      </w:r>
      <w:proofErr w:type="spellEnd"/>
      <w:r>
        <w:t xml:space="preserve"> oraz Przystani;</w:t>
      </w:r>
    </w:p>
    <w:p w:rsidR="0027747F" w:rsidRDefault="0027747F" w:rsidP="0027747F">
      <w:pPr>
        <w:numPr>
          <w:ilvl w:val="0"/>
          <w:numId w:val="2"/>
        </w:numPr>
        <w:tabs>
          <w:tab w:val="clear" w:pos="-76"/>
          <w:tab w:val="num" w:pos="0"/>
        </w:tabs>
        <w:suppressAutoHyphens/>
        <w:spacing w:after="200" w:line="276" w:lineRule="auto"/>
        <w:ind w:left="720"/>
      </w:pPr>
      <w:r>
        <w:t>w sprawie ogłoszenia II przetargu na sprzedaż nieruchomości niezabudowanych przy ulicy Kapitańskiej;</w:t>
      </w:r>
    </w:p>
    <w:p w:rsidR="0027747F" w:rsidRDefault="0027747F" w:rsidP="0027747F">
      <w:pPr>
        <w:numPr>
          <w:ilvl w:val="0"/>
          <w:numId w:val="2"/>
        </w:numPr>
        <w:tabs>
          <w:tab w:val="clear" w:pos="-76"/>
          <w:tab w:val="num" w:pos="0"/>
        </w:tabs>
        <w:suppressAutoHyphens/>
        <w:spacing w:after="200" w:line="276" w:lineRule="auto"/>
        <w:ind w:left="720"/>
      </w:pPr>
      <w:r>
        <w:t xml:space="preserve"> w sprawie przeznaczenia nieruchomości przy ul. Pileckiego do sprzedaży oraz wywieszenia wykazu;</w:t>
      </w:r>
    </w:p>
    <w:p w:rsidR="0027747F" w:rsidRDefault="0027747F" w:rsidP="0027747F">
      <w:pPr>
        <w:numPr>
          <w:ilvl w:val="0"/>
          <w:numId w:val="2"/>
        </w:numPr>
        <w:tabs>
          <w:tab w:val="clear" w:pos="-76"/>
          <w:tab w:val="num" w:pos="0"/>
        </w:tabs>
        <w:suppressAutoHyphens/>
        <w:spacing w:after="200" w:line="276" w:lineRule="auto"/>
        <w:ind w:left="720"/>
      </w:pPr>
      <w:r>
        <w:t>w sprawie odstąpienia od waloryzacji czynszów z tytułu najmu i dzierżawy;</w:t>
      </w:r>
    </w:p>
    <w:p w:rsidR="0027747F" w:rsidRPr="00AF5174" w:rsidRDefault="0027747F" w:rsidP="0027747F">
      <w:pPr>
        <w:numPr>
          <w:ilvl w:val="0"/>
          <w:numId w:val="2"/>
        </w:numPr>
        <w:tabs>
          <w:tab w:val="clear" w:pos="-76"/>
          <w:tab w:val="num" w:pos="0"/>
        </w:tabs>
        <w:suppressAutoHyphens/>
        <w:spacing w:after="200" w:line="276" w:lineRule="auto"/>
        <w:ind w:left="720"/>
      </w:pPr>
      <w:r>
        <w:t xml:space="preserve">ustalającego wzór </w:t>
      </w:r>
      <w:r w:rsidRPr="00CC6869">
        <w:t>formularza oświadczenia o stanie majątkowym i sz</w:t>
      </w:r>
      <w:r>
        <w:t>czegółowych zasadach, dotyczący umorzeń i ulg.</w:t>
      </w:r>
    </w:p>
    <w:p w:rsidR="002602B6" w:rsidRDefault="002602B6" w:rsidP="002602B6">
      <w:pPr>
        <w:tabs>
          <w:tab w:val="left" w:pos="8028"/>
        </w:tabs>
        <w:outlineLvl w:val="0"/>
        <w:rPr>
          <w:b/>
          <w:i/>
        </w:rPr>
      </w:pPr>
    </w:p>
    <w:p w:rsidR="002602B6" w:rsidRDefault="002602B6" w:rsidP="002602B6">
      <w:pPr>
        <w:spacing w:after="120"/>
      </w:pPr>
    </w:p>
    <w:p w:rsidR="002602B6" w:rsidRDefault="002602B6" w:rsidP="002602B6">
      <w:pPr>
        <w:pStyle w:val="NormalnyWeb"/>
        <w:spacing w:before="0" w:beforeAutospacing="0" w:after="0" w:afterAutospacing="0"/>
        <w:rPr>
          <w:rFonts w:ascii="Times New Roman" w:hAnsi="Times New Roman" w:cs="Times New Roman"/>
          <w:b/>
          <w:bCs/>
        </w:rPr>
      </w:pPr>
      <w:r>
        <w:rPr>
          <w:rFonts w:ascii="Times New Roman" w:eastAsia="Times New Roman" w:hAnsi="Times New Roman" w:cs="Times New Roman"/>
          <w:b/>
        </w:rPr>
        <w:t xml:space="preserve">II.  </w:t>
      </w:r>
      <w:r>
        <w:rPr>
          <w:rFonts w:ascii="Times New Roman" w:hAnsi="Times New Roman" w:cs="Times New Roman"/>
          <w:b/>
          <w:bCs/>
        </w:rPr>
        <w:t xml:space="preserve">W  zakresie spraw komunalnych i inwestycji, planowania przestrzennego </w:t>
      </w:r>
    </w:p>
    <w:p w:rsidR="002602B6" w:rsidRDefault="002602B6" w:rsidP="002602B6">
      <w:pPr>
        <w:pStyle w:val="NormalnyWeb"/>
        <w:spacing w:before="0" w:beforeAutospacing="0" w:after="0" w:afterAutospacing="0"/>
        <w:ind w:left="709" w:hanging="283"/>
        <w:rPr>
          <w:rFonts w:ascii="Times New Roman" w:hAnsi="Times New Roman" w:cs="Times New Roman"/>
          <w:b/>
          <w:bCs/>
        </w:rPr>
      </w:pPr>
      <w:r>
        <w:rPr>
          <w:rFonts w:ascii="Times New Roman" w:hAnsi="Times New Roman" w:cs="Times New Roman"/>
          <w:b/>
          <w:bCs/>
        </w:rPr>
        <w:t>i rozwoju miasta:</w:t>
      </w:r>
    </w:p>
    <w:p w:rsidR="002602B6" w:rsidRDefault="002602B6" w:rsidP="002602B6">
      <w:pPr>
        <w:pStyle w:val="NormalnyWeb"/>
        <w:spacing w:before="0" w:beforeAutospacing="0" w:after="0" w:afterAutospacing="0"/>
        <w:ind w:left="709" w:hanging="283"/>
        <w:rPr>
          <w:rFonts w:ascii="Times New Roman" w:hAnsi="Times New Roman" w:cs="Times New Roman"/>
          <w:b/>
          <w:bCs/>
        </w:rPr>
      </w:pPr>
    </w:p>
    <w:p w:rsidR="002602B6" w:rsidRDefault="002602B6" w:rsidP="002602B6">
      <w:pPr>
        <w:rPr>
          <w:b/>
          <w:i/>
        </w:rPr>
      </w:pPr>
      <w:r>
        <w:rPr>
          <w:b/>
          <w:i/>
        </w:rPr>
        <w:t xml:space="preserve"> -  w zakresie  inwestycji i remontów</w:t>
      </w:r>
    </w:p>
    <w:p w:rsidR="002602B6" w:rsidRDefault="002602B6" w:rsidP="002602B6">
      <w:pPr>
        <w:rPr>
          <w:b/>
          <w:i/>
        </w:rPr>
      </w:pPr>
    </w:p>
    <w:p w:rsidR="0027747F" w:rsidRPr="0027747F" w:rsidRDefault="0027747F" w:rsidP="0027747F">
      <w:pPr>
        <w:pStyle w:val="Akapitzlist"/>
        <w:widowControl/>
        <w:numPr>
          <w:ilvl w:val="0"/>
          <w:numId w:val="7"/>
        </w:numPr>
        <w:suppressAutoHyphens w:val="0"/>
        <w:spacing w:after="100" w:line="276" w:lineRule="auto"/>
        <w:ind w:left="426" w:hanging="426"/>
        <w:jc w:val="left"/>
        <w:rPr>
          <w:b/>
          <w:color w:val="000000" w:themeColor="text1"/>
        </w:rPr>
      </w:pPr>
      <w:r w:rsidRPr="0027747F">
        <w:rPr>
          <w:b/>
          <w:color w:val="000000" w:themeColor="text1"/>
        </w:rPr>
        <w:t xml:space="preserve">Budżet Obywatelski </w:t>
      </w:r>
    </w:p>
    <w:p w:rsidR="0027747F" w:rsidRPr="0027747F" w:rsidRDefault="0027747F" w:rsidP="0027747F">
      <w:pPr>
        <w:spacing w:after="100"/>
        <w:jc w:val="left"/>
      </w:pPr>
      <w:r w:rsidRPr="0027747F">
        <w:rPr>
          <w:color w:val="000000" w:themeColor="text1"/>
        </w:rPr>
        <w:t>Ze względu na pandemię rozpoczęcie realizacji procedury wyboru projektów</w:t>
      </w:r>
      <w:r w:rsidRPr="0027747F">
        <w:rPr>
          <w:color w:val="000000" w:themeColor="text1"/>
        </w:rPr>
        <w:br/>
        <w:t xml:space="preserve">w </w:t>
      </w:r>
      <w:r w:rsidRPr="0027747F">
        <w:t xml:space="preserve">ramach Budżetu Obywatelskiego zostało w marcu 2020 r. wstrzymane. </w:t>
      </w:r>
    </w:p>
    <w:p w:rsidR="0027747F" w:rsidRPr="0027747F" w:rsidRDefault="0027747F" w:rsidP="0027747F">
      <w:pPr>
        <w:pStyle w:val="msonormalcxspdrugiecxspnazwisko"/>
        <w:contextualSpacing/>
        <w:rPr>
          <w:b/>
        </w:rPr>
      </w:pPr>
      <w:r w:rsidRPr="0027747F">
        <w:rPr>
          <w:b/>
          <w:lang w:eastAsia="en-US"/>
        </w:rPr>
        <w:t>2.</w:t>
      </w:r>
      <w:r w:rsidRPr="0027747F">
        <w:rPr>
          <w:lang w:eastAsia="en-US"/>
        </w:rPr>
        <w:t xml:space="preserve"> </w:t>
      </w:r>
      <w:r w:rsidRPr="0027747F">
        <w:rPr>
          <w:b/>
        </w:rPr>
        <w:t>Adaptacja budynku przy ul. Elżbiety 19 B –Rewitalizacja.</w:t>
      </w:r>
    </w:p>
    <w:p w:rsidR="0027747F" w:rsidRPr="0027747F" w:rsidRDefault="0027747F" w:rsidP="0027747F">
      <w:pPr>
        <w:ind w:left="284" w:hanging="284"/>
        <w:jc w:val="left"/>
      </w:pPr>
      <w:r w:rsidRPr="0027747F">
        <w:rPr>
          <w:rFonts w:eastAsia="Arial Unicode MS"/>
        </w:rPr>
        <w:t xml:space="preserve">1) Zrealizowano umowę na dokończenie robót budowlanych w ramach zadania inwestycyjnego na wartość 423.000,00 zł. </w:t>
      </w:r>
      <w:r w:rsidRPr="0027747F">
        <w:t xml:space="preserve">Wykonawca: MARKAN </w:t>
      </w:r>
      <w:proofErr w:type="spellStart"/>
      <w:r w:rsidRPr="0027747F">
        <w:t>s.c</w:t>
      </w:r>
      <w:proofErr w:type="spellEnd"/>
      <w:r w:rsidRPr="0027747F">
        <w:t>.</w:t>
      </w:r>
      <w:r w:rsidRPr="0027747F">
        <w:br/>
        <w:t xml:space="preserve">z siedzibą Rokitki ul. Tczewska 35. </w:t>
      </w:r>
    </w:p>
    <w:p w:rsidR="0027747F" w:rsidRPr="0027747F" w:rsidRDefault="0027747F" w:rsidP="0027747F">
      <w:pPr>
        <w:ind w:left="284"/>
        <w:jc w:val="left"/>
      </w:pPr>
      <w:r w:rsidRPr="0027747F">
        <w:t>Prowadzona jest procedura uzyskania decyzji pozwolenia na użytkowanie obiektu.</w:t>
      </w:r>
    </w:p>
    <w:p w:rsidR="0027747F" w:rsidRPr="0027747F" w:rsidRDefault="0027747F" w:rsidP="0027747F">
      <w:pPr>
        <w:ind w:left="284" w:hanging="284"/>
        <w:jc w:val="left"/>
      </w:pPr>
      <w:r w:rsidRPr="0027747F">
        <w:lastRenderedPageBreak/>
        <w:t>2) Dostawa i montaż wyposażenia budynku Rodzinnego Klubu Zatorze przy</w:t>
      </w:r>
      <w:r w:rsidRPr="0027747F">
        <w:br/>
        <w:t>ul. Elżbiety 19 B w Tczewie.</w:t>
      </w:r>
    </w:p>
    <w:p w:rsidR="0027747F" w:rsidRPr="0027747F" w:rsidRDefault="0027747F" w:rsidP="0027747F">
      <w:pPr>
        <w:spacing w:after="240"/>
        <w:ind w:left="284"/>
        <w:jc w:val="left"/>
      </w:pPr>
      <w:r w:rsidRPr="0027747F">
        <w:t xml:space="preserve">Wykonawca: MATAGO GROUP Mateusz Gembicki z siedzibą we Wrocławiu. Wartość zamówienia: 87.084,00 zł, termin wykonania: 25.05.2020 r.  </w:t>
      </w:r>
    </w:p>
    <w:p w:rsidR="0027747F" w:rsidRPr="0027747F" w:rsidRDefault="0027747F" w:rsidP="0027747F">
      <w:pPr>
        <w:widowControl w:val="0"/>
        <w:suppressAutoHyphens/>
        <w:jc w:val="left"/>
        <w:rPr>
          <w:b/>
        </w:rPr>
      </w:pPr>
      <w:r w:rsidRPr="0027747F">
        <w:rPr>
          <w:b/>
        </w:rPr>
        <w:t xml:space="preserve">3. Budowa stadionu lekkoatletycznego przy ul. </w:t>
      </w:r>
      <w:proofErr w:type="spellStart"/>
      <w:r w:rsidRPr="0027747F">
        <w:rPr>
          <w:b/>
        </w:rPr>
        <w:t>Bałdowskiej</w:t>
      </w:r>
      <w:proofErr w:type="spellEnd"/>
      <w:r w:rsidRPr="0027747F">
        <w:rPr>
          <w:b/>
        </w:rPr>
        <w:t xml:space="preserve"> – Etap I.</w:t>
      </w:r>
    </w:p>
    <w:p w:rsidR="0027747F" w:rsidRPr="0027747F" w:rsidRDefault="0027747F" w:rsidP="0027747F">
      <w:pPr>
        <w:jc w:val="left"/>
      </w:pPr>
      <w:r w:rsidRPr="0027747F">
        <w:t>Wykonawca: Panorama Obiekty Sportowe Sp. z o.o., z siedzibą w Piasecznie.</w:t>
      </w:r>
      <w:r w:rsidRPr="0027747F">
        <w:br/>
        <w:t>Wartość zamówienia: 4.769.575,85 zł.</w:t>
      </w:r>
    </w:p>
    <w:p w:rsidR="0027747F" w:rsidRPr="0027747F" w:rsidRDefault="0027747F" w:rsidP="0027747F">
      <w:pPr>
        <w:jc w:val="left"/>
      </w:pPr>
      <w:r w:rsidRPr="0027747F">
        <w:t>Zakończono roboty budowlane, uzyskano niezbędne decyzje i pozwolenia</w:t>
      </w:r>
      <w:r w:rsidRPr="0027747F">
        <w:br/>
        <w:t xml:space="preserve">w tym Certyfikat PZLA.  W dniu 20.05.2020 r. dokonano odbioru zadania oraz przekazano obiekt użytkownikowi </w:t>
      </w:r>
      <w:proofErr w:type="spellStart"/>
      <w:r w:rsidRPr="0027747F">
        <w:t>TCSiR</w:t>
      </w:r>
      <w:proofErr w:type="spellEnd"/>
      <w:r w:rsidRPr="0027747F">
        <w:t xml:space="preserve"> Tczew.</w:t>
      </w:r>
    </w:p>
    <w:p w:rsidR="0027747F" w:rsidRPr="0027747F" w:rsidRDefault="0027747F" w:rsidP="0027747F">
      <w:pPr>
        <w:jc w:val="left"/>
      </w:pPr>
    </w:p>
    <w:p w:rsidR="0027747F" w:rsidRPr="0027747F" w:rsidRDefault="0027747F" w:rsidP="0027747F">
      <w:pPr>
        <w:jc w:val="left"/>
        <w:rPr>
          <w:b/>
        </w:rPr>
      </w:pPr>
      <w:r w:rsidRPr="0027747F">
        <w:rPr>
          <w:b/>
        </w:rPr>
        <w:t xml:space="preserve">4.  Modernizacja kanalizacji deszczowej w ulicy Południowej i Pomorskiej. </w:t>
      </w:r>
    </w:p>
    <w:p w:rsidR="0027747F" w:rsidRPr="0027747F" w:rsidRDefault="0027747F" w:rsidP="0027747F">
      <w:pPr>
        <w:jc w:val="left"/>
      </w:pPr>
      <w:r w:rsidRPr="0027747F">
        <w:t xml:space="preserve">Wykonawca: </w:t>
      </w:r>
      <w:proofErr w:type="spellStart"/>
      <w:r w:rsidRPr="0027747F">
        <w:t>ELECTRO-CAL</w:t>
      </w:r>
      <w:proofErr w:type="spellEnd"/>
      <w:r w:rsidRPr="0027747F">
        <w:t xml:space="preserve"> Sp. z o.o., z siedzibą w Zajączkowie 83-111 </w:t>
      </w:r>
      <w:proofErr w:type="spellStart"/>
      <w:r w:rsidRPr="0027747F">
        <w:t>Miłobądz</w:t>
      </w:r>
      <w:proofErr w:type="spellEnd"/>
      <w:r w:rsidRPr="0027747F">
        <w:t>. Wartość zamówienia: 358.816,77 zł.</w:t>
      </w:r>
    </w:p>
    <w:p w:rsidR="0027747F" w:rsidRPr="0027747F" w:rsidRDefault="0027747F" w:rsidP="0027747F">
      <w:pPr>
        <w:jc w:val="left"/>
      </w:pPr>
      <w:r w:rsidRPr="0027747F">
        <w:t xml:space="preserve">Prowadzone są roboty - zaawansowanie około 60%. Umowny termin zakończenia inwestycji 08.06.2020 r. </w:t>
      </w:r>
    </w:p>
    <w:p w:rsidR="0027747F" w:rsidRPr="0027747F" w:rsidRDefault="0027747F" w:rsidP="0027747F">
      <w:pPr>
        <w:jc w:val="left"/>
      </w:pPr>
      <w:r w:rsidRPr="0027747F">
        <w:t xml:space="preserve"> </w:t>
      </w:r>
    </w:p>
    <w:p w:rsidR="0027747F" w:rsidRPr="0027747F" w:rsidRDefault="0027747F" w:rsidP="0027747F">
      <w:pPr>
        <w:jc w:val="left"/>
      </w:pPr>
    </w:p>
    <w:p w:rsidR="0027747F" w:rsidRPr="0027747F" w:rsidRDefault="0027747F" w:rsidP="0027747F">
      <w:pPr>
        <w:jc w:val="left"/>
      </w:pPr>
      <w:r w:rsidRPr="0027747F">
        <w:t xml:space="preserve">  </w:t>
      </w:r>
    </w:p>
    <w:p w:rsidR="0027747F" w:rsidRPr="0027747F" w:rsidRDefault="0027747F" w:rsidP="0027747F">
      <w:pPr>
        <w:jc w:val="left"/>
      </w:pPr>
      <w:r w:rsidRPr="0027747F">
        <w:t xml:space="preserve">  </w:t>
      </w:r>
    </w:p>
    <w:p w:rsidR="0027747F" w:rsidRPr="0027747F" w:rsidRDefault="0027747F" w:rsidP="0027747F">
      <w:pPr>
        <w:jc w:val="left"/>
        <w:rPr>
          <w:b/>
        </w:rPr>
      </w:pPr>
      <w:r w:rsidRPr="0027747F">
        <w:rPr>
          <w:b/>
        </w:rPr>
        <w:t xml:space="preserve">5. Budowa sieci kanalizacji deszczowej w rejonie ulicy Tczewskich Saperów. </w:t>
      </w:r>
    </w:p>
    <w:p w:rsidR="0027747F" w:rsidRPr="0027747F" w:rsidRDefault="0027747F" w:rsidP="0027747F">
      <w:pPr>
        <w:jc w:val="left"/>
      </w:pPr>
      <w:r w:rsidRPr="0027747F">
        <w:t xml:space="preserve">Wykonawca dokumentacji technicznej: </w:t>
      </w:r>
      <w:r w:rsidRPr="0027747F">
        <w:rPr>
          <w:rFonts w:eastAsia="Lucida Sans Unicode"/>
        </w:rPr>
        <w:t>HYDRO-TERM Papaj Adam z siedzibą</w:t>
      </w:r>
      <w:r w:rsidRPr="0027747F">
        <w:rPr>
          <w:rFonts w:eastAsia="Lucida Sans Unicode"/>
        </w:rPr>
        <w:br/>
        <w:t>w Malborku. Wartość łączna zadania: 24.594,50 zł</w:t>
      </w:r>
    </w:p>
    <w:p w:rsidR="0027747F" w:rsidRPr="0027747F" w:rsidRDefault="0027747F" w:rsidP="0027747F">
      <w:pPr>
        <w:jc w:val="left"/>
      </w:pPr>
      <w:r w:rsidRPr="0027747F">
        <w:t xml:space="preserve">Wykonano dokumentację techniczną dla zadania. Złożono dokumenty w celu uzyskania pozwolenia na budowę. </w:t>
      </w:r>
    </w:p>
    <w:p w:rsidR="0027747F" w:rsidRPr="0027747F" w:rsidRDefault="0027747F" w:rsidP="0027747F">
      <w:pPr>
        <w:jc w:val="left"/>
      </w:pPr>
    </w:p>
    <w:p w:rsidR="0027747F" w:rsidRPr="0027747F" w:rsidRDefault="0027747F" w:rsidP="0027747F">
      <w:pPr>
        <w:widowControl w:val="0"/>
        <w:suppressAutoHyphens/>
        <w:ind w:left="284" w:hanging="284"/>
        <w:jc w:val="left"/>
        <w:rPr>
          <w:b/>
        </w:rPr>
      </w:pPr>
      <w:r w:rsidRPr="0027747F">
        <w:rPr>
          <w:b/>
        </w:rPr>
        <w:t>6. Zagospodarowanie otoczenia Szkoły Podstawowej nr 1 w Tczewie wraz</w:t>
      </w:r>
      <w:r w:rsidRPr="0027747F">
        <w:rPr>
          <w:b/>
        </w:rPr>
        <w:br/>
        <w:t>z boiskiem i salą gimnastyczną – dokumentacja projektowa.</w:t>
      </w:r>
    </w:p>
    <w:p w:rsidR="0027747F" w:rsidRPr="0027747F" w:rsidRDefault="0027747F" w:rsidP="0027747F">
      <w:pPr>
        <w:jc w:val="left"/>
      </w:pPr>
      <w:r w:rsidRPr="0027747F">
        <w:t>Wykonawca: APA PROJEKT Piotr Lewandowski, z siedzibą w Tczewie.</w:t>
      </w:r>
    </w:p>
    <w:p w:rsidR="0027747F" w:rsidRPr="0027747F" w:rsidRDefault="0027747F" w:rsidP="0027747F">
      <w:pPr>
        <w:jc w:val="left"/>
      </w:pPr>
      <w:r w:rsidRPr="0027747F">
        <w:t>Umowę podpisano 28.01.2020 r.</w:t>
      </w:r>
    </w:p>
    <w:p w:rsidR="0027747F" w:rsidRPr="0027747F" w:rsidRDefault="0027747F" w:rsidP="0027747F">
      <w:pPr>
        <w:jc w:val="left"/>
      </w:pPr>
      <w:r w:rsidRPr="0027747F">
        <w:t>Wartość zamówienia: 750.000,00 zł.</w:t>
      </w:r>
    </w:p>
    <w:p w:rsidR="0027747F" w:rsidRPr="0027747F" w:rsidRDefault="0027747F" w:rsidP="0027747F">
      <w:pPr>
        <w:jc w:val="left"/>
      </w:pPr>
      <w:r w:rsidRPr="0027747F">
        <w:t>Wykonano dwa pierwsze etapy tj. Opracowania Przedprojektowe</w:t>
      </w:r>
      <w:r w:rsidRPr="0027747F">
        <w:br/>
      </w:r>
      <w:bookmarkStart w:id="0" w:name="_GoBack"/>
      <w:bookmarkEnd w:id="0"/>
      <w:r w:rsidRPr="0027747F">
        <w:t>i zaktualizowany Projekt Koncepcyjny z uwzględnieniem uwag pokonkursowych. Wartość zrealizowanych etapów 150.000,00 zł. (20%). Dokumentację wykonano i dostarczono w terminie.</w:t>
      </w:r>
    </w:p>
    <w:p w:rsidR="0027747F" w:rsidRPr="0027747F" w:rsidRDefault="0027747F" w:rsidP="0027747F">
      <w:pPr>
        <w:jc w:val="left"/>
      </w:pPr>
      <w:r w:rsidRPr="0027747F">
        <w:t>Trwa etap opracowania projektu budowlanego – termin 30.10.2020r.</w:t>
      </w:r>
    </w:p>
    <w:p w:rsidR="0027747F" w:rsidRPr="0027747F" w:rsidRDefault="0027747F" w:rsidP="0027747F">
      <w:pPr>
        <w:spacing w:before="100" w:beforeAutospacing="1" w:after="100" w:afterAutospacing="1"/>
        <w:ind w:left="284" w:hanging="284"/>
        <w:jc w:val="left"/>
        <w:rPr>
          <w:b/>
          <w:color w:val="FF0000"/>
        </w:rPr>
      </w:pPr>
      <w:r w:rsidRPr="0027747F">
        <w:rPr>
          <w:b/>
        </w:rPr>
        <w:t>7. Budowa odcinka oświetlenia ulicznego na ul. Rotmistrza Witolda Pileckiego w Tczewie.</w:t>
      </w:r>
    </w:p>
    <w:p w:rsidR="0027747F" w:rsidRPr="0027747F" w:rsidRDefault="0027747F" w:rsidP="0027747F">
      <w:pPr>
        <w:spacing w:before="100" w:beforeAutospacing="1" w:after="100" w:afterAutospacing="1"/>
        <w:jc w:val="left"/>
      </w:pPr>
      <w:r w:rsidRPr="0027747F">
        <w:t>Do dnia 22.05.2020 r. wyznaczono termin składania ofert cenowych</w:t>
      </w:r>
      <w:r w:rsidRPr="0027747F">
        <w:br/>
        <w:t>na realizację zadania - wykonanie napowietrznej linii oświetlenia drogowego</w:t>
      </w:r>
      <w:r w:rsidRPr="0027747F">
        <w:br/>
        <w:t>- siedem słupów oświetleniowych z oprawami LED.</w:t>
      </w:r>
    </w:p>
    <w:p w:rsidR="002602B6" w:rsidRDefault="002602B6" w:rsidP="002602B6">
      <w:pPr>
        <w:rPr>
          <w:color w:val="000000"/>
        </w:rPr>
      </w:pPr>
    </w:p>
    <w:p w:rsidR="0027747F" w:rsidRDefault="0027747F" w:rsidP="002602B6">
      <w:pPr>
        <w:rPr>
          <w:color w:val="000000"/>
        </w:rPr>
      </w:pPr>
    </w:p>
    <w:p w:rsidR="0027747F" w:rsidRDefault="0027747F" w:rsidP="002602B6">
      <w:pPr>
        <w:rPr>
          <w:color w:val="000000"/>
        </w:rPr>
      </w:pPr>
    </w:p>
    <w:p w:rsidR="0027747F" w:rsidRDefault="0027747F" w:rsidP="002602B6">
      <w:pPr>
        <w:rPr>
          <w:color w:val="000000"/>
        </w:rPr>
      </w:pPr>
    </w:p>
    <w:p w:rsidR="002602B6" w:rsidRDefault="002602B6" w:rsidP="002602B6">
      <w:pPr>
        <w:spacing w:before="100" w:beforeAutospacing="1" w:after="100" w:afterAutospacing="1"/>
        <w:contextualSpacing/>
        <w:rPr>
          <w:b/>
          <w:i/>
          <w:color w:val="000000"/>
        </w:rPr>
      </w:pPr>
    </w:p>
    <w:p w:rsidR="002602B6" w:rsidRDefault="002602B6" w:rsidP="002602B6">
      <w:pPr>
        <w:spacing w:before="100" w:beforeAutospacing="1" w:after="100" w:afterAutospacing="1"/>
        <w:contextualSpacing/>
        <w:rPr>
          <w:b/>
          <w:i/>
          <w:color w:val="000000"/>
        </w:rPr>
      </w:pPr>
      <w:r>
        <w:rPr>
          <w:b/>
          <w:i/>
          <w:color w:val="000000"/>
        </w:rPr>
        <w:lastRenderedPageBreak/>
        <w:t>- w zakresie  rozwoju miasta</w:t>
      </w:r>
    </w:p>
    <w:p w:rsidR="0027747F" w:rsidRDefault="0027747F" w:rsidP="002602B6">
      <w:pPr>
        <w:spacing w:before="100" w:beforeAutospacing="1" w:after="100" w:afterAutospacing="1"/>
        <w:contextualSpacing/>
        <w:rPr>
          <w:b/>
          <w:i/>
          <w:color w:val="000000"/>
        </w:rPr>
      </w:pPr>
    </w:p>
    <w:p w:rsidR="0027747F" w:rsidRPr="004F14AB" w:rsidRDefault="0027747F" w:rsidP="0027747F">
      <w:pPr>
        <w:pStyle w:val="Akapitzlist"/>
        <w:widowControl/>
        <w:numPr>
          <w:ilvl w:val="0"/>
          <w:numId w:val="5"/>
        </w:numPr>
        <w:rPr>
          <w:b/>
          <w:u w:val="single"/>
        </w:rPr>
      </w:pPr>
      <w:r>
        <w:rPr>
          <w:b/>
          <w:u w:val="single"/>
        </w:rPr>
        <w:t>PROGRAMY I PROJEKTY</w:t>
      </w:r>
    </w:p>
    <w:p w:rsidR="0027747F" w:rsidRDefault="0027747F" w:rsidP="0027747F"/>
    <w:p w:rsidR="0027747F" w:rsidRDefault="0027747F" w:rsidP="0027747F">
      <w:pPr>
        <w:rPr>
          <w:b/>
          <w:bCs/>
          <w:iCs/>
          <w:u w:val="single"/>
        </w:rPr>
      </w:pPr>
      <w:r>
        <w:rPr>
          <w:b/>
          <w:bCs/>
          <w:iCs/>
          <w:u w:val="single"/>
        </w:rPr>
        <w:t>Zdalna Szkoła i Zdalna szkoła+</w:t>
      </w:r>
    </w:p>
    <w:p w:rsidR="0027747F" w:rsidRDefault="0027747F" w:rsidP="0027747F">
      <w:pPr>
        <w:rPr>
          <w:bCs/>
          <w:iCs/>
        </w:rPr>
      </w:pPr>
      <w:r w:rsidRPr="004F14AB">
        <w:rPr>
          <w:bCs/>
          <w:iCs/>
        </w:rPr>
        <w:t xml:space="preserve">W kwietniu złożono wniosek o grant </w:t>
      </w:r>
      <w:r>
        <w:rPr>
          <w:bCs/>
          <w:iCs/>
        </w:rPr>
        <w:t xml:space="preserve">w wysokości 100 tys. zł na zakup 125 tabletów dla uczniów szkół podstawowych z terenu Miasta Tczewa. Tablety do nauki zdalnej zostały zakupione przez Miasto i przekazane szkołom, te z kolei przekazały je do potrzebujących uczniów. Jeszcze w maju na konto miasta powinny wpłynąć wnioskowane pieniądze. Wysokość dofinansowania to 100 % wydatków. </w:t>
      </w:r>
    </w:p>
    <w:p w:rsidR="0027747F" w:rsidRDefault="0027747F" w:rsidP="0027747F">
      <w:pPr>
        <w:rPr>
          <w:bCs/>
          <w:iCs/>
        </w:rPr>
      </w:pPr>
    </w:p>
    <w:p w:rsidR="0027747F" w:rsidRPr="004F14AB" w:rsidRDefault="0027747F" w:rsidP="0027747F">
      <w:pPr>
        <w:rPr>
          <w:bCs/>
          <w:iCs/>
        </w:rPr>
      </w:pPr>
      <w:r>
        <w:rPr>
          <w:bCs/>
          <w:iCs/>
        </w:rPr>
        <w:t xml:space="preserve">W kolejnym naborze na zakup sprzętu do nauki zdalnej Gmina Miejska Tczewa złożyła wniosek na kwotę 154 500 zł. W ramach wniosku planuje się zakup tabletów, laptopów, dostępu do Internetu oraz kamerek internetowych. Zgodnie z regulaminem naboru część sprzętu trafi do rodzin ubogich z co najmniej trójką dzieci. Dofinansowanie jak wyżej 100 % wydatków. </w:t>
      </w:r>
    </w:p>
    <w:p w:rsidR="0027747F" w:rsidRDefault="0027747F" w:rsidP="0027747F">
      <w:pPr>
        <w:rPr>
          <w:b/>
          <w:bCs/>
          <w:iCs/>
          <w:u w:val="single"/>
        </w:rPr>
      </w:pPr>
    </w:p>
    <w:p w:rsidR="0027747F" w:rsidRDefault="0027747F" w:rsidP="0027747F">
      <w:pPr>
        <w:rPr>
          <w:b/>
          <w:bCs/>
          <w:iCs/>
        </w:rPr>
      </w:pPr>
      <w:r>
        <w:rPr>
          <w:b/>
          <w:bCs/>
          <w:iCs/>
          <w:u w:val="single"/>
        </w:rPr>
        <w:t>Wiślana Trasa Rowerowa  R-9 – Partnerstwo Miasta Tczewa</w:t>
      </w:r>
    </w:p>
    <w:p w:rsidR="0027747F" w:rsidRDefault="0027747F" w:rsidP="0027747F">
      <w:pPr>
        <w:pStyle w:val="Akapitzlist"/>
        <w:tabs>
          <w:tab w:val="left" w:pos="284"/>
        </w:tabs>
        <w:spacing w:line="276" w:lineRule="auto"/>
        <w:ind w:left="142"/>
        <w:rPr>
          <w:rFonts w:eastAsiaTheme="minorHAnsi"/>
          <w:b/>
          <w:bCs/>
          <w:iCs/>
          <w:sz w:val="22"/>
          <w:szCs w:val="22"/>
        </w:rPr>
      </w:pPr>
    </w:p>
    <w:p w:rsidR="0027747F" w:rsidRDefault="0027747F" w:rsidP="0027747F">
      <w:pPr>
        <w:pStyle w:val="Akapitzlist"/>
        <w:tabs>
          <w:tab w:val="left" w:pos="284"/>
        </w:tabs>
        <w:spacing w:line="276" w:lineRule="auto"/>
        <w:ind w:left="142"/>
        <w:rPr>
          <w:sz w:val="22"/>
          <w:szCs w:val="22"/>
        </w:rPr>
      </w:pPr>
      <w:r w:rsidRPr="00161FC2">
        <w:rPr>
          <w:rFonts w:eastAsiaTheme="minorHAnsi"/>
          <w:bCs/>
          <w:iCs/>
          <w:sz w:val="22"/>
          <w:szCs w:val="22"/>
        </w:rPr>
        <w:t>W kwietniu Urząd Marszałkowski</w:t>
      </w:r>
      <w:r w:rsidRPr="00161FC2">
        <w:rPr>
          <w:rFonts w:eastAsiaTheme="minorHAnsi"/>
          <w:b/>
          <w:bCs/>
          <w:iCs/>
          <w:sz w:val="22"/>
          <w:szCs w:val="22"/>
        </w:rPr>
        <w:t xml:space="preserve"> </w:t>
      </w:r>
      <w:r w:rsidRPr="00161FC2">
        <w:rPr>
          <w:sz w:val="22"/>
          <w:szCs w:val="22"/>
        </w:rPr>
        <w:t>zatwierdził wniosek o płatność nr 8. Pien</w:t>
      </w:r>
      <w:r>
        <w:rPr>
          <w:sz w:val="22"/>
          <w:szCs w:val="22"/>
        </w:rPr>
        <w:t>iądze trafiły już na konto miasta</w:t>
      </w:r>
      <w:r w:rsidRPr="00161FC2">
        <w:rPr>
          <w:sz w:val="22"/>
          <w:szCs w:val="22"/>
        </w:rPr>
        <w:t>. Wysokość refundacji ogółem wyniosła 1 514 194,94</w:t>
      </w:r>
      <w:r>
        <w:rPr>
          <w:sz w:val="22"/>
          <w:szCs w:val="22"/>
        </w:rPr>
        <w:t xml:space="preserve"> PLN, w tym</w:t>
      </w:r>
      <w:r w:rsidRPr="00161FC2">
        <w:rPr>
          <w:sz w:val="22"/>
          <w:szCs w:val="22"/>
        </w:rPr>
        <w:t xml:space="preserve"> dla Gminy Miejskiej Tczew – </w:t>
      </w:r>
      <w:r w:rsidRPr="00B47FAB">
        <w:rPr>
          <w:b/>
          <w:sz w:val="22"/>
          <w:szCs w:val="22"/>
        </w:rPr>
        <w:t>1 248 596,03 PLN</w:t>
      </w:r>
      <w:r w:rsidRPr="00161FC2">
        <w:rPr>
          <w:sz w:val="22"/>
          <w:szCs w:val="22"/>
        </w:rPr>
        <w:t>. Pozostał</w:t>
      </w:r>
      <w:r>
        <w:rPr>
          <w:sz w:val="22"/>
          <w:szCs w:val="22"/>
        </w:rPr>
        <w:t>a</w:t>
      </w:r>
      <w:r w:rsidRPr="00161FC2">
        <w:rPr>
          <w:sz w:val="22"/>
          <w:szCs w:val="22"/>
        </w:rPr>
        <w:t xml:space="preserve"> kwota to refundacja dla partnera projektu - dla Gminy Tczew</w:t>
      </w:r>
      <w:r>
        <w:rPr>
          <w:sz w:val="22"/>
          <w:szCs w:val="22"/>
        </w:rPr>
        <w:t xml:space="preserve">. </w:t>
      </w:r>
      <w:r w:rsidRPr="00161FC2">
        <w:rPr>
          <w:sz w:val="22"/>
          <w:szCs w:val="22"/>
        </w:rPr>
        <w:t xml:space="preserve"> </w:t>
      </w:r>
    </w:p>
    <w:p w:rsidR="0027747F" w:rsidRPr="00045164" w:rsidRDefault="0027747F" w:rsidP="0027747F">
      <w:pPr>
        <w:pStyle w:val="Akapitzlist"/>
        <w:ind w:left="3306"/>
        <w:rPr>
          <w:b/>
          <w:bCs/>
          <w:iCs/>
          <w:u w:val="single"/>
        </w:rPr>
      </w:pPr>
    </w:p>
    <w:p w:rsidR="0027747F" w:rsidRDefault="0027747F" w:rsidP="0027747F">
      <w:pPr>
        <w:rPr>
          <w:b/>
          <w:bCs/>
          <w:iCs/>
          <w:u w:val="single"/>
        </w:rPr>
      </w:pPr>
    </w:p>
    <w:p w:rsidR="0027747F" w:rsidRDefault="0027747F" w:rsidP="0027747F">
      <w:pPr>
        <w:rPr>
          <w:b/>
          <w:bCs/>
          <w:iCs/>
          <w:u w:val="single"/>
        </w:rPr>
      </w:pPr>
      <w:r>
        <w:rPr>
          <w:b/>
          <w:bCs/>
          <w:iCs/>
          <w:u w:val="single"/>
        </w:rPr>
        <w:t xml:space="preserve">Miasto od-nowa – rewitalizacja Starego Miasta i </w:t>
      </w:r>
      <w:proofErr w:type="spellStart"/>
      <w:r>
        <w:rPr>
          <w:b/>
          <w:bCs/>
          <w:iCs/>
          <w:u w:val="single"/>
        </w:rPr>
        <w:t>Zatorza</w:t>
      </w:r>
      <w:proofErr w:type="spellEnd"/>
      <w:r>
        <w:rPr>
          <w:b/>
          <w:bCs/>
          <w:iCs/>
          <w:u w:val="single"/>
        </w:rPr>
        <w:t xml:space="preserve"> w Tczewie.</w:t>
      </w:r>
    </w:p>
    <w:p w:rsidR="0027747F" w:rsidRDefault="0027747F" w:rsidP="0027747F">
      <w:pPr>
        <w:rPr>
          <w:b/>
          <w:bCs/>
          <w:iCs/>
          <w:u w:val="single"/>
        </w:rPr>
      </w:pPr>
    </w:p>
    <w:p w:rsidR="0027747F" w:rsidRPr="00B47FAB" w:rsidRDefault="0027747F" w:rsidP="0027747F">
      <w:pPr>
        <w:rPr>
          <w:b/>
          <w:bCs/>
          <w:iCs/>
        </w:rPr>
      </w:pPr>
      <w:r w:rsidRPr="00B47FAB">
        <w:rPr>
          <w:bCs/>
          <w:iCs/>
        </w:rPr>
        <w:t xml:space="preserve">W dniu 4 maja </w:t>
      </w:r>
      <w:r>
        <w:rPr>
          <w:bCs/>
          <w:iCs/>
        </w:rPr>
        <w:t xml:space="preserve">br. </w:t>
      </w:r>
      <w:r w:rsidRPr="00B47FAB">
        <w:rPr>
          <w:bCs/>
          <w:iCs/>
        </w:rPr>
        <w:t xml:space="preserve">pomiędzy Województwem </w:t>
      </w:r>
      <w:r>
        <w:rPr>
          <w:bCs/>
          <w:iCs/>
        </w:rPr>
        <w:t>Pomorski</w:t>
      </w:r>
      <w:r w:rsidRPr="00B47FAB">
        <w:rPr>
          <w:bCs/>
          <w:iCs/>
        </w:rPr>
        <w:t xml:space="preserve">m oraz </w:t>
      </w:r>
      <w:r>
        <w:rPr>
          <w:bCs/>
          <w:iCs/>
        </w:rPr>
        <w:t>G</w:t>
      </w:r>
      <w:r w:rsidRPr="00B47FAB">
        <w:rPr>
          <w:bCs/>
          <w:iCs/>
        </w:rPr>
        <w:t xml:space="preserve">miną </w:t>
      </w:r>
      <w:r>
        <w:rPr>
          <w:bCs/>
          <w:iCs/>
        </w:rPr>
        <w:t>M</w:t>
      </w:r>
      <w:r w:rsidRPr="00B47FAB">
        <w:rPr>
          <w:bCs/>
          <w:iCs/>
        </w:rPr>
        <w:t xml:space="preserve">iejską Tczew podpisany został aneks zwiększający dofinansowanie na projekt rewitalizacyjny o kwotę </w:t>
      </w:r>
      <w:r w:rsidRPr="00B47FAB">
        <w:rPr>
          <w:b/>
          <w:bCs/>
          <w:iCs/>
        </w:rPr>
        <w:t xml:space="preserve">563 226,48 PLN. </w:t>
      </w:r>
    </w:p>
    <w:p w:rsidR="0027747F" w:rsidRPr="00B47FAB" w:rsidRDefault="0027747F" w:rsidP="0027747F">
      <w:pPr>
        <w:rPr>
          <w:bCs/>
          <w:iCs/>
        </w:rPr>
      </w:pPr>
      <w:r>
        <w:rPr>
          <w:bCs/>
          <w:iCs/>
        </w:rPr>
        <w:t>Po tej zmianie aktualne</w:t>
      </w:r>
      <w:r w:rsidRPr="00B47FAB">
        <w:rPr>
          <w:bCs/>
          <w:iCs/>
        </w:rPr>
        <w:t xml:space="preserve"> wartoś</w:t>
      </w:r>
      <w:r>
        <w:rPr>
          <w:bCs/>
          <w:iCs/>
        </w:rPr>
        <w:t>ci</w:t>
      </w:r>
      <w:r w:rsidRPr="00B47FAB">
        <w:rPr>
          <w:bCs/>
          <w:iCs/>
        </w:rPr>
        <w:t xml:space="preserve"> projektu przedstawia</w:t>
      </w:r>
      <w:r>
        <w:rPr>
          <w:bCs/>
          <w:iCs/>
        </w:rPr>
        <w:t>ją</w:t>
      </w:r>
      <w:r w:rsidRPr="00B47FAB">
        <w:rPr>
          <w:bCs/>
          <w:iCs/>
        </w:rPr>
        <w:t xml:space="preserve"> się następująco</w:t>
      </w:r>
      <w:r>
        <w:rPr>
          <w:bCs/>
          <w:iCs/>
        </w:rPr>
        <w:t>:</w:t>
      </w:r>
    </w:p>
    <w:p w:rsidR="0027747F" w:rsidRPr="00B47FAB" w:rsidRDefault="0027747F" w:rsidP="0027747F">
      <w:pPr>
        <w:rPr>
          <w:bCs/>
          <w:iCs/>
        </w:rPr>
      </w:pPr>
      <w:r>
        <w:rPr>
          <w:bCs/>
          <w:iCs/>
        </w:rPr>
        <w:t>W</w:t>
      </w:r>
      <w:r w:rsidRPr="00B47FAB">
        <w:rPr>
          <w:bCs/>
          <w:iCs/>
        </w:rPr>
        <w:t>artość ogółem – 27 691 214,77</w:t>
      </w:r>
    </w:p>
    <w:p w:rsidR="0027747F" w:rsidRPr="00B47FAB" w:rsidRDefault="0027747F" w:rsidP="0027747F">
      <w:pPr>
        <w:rPr>
          <w:bCs/>
          <w:iCs/>
        </w:rPr>
      </w:pPr>
      <w:r>
        <w:rPr>
          <w:bCs/>
          <w:iCs/>
        </w:rPr>
        <w:t>W</w:t>
      </w:r>
      <w:r w:rsidRPr="00B47FAB">
        <w:rPr>
          <w:bCs/>
          <w:iCs/>
        </w:rPr>
        <w:t xml:space="preserve">ydatki </w:t>
      </w:r>
      <w:proofErr w:type="spellStart"/>
      <w:r w:rsidRPr="00B47FAB">
        <w:rPr>
          <w:bCs/>
          <w:iCs/>
        </w:rPr>
        <w:t>kwalifikowalne</w:t>
      </w:r>
      <w:proofErr w:type="spellEnd"/>
      <w:r w:rsidRPr="00B47FAB">
        <w:rPr>
          <w:bCs/>
          <w:iCs/>
        </w:rPr>
        <w:t xml:space="preserve"> – 26 249 841, 71</w:t>
      </w:r>
    </w:p>
    <w:p w:rsidR="0027747F" w:rsidRDefault="0027747F" w:rsidP="0027747F">
      <w:pPr>
        <w:rPr>
          <w:bCs/>
          <w:iCs/>
        </w:rPr>
      </w:pPr>
      <w:r>
        <w:rPr>
          <w:bCs/>
          <w:iCs/>
        </w:rPr>
        <w:t>D</w:t>
      </w:r>
      <w:r w:rsidRPr="00B47FAB">
        <w:rPr>
          <w:bCs/>
          <w:iCs/>
        </w:rPr>
        <w:t>ofinansowanie  - 16 797 004,17</w:t>
      </w:r>
      <w:r>
        <w:rPr>
          <w:bCs/>
          <w:iCs/>
        </w:rPr>
        <w:t>.</w:t>
      </w:r>
    </w:p>
    <w:p w:rsidR="0027747F" w:rsidRPr="00B3131F" w:rsidRDefault="0027747F" w:rsidP="0027747F"/>
    <w:p w:rsidR="0027747F" w:rsidRDefault="0027747F" w:rsidP="0027747F">
      <w:pPr>
        <w:rPr>
          <w:b/>
          <w:bCs/>
          <w:iCs/>
          <w:u w:val="single"/>
        </w:rPr>
      </w:pPr>
      <w:r>
        <w:rPr>
          <w:b/>
          <w:bCs/>
          <w:iCs/>
          <w:u w:val="single"/>
        </w:rPr>
        <w:t>Budowa węzła integracyjnego Tczew wraz z trasami dojazdowymi.</w:t>
      </w:r>
    </w:p>
    <w:p w:rsidR="0027747F" w:rsidRDefault="0027747F" w:rsidP="0027747F">
      <w:pPr>
        <w:rPr>
          <w:bCs/>
          <w:iCs/>
        </w:rPr>
      </w:pPr>
    </w:p>
    <w:p w:rsidR="0027747F" w:rsidRDefault="0027747F" w:rsidP="0027747F">
      <w:pPr>
        <w:rPr>
          <w:bCs/>
          <w:iCs/>
        </w:rPr>
      </w:pPr>
      <w:r>
        <w:rPr>
          <w:bCs/>
          <w:iCs/>
        </w:rPr>
        <w:t xml:space="preserve">W związku z niższą wartością zadania związanego z przebudową IV etapu ulicy Gdańskiej, Urząd Marszałkowski wyraził wstępnie zgodę na zwiększenie kosztów </w:t>
      </w:r>
      <w:proofErr w:type="spellStart"/>
      <w:r>
        <w:rPr>
          <w:bCs/>
          <w:iCs/>
        </w:rPr>
        <w:t>kwalifikowalnych</w:t>
      </w:r>
      <w:proofErr w:type="spellEnd"/>
      <w:r>
        <w:rPr>
          <w:bCs/>
          <w:iCs/>
        </w:rPr>
        <w:t xml:space="preserve"> tej inwestycji. Otwiera to ewentualną możliwość, w miarę posiadanych przez Urząd Marszałkowski środków, wnioskowania o zwiększenie dofinansowania. </w:t>
      </w:r>
    </w:p>
    <w:p w:rsidR="0027747F" w:rsidRDefault="0027747F" w:rsidP="0027747F">
      <w:pPr>
        <w:rPr>
          <w:bCs/>
          <w:iCs/>
        </w:rPr>
      </w:pPr>
    </w:p>
    <w:p w:rsidR="0027747F" w:rsidRDefault="0027747F" w:rsidP="0027747F">
      <w:pPr>
        <w:rPr>
          <w:bCs/>
          <w:iCs/>
        </w:rPr>
      </w:pPr>
      <w:r>
        <w:rPr>
          <w:bCs/>
          <w:iCs/>
        </w:rPr>
        <w:t>W kwietniu złożono 12 wniosek o płatność, wnioskowana kwota refundacji to 6 758 229,72 PLN</w:t>
      </w:r>
    </w:p>
    <w:p w:rsidR="0027747F" w:rsidRDefault="0027747F" w:rsidP="0027747F">
      <w:pPr>
        <w:rPr>
          <w:bCs/>
          <w:iCs/>
        </w:rPr>
      </w:pPr>
      <w:r>
        <w:rPr>
          <w:bCs/>
          <w:iCs/>
        </w:rPr>
        <w:t xml:space="preserve">Reszta zadań w projekcie przebiega zgodnie z harmonogramem. </w:t>
      </w:r>
    </w:p>
    <w:p w:rsidR="0027747F" w:rsidRDefault="0027747F" w:rsidP="0027747F">
      <w:pPr>
        <w:rPr>
          <w:bCs/>
          <w:iCs/>
        </w:rPr>
      </w:pPr>
    </w:p>
    <w:p w:rsidR="0027747F" w:rsidRDefault="0027747F" w:rsidP="0027747F">
      <w:pPr>
        <w:rPr>
          <w:b/>
          <w:bCs/>
          <w:iCs/>
          <w:u w:val="single"/>
        </w:rPr>
      </w:pPr>
      <w:r>
        <w:rPr>
          <w:b/>
          <w:bCs/>
          <w:iCs/>
          <w:u w:val="single"/>
        </w:rPr>
        <w:t xml:space="preserve">Kompleksowa Modernizacja Budynków Użyteczności Publicznej i Budynków Mieszkalnych </w:t>
      </w:r>
    </w:p>
    <w:p w:rsidR="0027747F" w:rsidRDefault="0027747F" w:rsidP="0027747F">
      <w:pPr>
        <w:rPr>
          <w:bCs/>
          <w:iCs/>
        </w:rPr>
      </w:pPr>
    </w:p>
    <w:p w:rsidR="0027747F" w:rsidRPr="004F14AB" w:rsidRDefault="0027747F" w:rsidP="0027747F">
      <w:pPr>
        <w:rPr>
          <w:bCs/>
          <w:iCs/>
        </w:rPr>
      </w:pPr>
      <w:r w:rsidRPr="004F14AB">
        <w:rPr>
          <w:bCs/>
          <w:iCs/>
        </w:rPr>
        <w:lastRenderedPageBreak/>
        <w:t xml:space="preserve">Podpisano Aneks do umowy o </w:t>
      </w:r>
      <w:proofErr w:type="spellStart"/>
      <w:r w:rsidRPr="004F14AB">
        <w:rPr>
          <w:bCs/>
          <w:iCs/>
        </w:rPr>
        <w:t>dofinasowanie</w:t>
      </w:r>
      <w:proofErr w:type="spellEnd"/>
      <w:r w:rsidRPr="004F14AB">
        <w:rPr>
          <w:bCs/>
          <w:iCs/>
        </w:rPr>
        <w:t xml:space="preserve"> w celu oficjalnego włączenia do projektu Budynku Zakładu Usług Komunalnych. </w:t>
      </w:r>
    </w:p>
    <w:p w:rsidR="0027747F" w:rsidRDefault="0027747F" w:rsidP="0027747F">
      <w:pPr>
        <w:rPr>
          <w:bCs/>
          <w:iCs/>
        </w:rPr>
      </w:pPr>
      <w:r w:rsidRPr="004F14AB">
        <w:rPr>
          <w:bCs/>
          <w:iCs/>
        </w:rPr>
        <w:t>Do końca realizacji projektu tj. do 30.11.2020 przedkładane będą jedynie wnioski sprawozdawcze, pozostała refundacja</w:t>
      </w:r>
      <w:r>
        <w:rPr>
          <w:bCs/>
          <w:iCs/>
        </w:rPr>
        <w:t>,</w:t>
      </w:r>
      <w:r w:rsidRPr="004F14AB">
        <w:rPr>
          <w:bCs/>
          <w:iCs/>
        </w:rPr>
        <w:t xml:space="preserve"> zgodnie z zapisami umowy (konieczne 5% refundacji)</w:t>
      </w:r>
      <w:r>
        <w:rPr>
          <w:bCs/>
          <w:iCs/>
        </w:rPr>
        <w:t>,</w:t>
      </w:r>
      <w:r w:rsidRPr="004F14AB">
        <w:rPr>
          <w:bCs/>
          <w:iCs/>
        </w:rPr>
        <w:t xml:space="preserve"> nastąpi po zatwierdzeniu końcowego wniosku o płatność.</w:t>
      </w:r>
    </w:p>
    <w:p w:rsidR="0027747F" w:rsidRDefault="0027747F" w:rsidP="0027747F">
      <w:pPr>
        <w:rPr>
          <w:bCs/>
          <w:iCs/>
        </w:rPr>
      </w:pPr>
    </w:p>
    <w:p w:rsidR="0027747F" w:rsidRDefault="0027747F" w:rsidP="0027747F">
      <w:pPr>
        <w:rPr>
          <w:b/>
          <w:u w:val="single"/>
        </w:rPr>
      </w:pPr>
      <w:r>
        <w:rPr>
          <w:b/>
          <w:u w:val="single"/>
        </w:rPr>
        <w:t xml:space="preserve">Usuwanie wyrobów zawierających azbest z terenu Gminy Miejskiej Tczew </w:t>
      </w:r>
    </w:p>
    <w:p w:rsidR="0027747F" w:rsidRDefault="0027747F" w:rsidP="0027747F">
      <w:pPr>
        <w:rPr>
          <w:b/>
          <w:u w:val="single"/>
        </w:rPr>
      </w:pPr>
    </w:p>
    <w:p w:rsidR="0027747F" w:rsidRDefault="0027747F" w:rsidP="0027747F">
      <w:r>
        <w:t xml:space="preserve">Wojewódzki Fundusz Ochrony Środowiska i Gospodarki Wodnej w Gdańsku ogłosił kolejny konkurs na dofinansowanie utylizacji azbestu. Wobec zainteresowania mieszkańców, Gmina Miejska Tczew planuje złożyć do 15 czerwca wniosek o rozszerzenie realizowanego aktualnie zadania. Przyznana na 2020 rok dotacja wynosi obecnie 6670,00 zł. </w:t>
      </w:r>
    </w:p>
    <w:p w:rsidR="0027747F" w:rsidRDefault="0027747F" w:rsidP="0027747F"/>
    <w:p w:rsidR="0027747F" w:rsidRDefault="0027747F" w:rsidP="0027747F">
      <w:pPr>
        <w:rPr>
          <w:b/>
          <w:u w:val="single"/>
        </w:rPr>
      </w:pPr>
      <w:r>
        <w:rPr>
          <w:b/>
          <w:u w:val="single"/>
        </w:rPr>
        <w:t xml:space="preserve">Budowa stadionu lekkoatletycznego przy ul. </w:t>
      </w:r>
      <w:proofErr w:type="spellStart"/>
      <w:r>
        <w:rPr>
          <w:b/>
          <w:u w:val="single"/>
        </w:rPr>
        <w:t>Bałdowskiej</w:t>
      </w:r>
      <w:proofErr w:type="spellEnd"/>
      <w:r>
        <w:rPr>
          <w:b/>
          <w:u w:val="single"/>
        </w:rPr>
        <w:t xml:space="preserve"> w Tczewie - etap I</w:t>
      </w:r>
    </w:p>
    <w:p w:rsidR="0027747F" w:rsidRDefault="0027747F" w:rsidP="0027747F">
      <w:r>
        <w:t>W kwietniu złożono ponownie wniosek o dofinansowanie na budowę stadionu ze środków</w:t>
      </w:r>
      <w:r w:rsidRPr="00EF1B5A">
        <w:t xml:space="preserve"> Ministerstwa Sportu i Turystyki</w:t>
      </w:r>
      <w:r>
        <w:t xml:space="preserve"> w ramach programu Sportowa Polska. Wnioskowana kwota wynosi nieco ponad 850 tys. zł. </w:t>
      </w:r>
    </w:p>
    <w:p w:rsidR="0027747F" w:rsidRDefault="0027747F" w:rsidP="0027747F"/>
    <w:p w:rsidR="0027747F" w:rsidRDefault="0027747F" w:rsidP="0027747F">
      <w:pPr>
        <w:rPr>
          <w:b/>
          <w:u w:val="single"/>
        </w:rPr>
      </w:pPr>
      <w:r w:rsidRPr="00B11920">
        <w:rPr>
          <w:b/>
          <w:u w:val="single"/>
        </w:rPr>
        <w:t>Gminny Program Rewitalizacji:</w:t>
      </w:r>
    </w:p>
    <w:p w:rsidR="0027747F" w:rsidRDefault="0027747F" w:rsidP="0027747F"/>
    <w:p w:rsidR="0027747F" w:rsidRPr="004F14AB" w:rsidRDefault="0027747F" w:rsidP="0027747F">
      <w:r w:rsidRPr="004F14AB">
        <w:t xml:space="preserve">Przygotowano  Roczne sprawozdanie monitoringowe z działań GPR. </w:t>
      </w:r>
      <w:r>
        <w:t xml:space="preserve">Przedstawiono je Prezydentowi Miasta oraz Komitetowi Rewitalizacji. </w:t>
      </w:r>
      <w:r w:rsidRPr="004F14AB">
        <w:t>Trwają przygotowania do rozpoczęcia działań dotyczących ewaluacji Gminnego Programu Rewitalizacji.</w:t>
      </w:r>
    </w:p>
    <w:p w:rsidR="002602B6" w:rsidRDefault="002602B6" w:rsidP="002602B6"/>
    <w:p w:rsidR="002602B6" w:rsidRDefault="002602B6" w:rsidP="002602B6"/>
    <w:p w:rsidR="002602B6" w:rsidRDefault="002602B6" w:rsidP="002602B6"/>
    <w:p w:rsidR="002602B6" w:rsidRPr="00316C6F" w:rsidRDefault="002602B6" w:rsidP="002602B6"/>
    <w:p w:rsidR="002602B6" w:rsidRDefault="002602B6" w:rsidP="002602B6">
      <w:pPr>
        <w:spacing w:before="100" w:beforeAutospacing="1" w:after="100" w:afterAutospacing="1"/>
        <w:contextualSpacing/>
        <w:rPr>
          <w:b/>
          <w:i/>
          <w:color w:val="000000"/>
        </w:rPr>
      </w:pPr>
    </w:p>
    <w:p w:rsidR="002602B6" w:rsidRDefault="002602B6" w:rsidP="002602B6">
      <w:pPr>
        <w:spacing w:before="100" w:beforeAutospacing="1" w:after="100" w:afterAutospacing="1"/>
        <w:contextualSpacing/>
        <w:rPr>
          <w:b/>
          <w:i/>
          <w:color w:val="000000"/>
        </w:rPr>
      </w:pPr>
      <w:r>
        <w:rPr>
          <w:b/>
          <w:i/>
          <w:color w:val="000000"/>
        </w:rPr>
        <w:t>- w zakresie planowania przestrzennego</w:t>
      </w:r>
    </w:p>
    <w:p w:rsidR="002602B6" w:rsidRDefault="002602B6" w:rsidP="002602B6">
      <w:pPr>
        <w:spacing w:before="100" w:beforeAutospacing="1" w:after="100" w:afterAutospacing="1"/>
        <w:contextualSpacing/>
        <w:rPr>
          <w:b/>
          <w:i/>
          <w:color w:val="000000"/>
        </w:rPr>
      </w:pPr>
    </w:p>
    <w:p w:rsidR="002602B6" w:rsidRDefault="002602B6" w:rsidP="002602B6">
      <w:pPr>
        <w:spacing w:before="240"/>
        <w:rPr>
          <w:bCs/>
          <w:iCs/>
          <w:lang w:eastAsia="ar-SA"/>
        </w:rPr>
      </w:pPr>
    </w:p>
    <w:p w:rsidR="002602B6" w:rsidRDefault="002602B6" w:rsidP="002602B6"/>
    <w:p w:rsidR="0027747F" w:rsidRPr="0027747F" w:rsidRDefault="0027747F" w:rsidP="0027747F">
      <w:pPr>
        <w:spacing w:after="120"/>
        <w:jc w:val="left"/>
        <w:rPr>
          <w:bCs/>
          <w:u w:val="single"/>
        </w:rPr>
      </w:pPr>
      <w:r w:rsidRPr="0027747F">
        <w:rPr>
          <w:bCs/>
          <w:u w:val="single"/>
        </w:rPr>
        <w:t xml:space="preserve">Trwają prace nad plan dla rejonu Południowa - </w:t>
      </w:r>
      <w:proofErr w:type="spellStart"/>
      <w:r w:rsidRPr="0027747F">
        <w:rPr>
          <w:bCs/>
          <w:u w:val="single"/>
        </w:rPr>
        <w:t>Nowodworcowa</w:t>
      </w:r>
      <w:proofErr w:type="spellEnd"/>
      <w:r w:rsidRPr="0027747F">
        <w:rPr>
          <w:bCs/>
          <w:u w:val="single"/>
        </w:rPr>
        <w:t>:</w:t>
      </w:r>
    </w:p>
    <w:p w:rsidR="0027747F" w:rsidRPr="0027747F" w:rsidRDefault="0027747F" w:rsidP="0027747F">
      <w:pPr>
        <w:spacing w:after="120" w:line="276" w:lineRule="auto"/>
        <w:jc w:val="left"/>
        <w:rPr>
          <w:bCs/>
        </w:rPr>
      </w:pPr>
      <w:r>
        <w:rPr>
          <w:bCs/>
        </w:rPr>
        <w:t>-</w:t>
      </w:r>
      <w:r w:rsidRPr="0027747F">
        <w:rPr>
          <w:bCs/>
        </w:rPr>
        <w:t xml:space="preserve">Skompletowane zostały materiały (mapy, wypisy dla działek znajdujących się obszarze opracowania, wnioski w wynikające z procedury, materiały do przygotowania prognozy oddziaływania na środowisko) prace przebiegają zgodnie z terminem czekamy na zakończenie I etapu - </w:t>
      </w:r>
      <w:r w:rsidRPr="0027747F">
        <w:rPr>
          <w:rFonts w:eastAsia="Arial Unicode MS"/>
        </w:rPr>
        <w:t>analizy, prace wstępne zakończone wstępnym  projektem planu.</w:t>
      </w:r>
    </w:p>
    <w:p w:rsidR="0027747F" w:rsidRPr="0027747F" w:rsidRDefault="0027747F" w:rsidP="0027747F">
      <w:pPr>
        <w:spacing w:after="120"/>
        <w:jc w:val="left"/>
        <w:rPr>
          <w:bCs/>
          <w:u w:val="single"/>
        </w:rPr>
      </w:pPr>
      <w:r w:rsidRPr="0027747F">
        <w:rPr>
          <w:bCs/>
          <w:u w:val="single"/>
        </w:rPr>
        <w:t>Plan dla rejonu Starego Miasta:</w:t>
      </w:r>
    </w:p>
    <w:p w:rsidR="0027747F" w:rsidRPr="0027747F" w:rsidRDefault="0027747F" w:rsidP="0027747F">
      <w:pPr>
        <w:numPr>
          <w:ilvl w:val="0"/>
          <w:numId w:val="9"/>
        </w:numPr>
        <w:spacing w:after="120" w:line="276" w:lineRule="auto"/>
        <w:jc w:val="left"/>
        <w:rPr>
          <w:bCs/>
        </w:rPr>
      </w:pPr>
      <w:r w:rsidRPr="0027747F">
        <w:rPr>
          <w:bCs/>
        </w:rPr>
        <w:t xml:space="preserve">Przekazane zostały uwagi członków Miejskiej Komisji Urbanistyczno – Architektonicznej </w:t>
      </w:r>
    </w:p>
    <w:p w:rsidR="0027747F" w:rsidRPr="0027747F" w:rsidRDefault="0027747F" w:rsidP="0027747F">
      <w:pPr>
        <w:numPr>
          <w:ilvl w:val="0"/>
          <w:numId w:val="9"/>
        </w:numPr>
        <w:spacing w:after="120" w:line="276" w:lineRule="auto"/>
        <w:jc w:val="left"/>
        <w:rPr>
          <w:bCs/>
          <w:u w:val="single"/>
        </w:rPr>
      </w:pPr>
      <w:r w:rsidRPr="0027747F">
        <w:rPr>
          <w:bCs/>
        </w:rPr>
        <w:t xml:space="preserve">trwa weryfikacja projektu w celu zakończenia II Etapu </w:t>
      </w:r>
    </w:p>
    <w:p w:rsidR="0027747F" w:rsidRPr="0027747F" w:rsidRDefault="0027747F" w:rsidP="0027747F">
      <w:pPr>
        <w:spacing w:after="120"/>
        <w:ind w:left="720"/>
        <w:jc w:val="left"/>
        <w:rPr>
          <w:bCs/>
          <w:u w:val="single"/>
        </w:rPr>
      </w:pPr>
    </w:p>
    <w:p w:rsidR="0027747F" w:rsidRPr="0027747F" w:rsidRDefault="0027747F" w:rsidP="0027747F">
      <w:pPr>
        <w:spacing w:after="120"/>
        <w:jc w:val="left"/>
        <w:rPr>
          <w:bCs/>
          <w:u w:val="single"/>
        </w:rPr>
      </w:pPr>
      <w:r w:rsidRPr="0027747F">
        <w:rPr>
          <w:bCs/>
          <w:u w:val="single"/>
        </w:rPr>
        <w:t>Plany dla rejonów: Piotr</w:t>
      </w:r>
      <w:r>
        <w:rPr>
          <w:bCs/>
          <w:u w:val="single"/>
        </w:rPr>
        <w:t>o</w:t>
      </w:r>
      <w:r w:rsidRPr="0027747F">
        <w:rPr>
          <w:bCs/>
          <w:u w:val="single"/>
        </w:rPr>
        <w:t xml:space="preserve">wo-Bajkowe, Jagiellońska – Rokicka i Warsztatowa. </w:t>
      </w:r>
    </w:p>
    <w:p w:rsidR="0027747F" w:rsidRPr="0027747F" w:rsidRDefault="0027747F" w:rsidP="0027747F">
      <w:pPr>
        <w:spacing w:after="120"/>
        <w:jc w:val="left"/>
        <w:rPr>
          <w:bCs/>
        </w:rPr>
      </w:pPr>
      <w:r w:rsidRPr="0027747F">
        <w:rPr>
          <w:bCs/>
        </w:rPr>
        <w:t xml:space="preserve">po uzyskaniu negatywnych uzgodnień z Wojewódzkiego Zarządu Dróg oraz od Wojewódzkiego Konserwatora zabytków współpracujemy mailowo i telefonicznie z biurem </w:t>
      </w:r>
      <w:r w:rsidRPr="0027747F">
        <w:rPr>
          <w:bCs/>
        </w:rPr>
        <w:lastRenderedPageBreak/>
        <w:t>projektowym oraz z Miejskim Konserwatorem Zabytków w celu wprowadzenia niezbędnych poprawek do projektów.</w:t>
      </w:r>
    </w:p>
    <w:p w:rsidR="0027747F" w:rsidRPr="0027747F" w:rsidRDefault="0027747F" w:rsidP="0027747F">
      <w:pPr>
        <w:spacing w:after="120"/>
        <w:jc w:val="left"/>
        <w:rPr>
          <w:bCs/>
          <w:u w:val="single"/>
        </w:rPr>
      </w:pPr>
      <w:r w:rsidRPr="0027747F">
        <w:rPr>
          <w:bCs/>
        </w:rPr>
        <w:t xml:space="preserve">Wystosowaliśmy prośbę do Zarządu Dróg Wojewódzkich w Gdańsku o stanowisko w sprawie wyrysu z części obszaru projektu planu, z zakresem obejmującym ulicę Jagiellońską, w obszarze miasta stanowiącą ulicę zbiorczą, będącą drogą wojewódzką nr 224 – otrzymaliśmy odpowiedz. </w:t>
      </w:r>
      <w:r w:rsidRPr="0027747F">
        <w:rPr>
          <w:bCs/>
          <w:u w:val="single"/>
        </w:rPr>
        <w:t>Przygotowujemy projekty to powtórnych uzgodnień.</w:t>
      </w:r>
    </w:p>
    <w:p w:rsidR="0027747F" w:rsidRPr="0027747F" w:rsidRDefault="0027747F" w:rsidP="0027747F">
      <w:pPr>
        <w:spacing w:after="120"/>
        <w:jc w:val="left"/>
        <w:rPr>
          <w:bCs/>
        </w:rPr>
      </w:pPr>
    </w:p>
    <w:p w:rsidR="0027747F" w:rsidRPr="0027747F" w:rsidRDefault="0027747F" w:rsidP="0027747F">
      <w:pPr>
        <w:spacing w:after="120"/>
        <w:jc w:val="left"/>
        <w:rPr>
          <w:bCs/>
          <w:u w:val="single"/>
        </w:rPr>
      </w:pPr>
      <w:r w:rsidRPr="0027747F">
        <w:rPr>
          <w:bCs/>
          <w:u w:val="single"/>
        </w:rPr>
        <w:t>Wojewoda Pomorski opublikował tekst jednolity uchwały w sprawie uchwalenia miejscowego planu zagospodarowania przestrzennego miasta Tczewa z 2005 r.</w:t>
      </w:r>
    </w:p>
    <w:p w:rsidR="0027747F" w:rsidRPr="0027747F" w:rsidRDefault="0027747F" w:rsidP="0027747F">
      <w:pPr>
        <w:spacing w:after="120"/>
        <w:jc w:val="left"/>
        <w:rPr>
          <w:bCs/>
        </w:rPr>
      </w:pPr>
      <w:r w:rsidRPr="0027747F">
        <w:rPr>
          <w:bCs/>
        </w:rPr>
        <w:t> </w:t>
      </w:r>
    </w:p>
    <w:p w:rsidR="0027747F" w:rsidRPr="0027747F" w:rsidRDefault="0027747F" w:rsidP="0027747F">
      <w:pPr>
        <w:spacing w:after="120"/>
        <w:jc w:val="left"/>
        <w:rPr>
          <w:bCs/>
        </w:rPr>
      </w:pPr>
      <w:r w:rsidRPr="0027747F">
        <w:rPr>
          <w:bCs/>
          <w:u w:val="single"/>
        </w:rPr>
        <w:t xml:space="preserve">Przygotowana została i przesłana </w:t>
      </w:r>
      <w:r w:rsidRPr="0027747F">
        <w:rPr>
          <w:bCs/>
        </w:rPr>
        <w:t>skarga do Wojewódzkiego Sądu Administracyjnego na Postanowienie Samorządowego Kolegium Odwoławczego w Gdańsku z dnia 12 marca 2020 r. o sygn. akt SKO Gd/229/20 w sprawie zażalenia Andrzeja Kopyłowicza Firma Handlowo-produkcyjna AKO na postanowienie Prezydenta Miasta Tczewa z dnia 23.12.2019 r. nr BPP.6727.1.315.2019.AC o odmowie wydania zaświadczenia.</w:t>
      </w:r>
    </w:p>
    <w:p w:rsidR="0027747F" w:rsidRPr="0027747F" w:rsidRDefault="0027747F" w:rsidP="0027747F">
      <w:pPr>
        <w:spacing w:after="120"/>
        <w:jc w:val="left"/>
        <w:rPr>
          <w:bCs/>
          <w:u w:val="single"/>
        </w:rPr>
      </w:pPr>
      <w:r w:rsidRPr="0027747F">
        <w:rPr>
          <w:bCs/>
          <w:u w:val="single"/>
        </w:rPr>
        <w:t xml:space="preserve">Poza tym prowadzone są terminowo prace związane z wydawaniem zaświadczeń z </w:t>
      </w:r>
      <w:proofErr w:type="spellStart"/>
      <w:r w:rsidRPr="0027747F">
        <w:rPr>
          <w:bCs/>
          <w:u w:val="single"/>
        </w:rPr>
        <w:t>mpzp</w:t>
      </w:r>
      <w:proofErr w:type="spellEnd"/>
      <w:r w:rsidRPr="0027747F">
        <w:rPr>
          <w:bCs/>
          <w:u w:val="single"/>
        </w:rPr>
        <w:t>, zaświ</w:t>
      </w:r>
      <w:r>
        <w:rPr>
          <w:bCs/>
          <w:u w:val="single"/>
        </w:rPr>
        <w:t>adczeń o zmia</w:t>
      </w:r>
      <w:r w:rsidRPr="0027747F">
        <w:rPr>
          <w:bCs/>
          <w:u w:val="single"/>
        </w:rPr>
        <w:t>nie sposobu użytkowania i wypisów oraz opinii z planu.</w:t>
      </w:r>
    </w:p>
    <w:p w:rsidR="002602B6" w:rsidRDefault="002602B6" w:rsidP="002602B6"/>
    <w:p w:rsidR="002602B6" w:rsidRDefault="002602B6" w:rsidP="002602B6"/>
    <w:p w:rsidR="002602B6" w:rsidRDefault="002602B6" w:rsidP="002602B6"/>
    <w:p w:rsidR="002602B6" w:rsidRDefault="002602B6" w:rsidP="002602B6">
      <w:pPr>
        <w:spacing w:line="360" w:lineRule="auto"/>
        <w:jc w:val="center"/>
        <w:rPr>
          <w:b/>
        </w:rPr>
      </w:pPr>
    </w:p>
    <w:p w:rsidR="002602B6" w:rsidRDefault="002602B6" w:rsidP="002602B6">
      <w:pPr>
        <w:spacing w:line="360" w:lineRule="auto"/>
        <w:jc w:val="center"/>
        <w:rPr>
          <w:b/>
        </w:rPr>
      </w:pPr>
      <w:r>
        <w:rPr>
          <w:b/>
        </w:rPr>
        <w:t>Dom Przedsiębiorcy</w:t>
      </w:r>
    </w:p>
    <w:p w:rsidR="002602B6" w:rsidRDefault="002602B6" w:rsidP="002602B6">
      <w:pPr>
        <w:spacing w:line="360" w:lineRule="auto"/>
        <w:jc w:val="center"/>
        <w:rPr>
          <w:b/>
        </w:rPr>
      </w:pPr>
    </w:p>
    <w:p w:rsidR="0027747F" w:rsidRPr="00F102F6" w:rsidRDefault="0027747F" w:rsidP="0027747F">
      <w:pPr>
        <w:spacing w:line="360" w:lineRule="auto"/>
        <w:jc w:val="center"/>
        <w:rPr>
          <w:rFonts w:ascii="Arial" w:hAnsi="Arial" w:cs="Arial"/>
          <w:b/>
          <w:color w:val="000000" w:themeColor="text1"/>
        </w:rPr>
      </w:pPr>
    </w:p>
    <w:p w:rsidR="0027747F" w:rsidRPr="0027747F" w:rsidRDefault="0027747F" w:rsidP="0027747F">
      <w:pPr>
        <w:spacing w:line="360" w:lineRule="auto"/>
        <w:rPr>
          <w:color w:val="000000" w:themeColor="text1"/>
        </w:rPr>
      </w:pPr>
      <w:r w:rsidRPr="0027747F">
        <w:rPr>
          <w:color w:val="000000" w:themeColor="text1"/>
        </w:rPr>
        <w:t xml:space="preserve">W minionym okresie odbyły się tylko nieliczne konsultacje z uwagi na epidemię COVID-19, dlatego też uruchomiono dodatkowo usługę konsultacji </w:t>
      </w:r>
      <w:proofErr w:type="spellStart"/>
      <w:r w:rsidRPr="0027747F">
        <w:rPr>
          <w:color w:val="000000" w:themeColor="text1"/>
        </w:rPr>
        <w:t>online</w:t>
      </w:r>
      <w:proofErr w:type="spellEnd"/>
      <w:r w:rsidRPr="0027747F">
        <w:rPr>
          <w:color w:val="000000" w:themeColor="text1"/>
        </w:rPr>
        <w:t xml:space="preserve">. Konsultacje udzielane są bezpłatnie dla firm prowadzących działalność na terenie miasta Tczewa. Dotyczą one spraw związanych z prawem gospodarczym, cywilnym, podatkowym, kodeksu pracy oraz przysługujących świadczeń w ramach tarczy antykryzysowej. Zakres może zostać poszerzony w zależności od tematyki zagadnień zgłaszanych przez przedsiębiorców. Aby skorzystać z konsultacji wystarczy zarejestrować się </w:t>
      </w:r>
      <w:proofErr w:type="spellStart"/>
      <w:r w:rsidRPr="0027747F">
        <w:rPr>
          <w:color w:val="000000" w:themeColor="text1"/>
        </w:rPr>
        <w:t>online</w:t>
      </w:r>
      <w:proofErr w:type="spellEnd"/>
      <w:r w:rsidRPr="0027747F">
        <w:rPr>
          <w:color w:val="000000" w:themeColor="text1"/>
        </w:rPr>
        <w:t xml:space="preserve"> na formularzu dostępnym na stronie </w:t>
      </w:r>
      <w:hyperlink r:id="rId5" w:history="1">
        <w:r w:rsidRPr="0027747F">
          <w:rPr>
            <w:rStyle w:val="Hipercze"/>
          </w:rPr>
          <w:t>www.dp.tczew.pl</w:t>
        </w:r>
      </w:hyperlink>
      <w:r w:rsidRPr="0027747F">
        <w:rPr>
          <w:color w:val="000000" w:themeColor="text1"/>
        </w:rPr>
        <w:t xml:space="preserve"> i podać swoje dane niezbędne do kontaktu.</w:t>
      </w:r>
    </w:p>
    <w:p w:rsidR="0027747F" w:rsidRPr="0027747F" w:rsidRDefault="0027747F" w:rsidP="0027747F">
      <w:pPr>
        <w:spacing w:line="360" w:lineRule="auto"/>
        <w:rPr>
          <w:color w:val="000000" w:themeColor="text1"/>
        </w:rPr>
      </w:pPr>
      <w:r w:rsidRPr="0027747F">
        <w:rPr>
          <w:color w:val="000000" w:themeColor="text1"/>
        </w:rPr>
        <w:t xml:space="preserve">Pozostałe konsultacje Pomorskiego Funduszu Pożyczkowego i Pomorskiego Regionalnego Funduszu Poręczeń Kredytowych w temacie pożyczek na rozwój i rozpoczęcie działalności oraz pożyczki płynnościowej dla utrzymania firm, odbywają się </w:t>
      </w:r>
      <w:proofErr w:type="spellStart"/>
      <w:r w:rsidRPr="0027747F">
        <w:rPr>
          <w:color w:val="000000" w:themeColor="text1"/>
        </w:rPr>
        <w:t>online</w:t>
      </w:r>
      <w:proofErr w:type="spellEnd"/>
      <w:r w:rsidRPr="0027747F">
        <w:rPr>
          <w:color w:val="000000" w:themeColor="text1"/>
        </w:rPr>
        <w:t>, jednakże umowy zawierane są już na miejscu w Domu Przedsiębiorcy po umówieniu terminu.</w:t>
      </w:r>
    </w:p>
    <w:p w:rsidR="0027747F" w:rsidRPr="0027747F" w:rsidRDefault="0027747F" w:rsidP="0027747F">
      <w:pPr>
        <w:spacing w:line="360" w:lineRule="auto"/>
        <w:rPr>
          <w:color w:val="000000" w:themeColor="text1"/>
        </w:rPr>
      </w:pPr>
    </w:p>
    <w:p w:rsidR="0027747F" w:rsidRPr="0027747F" w:rsidRDefault="0027747F" w:rsidP="0027747F">
      <w:pPr>
        <w:spacing w:line="360" w:lineRule="auto"/>
        <w:rPr>
          <w:color w:val="000000" w:themeColor="text1"/>
        </w:rPr>
      </w:pPr>
      <w:r w:rsidRPr="0027747F">
        <w:rPr>
          <w:color w:val="000000" w:themeColor="text1"/>
        </w:rPr>
        <w:lastRenderedPageBreak/>
        <w:t xml:space="preserve">Na bieżąco aktualizowane są informacje na stronie Domu Przedsiębiorcy – </w:t>
      </w:r>
      <w:hyperlink r:id="rId6" w:history="1">
        <w:r w:rsidRPr="0027747F">
          <w:rPr>
            <w:rStyle w:val="Hipercze"/>
          </w:rPr>
          <w:t>www.dp.tczew.pl</w:t>
        </w:r>
      </w:hyperlink>
      <w:r w:rsidRPr="0027747F">
        <w:rPr>
          <w:color w:val="000000" w:themeColor="text1"/>
        </w:rPr>
        <w:t xml:space="preserve"> oraz profilu </w:t>
      </w:r>
      <w:proofErr w:type="spellStart"/>
      <w:r w:rsidRPr="0027747F">
        <w:rPr>
          <w:color w:val="000000" w:themeColor="text1"/>
        </w:rPr>
        <w:t>facbookowym</w:t>
      </w:r>
      <w:proofErr w:type="spellEnd"/>
      <w:r w:rsidRPr="0027747F">
        <w:rPr>
          <w:color w:val="000000" w:themeColor="text1"/>
        </w:rPr>
        <w:t xml:space="preserve"> facebook.com/dptczew/, znajdują się  tam również szczegółowe instrukcje np. odnośnie złożenia wniosków CEIDG-1 – do zmiany, rozpoczęcia, zawieszenia, wznowienia czy też zamknięcia działalności.</w:t>
      </w:r>
    </w:p>
    <w:p w:rsidR="0027747F" w:rsidRPr="0027747F" w:rsidRDefault="0027747F" w:rsidP="0027747F">
      <w:pPr>
        <w:spacing w:line="360" w:lineRule="auto"/>
        <w:rPr>
          <w:color w:val="000000" w:themeColor="text1"/>
        </w:rPr>
      </w:pPr>
      <w:r w:rsidRPr="0027747F">
        <w:rPr>
          <w:color w:val="000000" w:themeColor="text1"/>
        </w:rPr>
        <w:t xml:space="preserve">Ponadto na bieżąco prowadzone są działania związane z promocją postępowań przetargowych na sprzedaż mienia komunalnego oraz terenów inwestycyjnych Gminy Miejskiej Tczew.  </w:t>
      </w:r>
    </w:p>
    <w:p w:rsidR="0027747F" w:rsidRPr="0027747F" w:rsidRDefault="0027747F" w:rsidP="0027747F">
      <w:pPr>
        <w:spacing w:line="360" w:lineRule="auto"/>
        <w:rPr>
          <w:color w:val="000000" w:themeColor="text1"/>
        </w:rPr>
      </w:pPr>
    </w:p>
    <w:p w:rsidR="0027747F" w:rsidRPr="0027747F" w:rsidRDefault="0027747F" w:rsidP="0027747F">
      <w:pPr>
        <w:spacing w:line="360" w:lineRule="auto"/>
        <w:rPr>
          <w:color w:val="000000" w:themeColor="text1"/>
        </w:rPr>
      </w:pPr>
      <w:r w:rsidRPr="0027747F">
        <w:rPr>
          <w:color w:val="000000" w:themeColor="text1"/>
        </w:rPr>
        <w:t xml:space="preserve">Na koniec miesiąca maja ze strefy </w:t>
      </w:r>
      <w:proofErr w:type="spellStart"/>
      <w:r w:rsidRPr="0027747F">
        <w:rPr>
          <w:color w:val="000000" w:themeColor="text1"/>
        </w:rPr>
        <w:t>coworkingu</w:t>
      </w:r>
      <w:proofErr w:type="spellEnd"/>
      <w:r w:rsidRPr="0027747F">
        <w:rPr>
          <w:color w:val="000000" w:themeColor="text1"/>
        </w:rPr>
        <w:t xml:space="preserve"> i inkubatora oraz pozostałych pomieszczeń korzysta 12 podmiotów. Trwa stały nabór nowych firm do inkubatora jak i </w:t>
      </w:r>
      <w:proofErr w:type="spellStart"/>
      <w:r w:rsidRPr="0027747F">
        <w:rPr>
          <w:color w:val="000000" w:themeColor="text1"/>
        </w:rPr>
        <w:t>coworkingu</w:t>
      </w:r>
      <w:proofErr w:type="spellEnd"/>
      <w:r w:rsidRPr="0027747F">
        <w:rPr>
          <w:color w:val="000000" w:themeColor="text1"/>
        </w:rPr>
        <w:t xml:space="preserve">, wszelkie zgłoszenia przyjmowane są na bieżąco. </w:t>
      </w:r>
    </w:p>
    <w:p w:rsidR="0027747F" w:rsidRPr="0027747F" w:rsidRDefault="0027747F" w:rsidP="0027747F">
      <w:pPr>
        <w:spacing w:line="360" w:lineRule="auto"/>
        <w:rPr>
          <w:color w:val="000000" w:themeColor="text1"/>
        </w:rPr>
      </w:pPr>
      <w:r w:rsidRPr="0027747F">
        <w:rPr>
          <w:color w:val="000000" w:themeColor="text1"/>
        </w:rPr>
        <w:t xml:space="preserve">W minionym okresie z ograniczonej przez COVID-19 obsługi Centralnej Ewidencji Działalności Gospodarczej skorzystało około 200 przedsiębiorców z terenu miasta oraz gmin powiatu tczewskiego. Na bieżąco rozpatrywane i rozliczane są wszystkie postępowania o wydanie nowych zezwoleń na sprzedaż jak i podawanie napojów alkoholowych (gastronomia). </w:t>
      </w:r>
    </w:p>
    <w:p w:rsidR="002602B6" w:rsidRDefault="002602B6" w:rsidP="002602B6">
      <w:pPr>
        <w:spacing w:line="360" w:lineRule="auto"/>
        <w:jc w:val="center"/>
        <w:rPr>
          <w:b/>
        </w:rPr>
      </w:pPr>
    </w:p>
    <w:p w:rsidR="002602B6" w:rsidRDefault="002602B6" w:rsidP="002602B6">
      <w:pPr>
        <w:spacing w:line="360" w:lineRule="auto"/>
        <w:jc w:val="center"/>
        <w:rPr>
          <w:b/>
        </w:rPr>
      </w:pPr>
    </w:p>
    <w:p w:rsidR="002602B6" w:rsidRDefault="002602B6" w:rsidP="002602B6">
      <w:pPr>
        <w:spacing w:line="360" w:lineRule="auto"/>
        <w:jc w:val="center"/>
        <w:rPr>
          <w:b/>
        </w:rPr>
      </w:pPr>
    </w:p>
    <w:p w:rsidR="002602B6" w:rsidRDefault="002602B6" w:rsidP="002602B6">
      <w:pPr>
        <w:spacing w:line="360" w:lineRule="auto"/>
        <w:rPr>
          <w:b/>
        </w:rPr>
      </w:pPr>
    </w:p>
    <w:p w:rsidR="002602B6" w:rsidRDefault="002602B6" w:rsidP="002602B6">
      <w:pPr>
        <w:pStyle w:val="NormalnyWeb"/>
        <w:spacing w:before="0" w:beforeAutospacing="0" w:after="0" w:afterAutospacing="0"/>
        <w:rPr>
          <w:rFonts w:ascii="Times New Roman" w:hAnsi="Times New Roman" w:cs="Times New Roman"/>
          <w:b/>
          <w:bCs/>
        </w:rPr>
      </w:pPr>
    </w:p>
    <w:p w:rsidR="002602B6" w:rsidRDefault="002602B6" w:rsidP="002602B6">
      <w:pPr>
        <w:pStyle w:val="NormalnyWeb"/>
        <w:numPr>
          <w:ilvl w:val="0"/>
          <w:numId w:val="3"/>
        </w:numPr>
        <w:spacing w:before="0" w:beforeAutospacing="0" w:after="0" w:afterAutospacing="0"/>
        <w:rPr>
          <w:rFonts w:ascii="Times New Roman" w:hAnsi="Times New Roman" w:cs="Times New Roman"/>
          <w:b/>
          <w:bCs/>
        </w:rPr>
      </w:pPr>
      <w:r>
        <w:rPr>
          <w:rFonts w:ascii="Times New Roman" w:hAnsi="Times New Roman" w:cs="Times New Roman"/>
          <w:b/>
          <w:bCs/>
        </w:rPr>
        <w:t>W zakresie spraw organizacyjnych, edukacji oraz spraw społecznych i pozostałych:</w:t>
      </w:r>
    </w:p>
    <w:p w:rsidR="002602B6" w:rsidRDefault="002602B6" w:rsidP="002602B6">
      <w:pPr>
        <w:pStyle w:val="Akapitzlist"/>
        <w:spacing w:line="360" w:lineRule="auto"/>
        <w:ind w:left="0"/>
        <w:rPr>
          <w:b/>
        </w:rPr>
      </w:pPr>
    </w:p>
    <w:p w:rsidR="002602B6" w:rsidRDefault="002602B6" w:rsidP="002602B6">
      <w:pPr>
        <w:pStyle w:val="Akapitzlist"/>
        <w:spacing w:line="360" w:lineRule="auto"/>
        <w:ind w:left="0"/>
        <w:rPr>
          <w:b/>
        </w:rPr>
      </w:pPr>
    </w:p>
    <w:p w:rsidR="002602B6" w:rsidRDefault="002602B6" w:rsidP="002602B6">
      <w:pPr>
        <w:pStyle w:val="Akapitzlist"/>
        <w:spacing w:line="360" w:lineRule="auto"/>
        <w:ind w:left="0"/>
        <w:rPr>
          <w:b/>
          <w:i/>
        </w:rPr>
      </w:pPr>
      <w:r w:rsidRPr="000C2B6F">
        <w:rPr>
          <w:b/>
          <w:i/>
        </w:rPr>
        <w:t>-z zakresu edukacji</w:t>
      </w:r>
    </w:p>
    <w:p w:rsidR="00B3028F" w:rsidRDefault="00B3028F" w:rsidP="00B3028F">
      <w:r>
        <w:t>Zgodnie z rozporządzeniem Ministra EDUKACJI NARODOWEJ z dnia 11 marca2020 r. w sprawie czasowego ograniczenia funkcjonowania jednostek systemu oświaty w związku z zapobieganiem, przeciwdziałaniem i zwalczaniem COVID-19 (</w:t>
      </w:r>
      <w:proofErr w:type="spellStart"/>
      <w:r>
        <w:t>Dz.U</w:t>
      </w:r>
      <w:proofErr w:type="spellEnd"/>
      <w:r>
        <w:t>. z dnia 11 marca 2020 r., poz. 410 ze zmianami) od dnia 12 od 25 marca zawieszone zostały zajęcia edukacyjne w przedszkolach i szkołach prowadzone w systemie stacjonarnym, przy czym 12 i 13 marca zapewnione były w placówkach zajęcia opiekuńcze. Kolejne zmiany wprowadziły od 25 marca realizację zajęć z wykorzystaniem metod i technik kształcenia na odległość (nauka zdalna) i zgodnie z ostatnią zmianą będzie ona  trwać do 7 czerwca 2020 r.</w:t>
      </w:r>
    </w:p>
    <w:p w:rsidR="00B3028F" w:rsidRDefault="00B3028F" w:rsidP="00B3028F">
      <w:r>
        <w:t xml:space="preserve">W przypadku szkół podstawowych z dniem 25 maja, zgodnie z kolejną zmianą rozporządzenia MEN, zobowiązano szkoły i samorządy do umożliwienia uczniom klas I – III korzystanie z zajęć opiekuńczo – wychowawczych (tzw. świetlicowych), natomiast realizacja podstawy programowej prowadzona jest w naszych szkołach nadal zdalnie (do 7 czerwca 2020 r.). Dyrektorzy, w związku z powyższym, opracowali szereg dokumentów związanych z procedurami obowiązującymi w tym czasie, o których wszyscy rodzice zostali powiadomieni </w:t>
      </w:r>
      <w:r>
        <w:lastRenderedPageBreak/>
        <w:t xml:space="preserve">drogą elektroniczną (e-dziennik, strona szkoły). Udział w zajęciach opiekuńczo – wychowawczych na dzień 21 maja zgłosiło 33 uczniów. </w:t>
      </w:r>
    </w:p>
    <w:p w:rsidR="00B3028F" w:rsidRDefault="00B3028F" w:rsidP="00B3028F">
      <w:r>
        <w:t>Także z dniem 25 maja uruchomione zostały konsultacje dla uczniów klas VIII (z uwagi na egzamin ósmoklasisty, który odbędzie się w dniach 16 – 18 czerwca 2020 r.), które mogą odbywać się również na terenie szkoły. Jednak zarówno miasto jak i dyrektorzy zgodnie rekomendują zdalne prowadzenie tego typu konsultacji.</w:t>
      </w:r>
    </w:p>
    <w:p w:rsidR="00B3028F" w:rsidRDefault="00B3028F" w:rsidP="00B3028F">
      <w:r>
        <w:t>Od 1 czerwca będą mogły być realizowane, w oparciu o zapotrzebowanie uczniów, również konsultacje dla uczniów pozostałych klas szkoły podstawowej.</w:t>
      </w:r>
    </w:p>
    <w:p w:rsidR="00B3028F" w:rsidRDefault="00B3028F" w:rsidP="00B3028F">
      <w:r>
        <w:t xml:space="preserve">Przedszkola natomiast od 6 maja br. (za zgodą organu prowadzącego) mogły rozpocząć działalność, z zachowaniem reżimu sanitarnego spełniając wiele wytycznych GIS. Przedszkole nr 8, którego organem prowadzącym jest Gmina Miejska Tczew z uwagi na bezpieczeństwo dzieci, rodziców i pracowników nie rozpoczęło działalności i zajęcia zawieszone są do 7 czerwca. Nadal prowadzona jest nauka zdalne. </w:t>
      </w:r>
    </w:p>
    <w:p w:rsidR="00B3028F" w:rsidRDefault="00B3028F" w:rsidP="00B3028F">
      <w:r>
        <w:t>Wszystkie te działania realizowane są z zachowaniem reżimu sanitarnego, który zawarty jest w wytycznych GIS, MEN.</w:t>
      </w:r>
    </w:p>
    <w:p w:rsidR="002602B6" w:rsidRDefault="002602B6" w:rsidP="002602B6">
      <w:pPr>
        <w:pStyle w:val="Akapitzlist"/>
        <w:spacing w:line="360" w:lineRule="auto"/>
        <w:ind w:left="0"/>
        <w:rPr>
          <w:b/>
          <w:i/>
        </w:rPr>
      </w:pPr>
    </w:p>
    <w:p w:rsidR="002602B6" w:rsidRPr="000C2B6F" w:rsidRDefault="002602B6" w:rsidP="002602B6">
      <w:pPr>
        <w:pStyle w:val="Akapitzlist"/>
        <w:spacing w:line="360" w:lineRule="auto"/>
        <w:ind w:left="0"/>
        <w:rPr>
          <w:b/>
          <w:i/>
        </w:rPr>
      </w:pPr>
    </w:p>
    <w:p w:rsidR="002602B6" w:rsidRDefault="002602B6" w:rsidP="002602B6">
      <w:pPr>
        <w:pStyle w:val="Akapitzlist"/>
        <w:spacing w:line="360" w:lineRule="auto"/>
        <w:ind w:left="0"/>
        <w:rPr>
          <w:b/>
          <w:i/>
        </w:rPr>
      </w:pPr>
      <w:r>
        <w:rPr>
          <w:b/>
          <w:i/>
        </w:rPr>
        <w:t>-z zakresu polityki rowerowej</w:t>
      </w:r>
    </w:p>
    <w:p w:rsidR="002602B6" w:rsidRPr="0027747F" w:rsidRDefault="002602B6" w:rsidP="002602B6">
      <w:pPr>
        <w:rPr>
          <w:b/>
        </w:rPr>
      </w:pPr>
      <w:r w:rsidRPr="0027747F">
        <w:rPr>
          <w:b/>
        </w:rPr>
        <w:t>1. SYSTEM ROWERU METROPOLITALNEGO „MEVO”</w:t>
      </w:r>
    </w:p>
    <w:p w:rsidR="002602B6" w:rsidRPr="0027747F" w:rsidRDefault="002602B6" w:rsidP="002602B6"/>
    <w:p w:rsidR="002602B6" w:rsidRPr="0027747F" w:rsidRDefault="002602B6" w:rsidP="002602B6">
      <w:r w:rsidRPr="0027747F">
        <w:t xml:space="preserve">Trwa postępowanie na wybór nowego wykonawcy MEVO. </w:t>
      </w:r>
      <w:r w:rsidRPr="0027747F">
        <w:rPr>
          <w:bCs/>
        </w:rPr>
        <w:t xml:space="preserve">Trzy firmy złożyły wnioski do udziału w dialogu konkurencyjnym. Są to konsorcjum: Konsorcjum </w:t>
      </w:r>
      <w:proofErr w:type="spellStart"/>
      <w:r w:rsidRPr="0027747F">
        <w:rPr>
          <w:bCs/>
        </w:rPr>
        <w:t>BikeU</w:t>
      </w:r>
      <w:proofErr w:type="spellEnd"/>
      <w:r w:rsidRPr="0027747F">
        <w:rPr>
          <w:bCs/>
        </w:rPr>
        <w:t xml:space="preserve"> (Polska) i </w:t>
      </w:r>
      <w:proofErr w:type="spellStart"/>
      <w:r w:rsidRPr="0027747F">
        <w:rPr>
          <w:bCs/>
        </w:rPr>
        <w:t>Freebike</w:t>
      </w:r>
      <w:proofErr w:type="spellEnd"/>
      <w:r w:rsidRPr="0027747F">
        <w:rPr>
          <w:bCs/>
        </w:rPr>
        <w:t xml:space="preserve"> (Czechy), </w:t>
      </w:r>
      <w:proofErr w:type="spellStart"/>
      <w:r w:rsidRPr="0027747F">
        <w:rPr>
          <w:bCs/>
        </w:rPr>
        <w:t>Marfina</w:t>
      </w:r>
      <w:proofErr w:type="spellEnd"/>
      <w:r w:rsidRPr="0027747F">
        <w:rPr>
          <w:bCs/>
        </w:rPr>
        <w:t xml:space="preserve"> (Hiszpania) wraz z firmą </w:t>
      </w:r>
      <w:proofErr w:type="spellStart"/>
      <w:r w:rsidRPr="0027747F">
        <w:rPr>
          <w:bCs/>
        </w:rPr>
        <w:t>Geovelo</w:t>
      </w:r>
      <w:proofErr w:type="spellEnd"/>
      <w:r w:rsidRPr="0027747F">
        <w:rPr>
          <w:bCs/>
        </w:rPr>
        <w:t xml:space="preserve"> (Polska) jako podwykonawcą oraz </w:t>
      </w:r>
      <w:proofErr w:type="spellStart"/>
      <w:r w:rsidRPr="0027747F">
        <w:rPr>
          <w:bCs/>
        </w:rPr>
        <w:t>Nextbike</w:t>
      </w:r>
      <w:proofErr w:type="spellEnd"/>
      <w:r w:rsidRPr="0027747F">
        <w:rPr>
          <w:bCs/>
        </w:rPr>
        <w:t xml:space="preserve"> Polska. </w:t>
      </w:r>
      <w:r w:rsidRPr="0027747F">
        <w:t xml:space="preserve">Komisja przetargowa oceni, czy wnioski spełniają warunki udziału w postępowaniu. Rozmowy z wybranymi wykonawcami rozpoczną się za kilkanaście dni i potrwają przynajmniej do początku lipca. Do dalszych rozmów zostaną zakwalifikowane firmy, które spełniają formalne warunki udziału w postępowaniu. W trakcie rozmów komisja przetargowa razem z wykonawcami opracuje rozwiązania najlepiej odpowiadające potrzebom oraz wymaganiom użytkowników i samorządów. Dokładne opisanie przedmiotu zamówienia nastąpi dopiero po ukończeniu dialogu z wykonawcami. Ostatnim etapem dialogu konkurencyjnego jest składanie ofert i wybór najkorzystniejszej z nich. </w:t>
      </w:r>
    </w:p>
    <w:p w:rsidR="002602B6" w:rsidRPr="0027747F" w:rsidRDefault="002602B6" w:rsidP="002602B6"/>
    <w:p w:rsidR="002602B6" w:rsidRPr="0027747F" w:rsidRDefault="002602B6" w:rsidP="002602B6">
      <w:r w:rsidRPr="0027747F">
        <w:t xml:space="preserve">Metropolitalnego MEVO 1.0 funkcjonował przez 7 miesięcy. Z floty rowerów wspomaganych elektrycznie korzystało ponad 5200 mieszkańców i mieszkanek naszego miasta. Rowery były wypożyczone 104 tys. razy i pokonały 340 tys. </w:t>
      </w:r>
      <w:proofErr w:type="spellStart"/>
      <w:r w:rsidRPr="0027747F">
        <w:t>km</w:t>
      </w:r>
      <w:proofErr w:type="spellEnd"/>
      <w:r w:rsidRPr="0027747F">
        <w:t xml:space="preserve">. Popularność systemu w Tczewie na tle innych miast, w tym trójmiasta była ogromna. Niestety z uwagi na problemy związane z nieprawidłową realizacją kontraktu, umowa z operatorem systemu została rozwiązana. </w:t>
      </w:r>
    </w:p>
    <w:p w:rsidR="002602B6" w:rsidRPr="0027747F" w:rsidRDefault="002602B6" w:rsidP="002602B6"/>
    <w:p w:rsidR="002602B6" w:rsidRPr="0027747F" w:rsidRDefault="002602B6" w:rsidP="002602B6">
      <w:r w:rsidRPr="0027747F">
        <w:t>2. Instrument elastyczności w ramach projektu „Budowa węzła integracyjnego Tczew wraz z trasami dojazdowymi”</w:t>
      </w:r>
    </w:p>
    <w:p w:rsidR="002602B6" w:rsidRPr="0027747F" w:rsidRDefault="002602B6" w:rsidP="002602B6"/>
    <w:p w:rsidR="002602B6" w:rsidRPr="0027747F" w:rsidRDefault="002602B6" w:rsidP="002602B6">
      <w:pPr>
        <w:rPr>
          <w:b/>
        </w:rPr>
      </w:pPr>
      <w:r w:rsidRPr="0027747F">
        <w:rPr>
          <w:b/>
        </w:rPr>
        <w:t xml:space="preserve">2.1 KAMPANIA EDUKACYJNA DLA PRZEDSZKOLI I SZKÓŁ PODSTAWOWYCH  </w:t>
      </w:r>
      <w:r w:rsidRPr="0027747F">
        <w:rPr>
          <w:b/>
          <w:bCs/>
          <w:color w:val="000000" w:themeColor="text1"/>
        </w:rPr>
        <w:t>"MIŁO! W MIEŚCIE"</w:t>
      </w:r>
    </w:p>
    <w:p w:rsidR="002602B6" w:rsidRPr="0027747F" w:rsidRDefault="002602B6" w:rsidP="002602B6">
      <w:pPr>
        <w:pStyle w:val="NormalnyWeb"/>
        <w:spacing w:after="0"/>
        <w:rPr>
          <w:rFonts w:ascii="Times New Roman" w:hAnsi="Times New Roman" w:cs="Times New Roman"/>
          <w:color w:val="000000" w:themeColor="text1"/>
        </w:rPr>
      </w:pPr>
      <w:r w:rsidRPr="0027747F">
        <w:rPr>
          <w:rFonts w:ascii="Times New Roman" w:hAnsi="Times New Roman" w:cs="Times New Roman"/>
          <w:color w:val="000000" w:themeColor="text1"/>
        </w:rPr>
        <w:t>Sytuacja związana z wirusem SARS-CoV-2 zmusiła nas do zawieszenia realizacji nowej kampanii edukacyjnej promującej mobilność aktywną w przedszkolach oraz w szkołach (klasy 0-3). Kampania "MIŁO! w mieście" miała ruszyć 1-go dnia wiosny.</w:t>
      </w:r>
    </w:p>
    <w:p w:rsidR="002602B6" w:rsidRPr="0027747F" w:rsidRDefault="002602B6" w:rsidP="002602B6">
      <w:pPr>
        <w:pStyle w:val="NormalnyWeb"/>
        <w:spacing w:after="0"/>
        <w:rPr>
          <w:rFonts w:ascii="Times New Roman" w:hAnsi="Times New Roman" w:cs="Times New Roman"/>
          <w:color w:val="000000" w:themeColor="text1"/>
        </w:rPr>
      </w:pPr>
      <w:r w:rsidRPr="0027747F">
        <w:rPr>
          <w:rFonts w:ascii="Times New Roman" w:hAnsi="Times New Roman" w:cs="Times New Roman"/>
          <w:color w:val="000000" w:themeColor="text1"/>
        </w:rPr>
        <w:lastRenderedPageBreak/>
        <w:t>Kampania miała na celu zachęcanie rodziców i dzieci do wyboru aktywnych form docierania do placówek edukacyjnych. Kampania edukacyjna miała na celu zmniejszenie odsetka dzieci dowożonych samochodem do przedszkoli i szkół. Kampania miała być realizowana prowadzona w okresie marzec-czerwiec (4 miesiące) 2020r.</w:t>
      </w:r>
    </w:p>
    <w:p w:rsidR="002602B6" w:rsidRPr="0027747F" w:rsidRDefault="002602B6" w:rsidP="002602B6">
      <w:pPr>
        <w:pStyle w:val="NormalnyWeb"/>
        <w:spacing w:after="0"/>
        <w:rPr>
          <w:rFonts w:ascii="Times New Roman" w:hAnsi="Times New Roman" w:cs="Times New Roman"/>
          <w:bCs/>
          <w:color w:val="000000" w:themeColor="text1"/>
        </w:rPr>
      </w:pPr>
      <w:r w:rsidRPr="0027747F">
        <w:rPr>
          <w:rFonts w:ascii="Times New Roman" w:hAnsi="Times New Roman" w:cs="Times New Roman"/>
          <w:bCs/>
          <w:color w:val="000000" w:themeColor="text1"/>
        </w:rPr>
        <w:t>W związku z pandemią przekładamy start kampanii na jesień br.</w:t>
      </w:r>
    </w:p>
    <w:p w:rsidR="002602B6" w:rsidRPr="0027747F" w:rsidRDefault="002602B6" w:rsidP="002602B6">
      <w:pPr>
        <w:pStyle w:val="NormalnyWeb"/>
        <w:spacing w:after="0"/>
        <w:rPr>
          <w:rFonts w:ascii="Times New Roman" w:hAnsi="Times New Roman" w:cs="Times New Roman"/>
          <w:color w:val="000000" w:themeColor="text1"/>
        </w:rPr>
      </w:pPr>
      <w:r w:rsidRPr="0027747F">
        <w:rPr>
          <w:rFonts w:ascii="Times New Roman" w:hAnsi="Times New Roman" w:cs="Times New Roman"/>
          <w:color w:val="000000" w:themeColor="text1"/>
        </w:rPr>
        <w:t>Jednocześnie przypominamy, że w związku z zamknięciem szkół pierwszy raz nie odbyła się kampania Rowerowy Maj. Jednocześnie dziękujemy szkolnej dyrekcji oraz nauczycielom za dotychczasowe zaangażowanie w przygotowania tegorocznej kampanii i liczymy na to, że przynajmniej część tego wysiłku wykorzystamy po zakończeniu pandemii, kontynuując promocję roweru jako aktywnego i ekologicznego środka transportu do szkoły</w:t>
      </w:r>
    </w:p>
    <w:p w:rsidR="002602B6" w:rsidRPr="0027747F" w:rsidRDefault="002602B6" w:rsidP="002602B6">
      <w:pPr>
        <w:pStyle w:val="NormalnyWeb"/>
        <w:spacing w:after="0"/>
        <w:rPr>
          <w:rFonts w:ascii="Times New Roman" w:hAnsi="Times New Roman" w:cs="Times New Roman"/>
          <w:color w:val="000000" w:themeColor="text1"/>
        </w:rPr>
      </w:pPr>
    </w:p>
    <w:p w:rsidR="002602B6" w:rsidRPr="0027747F" w:rsidRDefault="002602B6" w:rsidP="002602B6">
      <w:pPr>
        <w:rPr>
          <w:b/>
        </w:rPr>
      </w:pPr>
      <w:r w:rsidRPr="0027747F">
        <w:rPr>
          <w:b/>
        </w:rPr>
        <w:t>2.2 TCZEWSKA KARTA ROWEROWA</w:t>
      </w:r>
    </w:p>
    <w:p w:rsidR="002602B6" w:rsidRPr="0027747F" w:rsidRDefault="002602B6" w:rsidP="002602B6">
      <w:pPr>
        <w:pStyle w:val="ox-e7edf1d9ae-default-style"/>
        <w:jc w:val="both"/>
      </w:pPr>
      <w:r w:rsidRPr="0027747F">
        <w:t xml:space="preserve">W tym roku zostanie wypracowany model Tczewskiej Karty Rowerowej. Celem jest ujednolicenie zasad przygotowywania oraz egzaminowania dzieci do karty rowerowej. Celem jest również zwiększenie liczby osób przystępujących i zdających egzamin na kartę rowerową. Model Tczewskiej Karty Rowerowej zostanie wypracowany wspólnie ze szkołami. Z uwagi na pandemię </w:t>
      </w:r>
      <w:proofErr w:type="spellStart"/>
      <w:r w:rsidRPr="0027747F">
        <w:t>koronawirusa</w:t>
      </w:r>
      <w:proofErr w:type="spellEnd"/>
      <w:r w:rsidRPr="0027747F">
        <w:t xml:space="preserve"> kampania promująca kartę rowerową w szkołach oraz program nauki jazdy na rowerze w ruchu ulicznym dla dzieci szkół podstawowych odbędą się jesienią br.</w:t>
      </w:r>
    </w:p>
    <w:p w:rsidR="002602B6" w:rsidRPr="0027747F" w:rsidRDefault="002602B6" w:rsidP="002602B6">
      <w:pPr>
        <w:pStyle w:val="ox-e7edf1d9ae-default-style"/>
        <w:jc w:val="both"/>
      </w:pPr>
    </w:p>
    <w:p w:rsidR="002602B6" w:rsidRPr="0027747F" w:rsidRDefault="002602B6" w:rsidP="002602B6">
      <w:pPr>
        <w:rPr>
          <w:b/>
        </w:rPr>
      </w:pPr>
      <w:r w:rsidRPr="0027747F">
        <w:rPr>
          <w:b/>
        </w:rPr>
        <w:t>2.3 ROWEREM DO PRACY</w:t>
      </w:r>
    </w:p>
    <w:p w:rsidR="002602B6" w:rsidRPr="0027747F" w:rsidRDefault="002602B6" w:rsidP="002602B6"/>
    <w:p w:rsidR="002602B6" w:rsidRPr="0027747F" w:rsidRDefault="002602B6" w:rsidP="002602B6">
      <w:pPr>
        <w:spacing w:before="100" w:beforeAutospacing="1" w:after="100" w:afterAutospacing="1"/>
        <w:outlineLvl w:val="0"/>
        <w:rPr>
          <w:bCs/>
          <w:kern w:val="36"/>
        </w:rPr>
      </w:pPr>
      <w:r w:rsidRPr="0027747F">
        <w:rPr>
          <w:bCs/>
          <w:kern w:val="36"/>
        </w:rPr>
        <w:t>Uczestniczki i uczestnicy konkursu Rowerem do Pracy pomagają potrzebującym!</w:t>
      </w:r>
    </w:p>
    <w:p w:rsidR="002602B6" w:rsidRPr="0027747F" w:rsidRDefault="002602B6" w:rsidP="002602B6">
      <w:pPr>
        <w:pStyle w:val="NormalnyWeb"/>
        <w:rPr>
          <w:rFonts w:ascii="Times New Roman" w:hAnsi="Times New Roman" w:cs="Times New Roman"/>
        </w:rPr>
      </w:pPr>
      <w:r w:rsidRPr="0027747F">
        <w:rPr>
          <w:rStyle w:val="Pogrubienie"/>
          <w:rFonts w:ascii="Times New Roman" w:hAnsi="Times New Roman" w:cs="Times New Roman"/>
          <w:b w:val="0"/>
        </w:rPr>
        <w:t xml:space="preserve">Trwa IV edycja konkursu Rowerem do Pracy. Mimo trudnej sytuacji związanej z epidemią COVID-19 są z nami 53 firmy i 332 pracowników, którzy przez pierwsze 2 miesiące konkursu wykonali ponad 12 tys. przejazdów rowerem, w tym 8800 do/z pracy. </w:t>
      </w:r>
      <w:r w:rsidRPr="0027747F">
        <w:rPr>
          <w:rFonts w:ascii="Times New Roman" w:hAnsi="Times New Roman" w:cs="Times New Roman"/>
          <w:color w:val="000000" w:themeColor="text1"/>
        </w:rPr>
        <w:t>Przypominamy, że rejestracji można dokonać do końca trwania konkursu tj. do 04.10.2020r. Rejestracja odbywa się poprzez stronę www.roweremdopracy.tczew.pl</w:t>
      </w:r>
    </w:p>
    <w:p w:rsidR="002602B6" w:rsidRPr="0027747F" w:rsidRDefault="002602B6" w:rsidP="002602B6">
      <w:pPr>
        <w:pStyle w:val="NormalnyWeb"/>
        <w:rPr>
          <w:rStyle w:val="Pogrubienie"/>
          <w:rFonts w:ascii="Times New Roman" w:hAnsi="Times New Roman" w:cs="Times New Roman"/>
          <w:b w:val="0"/>
        </w:rPr>
      </w:pPr>
      <w:r w:rsidRPr="0027747F">
        <w:rPr>
          <w:rFonts w:ascii="Times New Roman" w:hAnsi="Times New Roman" w:cs="Times New Roman"/>
        </w:rPr>
        <w:t xml:space="preserve">Tegoroczna edycja konkursu z uwagi na </w:t>
      </w:r>
      <w:proofErr w:type="spellStart"/>
      <w:r w:rsidRPr="0027747F">
        <w:rPr>
          <w:rFonts w:ascii="Times New Roman" w:hAnsi="Times New Roman" w:cs="Times New Roman"/>
        </w:rPr>
        <w:t>koronowirusa</w:t>
      </w:r>
      <w:proofErr w:type="spellEnd"/>
      <w:r w:rsidRPr="0027747F">
        <w:rPr>
          <w:rFonts w:ascii="Times New Roman" w:hAnsi="Times New Roman" w:cs="Times New Roman"/>
        </w:rPr>
        <w:t xml:space="preserve"> jest trochę inna. </w:t>
      </w:r>
      <w:r w:rsidRPr="0027747F">
        <w:rPr>
          <w:rStyle w:val="Pogrubienie"/>
          <w:rFonts w:ascii="Times New Roman" w:hAnsi="Times New Roman" w:cs="Times New Roman"/>
          <w:b w:val="0"/>
        </w:rPr>
        <w:t>Konkurs został rozbudowany o kilka działań wspierających lokalną społeczność. Jedną z nich są obiady zakupione z Baru Mlecznego “Kociewiak”, które trafiają do Tczewskiej Ogrzewalni dla osób bezdomnych. Uczestnik konkursu za punkty uzbierane za jazdę rowerem może wykupić nagrodę dla siebie lub ufundować posiłek dla podopiecznych Towarzystwa im. św. Brata Alberta, Koło Tczew.</w:t>
      </w:r>
    </w:p>
    <w:p w:rsidR="002602B6" w:rsidRPr="0027747F" w:rsidRDefault="002602B6" w:rsidP="002602B6">
      <w:pPr>
        <w:spacing w:before="100" w:beforeAutospacing="1" w:after="100" w:afterAutospacing="1"/>
      </w:pPr>
      <w:r w:rsidRPr="0027747F">
        <w:rPr>
          <w:bCs/>
        </w:rPr>
        <w:t>Celem konkursu jest</w:t>
      </w:r>
      <w:r w:rsidRPr="0027747F">
        <w:t xml:space="preserve"> zachęcenie pracowników firm z siedzibą i/lub oddziałami na terenie Tczewa do regularnych przejazdów do i z pracy rowerem. Konkurs promuje aktywny sposób docierania do biura czy fabryki. Ponadto akcja ta ma mobilizować pracowników do prowadzenia zdrowego stylu życia i budować nawyk codziennego poruszania się rowerem po mieście – nie tylko do pracy. </w:t>
      </w:r>
    </w:p>
    <w:p w:rsidR="000F20C2" w:rsidRDefault="000F20C2"/>
    <w:sectPr w:rsidR="000F20C2" w:rsidSect="000F20C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6"/>
        </w:tabs>
        <w:ind w:left="644" w:hanging="360"/>
      </w:pPr>
      <w:rPr>
        <w:rFonts w:ascii="Symbol" w:hAnsi="Symbol"/>
      </w:rPr>
    </w:lvl>
  </w:abstractNum>
  <w:abstractNum w:abstractNumId="1">
    <w:nsid w:val="03B8636B"/>
    <w:multiLevelType w:val="hybridMultilevel"/>
    <w:tmpl w:val="2D6AAA0A"/>
    <w:lvl w:ilvl="0" w:tplc="60F64D06">
      <w:start w:val="1"/>
      <w:numFmt w:val="upperRoman"/>
      <w:lvlText w:val="%1."/>
      <w:lvlJc w:val="left"/>
      <w:pPr>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1BC2277A"/>
    <w:multiLevelType w:val="multilevel"/>
    <w:tmpl w:val="4F6A2DC2"/>
    <w:lvl w:ilvl="0">
      <w:start w:val="1"/>
      <w:numFmt w:val="upperRoman"/>
      <w:lvlText w:val="%1."/>
      <w:lvlJc w:val="righ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
    <w:nsid w:val="2F911AB5"/>
    <w:multiLevelType w:val="hybridMultilevel"/>
    <w:tmpl w:val="AE4AEA60"/>
    <w:lvl w:ilvl="0" w:tplc="2746085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nsid w:val="30C06C79"/>
    <w:multiLevelType w:val="hybridMultilevel"/>
    <w:tmpl w:val="759A141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3F084819"/>
    <w:multiLevelType w:val="hybridMultilevel"/>
    <w:tmpl w:val="B29CB1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20E4FF2"/>
    <w:multiLevelType w:val="hybridMultilevel"/>
    <w:tmpl w:val="72B2847E"/>
    <w:lvl w:ilvl="0" w:tplc="2746085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nsid w:val="54BA2671"/>
    <w:multiLevelType w:val="hybridMultilevel"/>
    <w:tmpl w:val="C9625432"/>
    <w:lvl w:ilvl="0" w:tplc="E32EFB4E">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nsid w:val="7A8E709D"/>
    <w:multiLevelType w:val="hybridMultilevel"/>
    <w:tmpl w:val="3ED0FF1C"/>
    <w:lvl w:ilvl="0" w:tplc="9286A9CE">
      <w:start w:val="1"/>
      <w:numFmt w:val="lowerLetter"/>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8"/>
  </w:num>
  <w:num w:numId="7">
    <w:abstractNumId w:val="5"/>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602B6"/>
    <w:rsid w:val="000F20C2"/>
    <w:rsid w:val="002602B6"/>
    <w:rsid w:val="0027747F"/>
    <w:rsid w:val="00A92EA6"/>
    <w:rsid w:val="00B3028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02B6"/>
    <w:pPr>
      <w:spacing w:after="0" w:line="240" w:lineRule="auto"/>
      <w:jc w:val="both"/>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2602B6"/>
    <w:rPr>
      <w:color w:val="0000FF"/>
      <w:u w:val="single"/>
    </w:rPr>
  </w:style>
  <w:style w:type="paragraph" w:styleId="NormalnyWeb">
    <w:name w:val="Normal (Web)"/>
    <w:basedOn w:val="Normalny"/>
    <w:uiPriority w:val="99"/>
    <w:unhideWhenUsed/>
    <w:qFormat/>
    <w:rsid w:val="002602B6"/>
    <w:pPr>
      <w:spacing w:before="100" w:beforeAutospacing="1" w:after="100" w:afterAutospacing="1"/>
    </w:pPr>
    <w:rPr>
      <w:rFonts w:ascii="Arial Unicode MS" w:eastAsia="Arial Unicode MS" w:hAnsi="Arial Unicode MS" w:cs="Arial Unicode MS"/>
    </w:rPr>
  </w:style>
  <w:style w:type="paragraph" w:styleId="Akapitzlist">
    <w:name w:val="List Paragraph"/>
    <w:basedOn w:val="Normalny"/>
    <w:uiPriority w:val="99"/>
    <w:qFormat/>
    <w:rsid w:val="002602B6"/>
    <w:pPr>
      <w:widowControl w:val="0"/>
      <w:suppressAutoHyphens/>
      <w:ind w:left="720"/>
      <w:contextualSpacing/>
    </w:pPr>
    <w:rPr>
      <w:rFonts w:eastAsia="Arial Unicode MS"/>
      <w:kern w:val="2"/>
      <w:lang w:eastAsia="en-US"/>
    </w:rPr>
  </w:style>
  <w:style w:type="paragraph" w:customStyle="1" w:styleId="ox-e7edf1d9ae-default-style">
    <w:name w:val="ox-e7edf1d9ae-default-style"/>
    <w:basedOn w:val="Normalny"/>
    <w:qFormat/>
    <w:rsid w:val="002602B6"/>
    <w:pPr>
      <w:spacing w:before="100" w:beforeAutospacing="1" w:after="100" w:afterAutospacing="1"/>
      <w:jc w:val="left"/>
    </w:pPr>
  </w:style>
  <w:style w:type="paragraph" w:customStyle="1" w:styleId="msonormalcxspdrugiecxspnazwisko">
    <w:name w:val="msonormalcxspdrugiecxspnazwisko"/>
    <w:basedOn w:val="Normalny"/>
    <w:uiPriority w:val="99"/>
    <w:rsid w:val="002602B6"/>
    <w:pPr>
      <w:spacing w:before="100" w:beforeAutospacing="1" w:after="100" w:afterAutospacing="1"/>
      <w:jc w:val="left"/>
    </w:pPr>
    <w:rPr>
      <w:rFonts w:eastAsia="Calibri"/>
    </w:rPr>
  </w:style>
  <w:style w:type="character" w:styleId="Pogrubienie">
    <w:name w:val="Strong"/>
    <w:basedOn w:val="Domylnaczcionkaakapitu"/>
    <w:uiPriority w:val="22"/>
    <w:qFormat/>
    <w:rsid w:val="002602B6"/>
    <w:rPr>
      <w:b/>
      <w:bCs/>
    </w:rPr>
  </w:style>
</w:styles>
</file>

<file path=word/webSettings.xml><?xml version="1.0" encoding="utf-8"?>
<w:webSettings xmlns:r="http://schemas.openxmlformats.org/officeDocument/2006/relationships" xmlns:w="http://schemas.openxmlformats.org/wordprocessingml/2006/main">
  <w:divs>
    <w:div w:id="71705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p.tczew.pl" TargetMode="External"/><Relationship Id="rId5" Type="http://schemas.openxmlformats.org/officeDocument/2006/relationships/hyperlink" Target="http://www.dp.tcze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10</Pages>
  <Words>2967</Words>
  <Characters>17808</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2020-05-25T06:01:00Z</dcterms:created>
  <dcterms:modified xsi:type="dcterms:W3CDTF">2020-05-25T10:58:00Z</dcterms:modified>
</cp:coreProperties>
</file>